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642914" w:rsidRDefault="0004541F" w:rsidP="00AE46A3">
      <w:pPr>
        <w:pStyle w:val="ZDateAM"/>
      </w:pPr>
      <w:r w:rsidRPr="00642914">
        <w:rPr>
          <w:rStyle w:val="HideTWBExt"/>
          <w:noProof w:val="0"/>
        </w:rPr>
        <w:t>&lt;Amend&gt;</w:t>
      </w:r>
      <w:r w:rsidR="00AE46A3" w:rsidRPr="00642914">
        <w:rPr>
          <w:rStyle w:val="HideTWBExt"/>
          <w:noProof w:val="0"/>
        </w:rPr>
        <w:t>&lt;Date&gt;</w:t>
      </w:r>
      <w:r w:rsidR="009842F1" w:rsidRPr="00642914">
        <w:rPr>
          <w:rStyle w:val="HideTWBInt"/>
        </w:rPr>
        <w:t>{</w:t>
      </w:r>
      <w:r w:rsidR="002D13DC" w:rsidRPr="00642914">
        <w:rPr>
          <w:rStyle w:val="HideTWBInt"/>
        </w:rPr>
        <w:t>20</w:t>
      </w:r>
      <w:r w:rsidR="009842F1" w:rsidRPr="00642914">
        <w:rPr>
          <w:rStyle w:val="HideTWBInt"/>
        </w:rPr>
        <w:t>/04/2017}</w:t>
      </w:r>
      <w:r w:rsidR="002D13DC" w:rsidRPr="00642914">
        <w:t>20</w:t>
      </w:r>
      <w:r w:rsidR="009842F1" w:rsidRPr="00642914">
        <w:t>.4.2017</w:t>
      </w:r>
      <w:r w:rsidR="00AE46A3" w:rsidRPr="00642914">
        <w:rPr>
          <w:rStyle w:val="HideTWBExt"/>
          <w:noProof w:val="0"/>
        </w:rPr>
        <w:t>&lt;/Date&gt;</w:t>
      </w:r>
      <w:r w:rsidR="00AE46A3" w:rsidRPr="00642914">
        <w:tab/>
      </w:r>
      <w:r w:rsidR="00AE46A3" w:rsidRPr="00642914">
        <w:rPr>
          <w:rStyle w:val="HideTWBExt"/>
          <w:noProof w:val="0"/>
        </w:rPr>
        <w:t>&lt;ANo&gt;</w:t>
      </w:r>
      <w:r w:rsidR="009842F1" w:rsidRPr="00642914">
        <w:t>A8-0291</w:t>
      </w:r>
      <w:r w:rsidR="00AE46A3" w:rsidRPr="00642914">
        <w:rPr>
          <w:rStyle w:val="HideTWBExt"/>
          <w:noProof w:val="0"/>
        </w:rPr>
        <w:t>&lt;/ANo&gt;</w:t>
      </w:r>
      <w:r w:rsidR="00AE46A3" w:rsidRPr="00642914">
        <w:t>/</w:t>
      </w:r>
      <w:r w:rsidR="00AE46A3" w:rsidRPr="00642914">
        <w:rPr>
          <w:rStyle w:val="HideTWBExt"/>
          <w:noProof w:val="0"/>
        </w:rPr>
        <w:t>&lt;NumAm&gt;</w:t>
      </w:r>
      <w:r w:rsidR="002D13DC" w:rsidRPr="00642914">
        <w:t>2</w:t>
      </w:r>
      <w:r w:rsidR="00AE46A3" w:rsidRPr="00642914">
        <w:rPr>
          <w:rStyle w:val="HideTWBExt"/>
          <w:noProof w:val="0"/>
        </w:rPr>
        <w:t>&lt;/NumAm&gt;</w:t>
      </w:r>
    </w:p>
    <w:p w:rsidR="00AE46A3" w:rsidRPr="00642914" w:rsidRDefault="00F10890" w:rsidP="00AE46A3">
      <w:pPr>
        <w:pStyle w:val="AMNumberTabs"/>
      </w:pPr>
      <w:r w:rsidRPr="00642914">
        <w:t>Amendment</w:t>
      </w:r>
      <w:r w:rsidR="00AE46A3" w:rsidRPr="00642914">
        <w:tab/>
      </w:r>
      <w:r w:rsidR="00AE46A3" w:rsidRPr="00642914">
        <w:tab/>
      </w:r>
      <w:r w:rsidR="00AE46A3" w:rsidRPr="00642914">
        <w:rPr>
          <w:rStyle w:val="HideTWBExt"/>
          <w:b w:val="0"/>
          <w:noProof w:val="0"/>
        </w:rPr>
        <w:t>&lt;NumAm&gt;</w:t>
      </w:r>
      <w:r w:rsidR="002D13DC" w:rsidRPr="00642914">
        <w:t>2</w:t>
      </w:r>
      <w:r w:rsidR="00AE46A3" w:rsidRPr="00642914">
        <w:rPr>
          <w:rStyle w:val="HideTWBExt"/>
          <w:b w:val="0"/>
          <w:noProof w:val="0"/>
        </w:rPr>
        <w:t>&lt;/NumAm&gt;</w:t>
      </w:r>
    </w:p>
    <w:p w:rsidR="00AE46A3" w:rsidRPr="00642914" w:rsidRDefault="00AE46A3" w:rsidP="00AE46A3">
      <w:pPr>
        <w:pStyle w:val="NormalBold"/>
      </w:pPr>
      <w:r w:rsidRPr="00642914">
        <w:rPr>
          <w:rStyle w:val="HideTWBExt"/>
          <w:b w:val="0"/>
          <w:noProof w:val="0"/>
        </w:rPr>
        <w:t>&lt;RepeatBlock-By&gt;&lt;Members&gt;</w:t>
      </w:r>
      <w:r w:rsidR="009842F1" w:rsidRPr="00642914">
        <w:t>Roberto Gualtieri</w:t>
      </w:r>
      <w:r w:rsidRPr="00642914">
        <w:rPr>
          <w:rStyle w:val="HideTWBExt"/>
          <w:b w:val="0"/>
          <w:noProof w:val="0"/>
        </w:rPr>
        <w:t>&lt;/Members&gt;</w:t>
      </w:r>
    </w:p>
    <w:p w:rsidR="00AE46A3" w:rsidRPr="00642914" w:rsidRDefault="00AE46A3" w:rsidP="00AE46A3">
      <w:r w:rsidRPr="00642914">
        <w:rPr>
          <w:rStyle w:val="HideTWBExt"/>
          <w:noProof w:val="0"/>
        </w:rPr>
        <w:t>&lt;AuNomDe&gt;</w:t>
      </w:r>
      <w:r w:rsidR="009842F1" w:rsidRPr="00642914">
        <w:rPr>
          <w:rStyle w:val="HideTWBInt"/>
        </w:rPr>
        <w:t>{ECON}</w:t>
      </w:r>
      <w:r w:rsidR="009842F1" w:rsidRPr="00642914">
        <w:t>on behalf of the Committee on Economic and Monetary Affairs</w:t>
      </w:r>
      <w:r w:rsidRPr="00642914">
        <w:rPr>
          <w:rStyle w:val="HideTWBExt"/>
          <w:noProof w:val="0"/>
        </w:rPr>
        <w:t>&lt;/AuNomDe&gt;</w:t>
      </w:r>
    </w:p>
    <w:p w:rsidR="00AE46A3" w:rsidRPr="00642914" w:rsidRDefault="00AE46A3" w:rsidP="00AE46A3">
      <w:r w:rsidRPr="00642914">
        <w:rPr>
          <w:rStyle w:val="HideTWBExt"/>
          <w:noProof w:val="0"/>
        </w:rPr>
        <w:t>&lt;/RepeatBlock-By&gt;</w:t>
      </w:r>
    </w:p>
    <w:p w:rsidR="00AE46A3" w:rsidRPr="00642914" w:rsidRDefault="00AE46A3" w:rsidP="00AE46A3">
      <w:pPr>
        <w:pStyle w:val="ProjRap"/>
      </w:pPr>
      <w:r w:rsidRPr="00642914">
        <w:rPr>
          <w:rStyle w:val="HideTWBExt"/>
          <w:b w:val="0"/>
          <w:noProof w:val="0"/>
        </w:rPr>
        <w:t>&lt;TitreType&gt;</w:t>
      </w:r>
      <w:r w:rsidR="009842F1" w:rsidRPr="00642914">
        <w:t>Report</w:t>
      </w:r>
      <w:r w:rsidRPr="00642914">
        <w:rPr>
          <w:rStyle w:val="HideTWBExt"/>
          <w:b w:val="0"/>
          <w:noProof w:val="0"/>
        </w:rPr>
        <w:t>&lt;/TitreType&gt;</w:t>
      </w:r>
      <w:r w:rsidRPr="00642914">
        <w:tab/>
      </w:r>
      <w:r w:rsidR="009842F1" w:rsidRPr="00642914">
        <w:t>A8-0291</w:t>
      </w:r>
      <w:r w:rsidRPr="00642914">
        <w:t>/</w:t>
      </w:r>
      <w:r w:rsidR="009842F1" w:rsidRPr="00642914">
        <w:t>2016</w:t>
      </w:r>
    </w:p>
    <w:p w:rsidR="00AE46A3" w:rsidRPr="00642914" w:rsidRDefault="00AE46A3" w:rsidP="00AE46A3">
      <w:pPr>
        <w:pStyle w:val="NormalBold"/>
      </w:pPr>
      <w:r w:rsidRPr="00642914">
        <w:rPr>
          <w:rStyle w:val="HideTWBExt"/>
          <w:b w:val="0"/>
          <w:noProof w:val="0"/>
        </w:rPr>
        <w:t>&lt;Rapporteur&gt;</w:t>
      </w:r>
      <w:r w:rsidR="009842F1" w:rsidRPr="00642914">
        <w:t>Theodor Dumitru Stolojan</w:t>
      </w:r>
      <w:r w:rsidRPr="00642914">
        <w:rPr>
          <w:rStyle w:val="HideTWBExt"/>
          <w:b w:val="0"/>
          <w:noProof w:val="0"/>
        </w:rPr>
        <w:t>&lt;/Rapporteur&gt;</w:t>
      </w:r>
    </w:p>
    <w:p w:rsidR="00AE46A3" w:rsidRPr="00642914" w:rsidRDefault="00AE46A3" w:rsidP="00AE46A3">
      <w:r w:rsidRPr="00642914">
        <w:rPr>
          <w:rStyle w:val="HideTWBExt"/>
          <w:noProof w:val="0"/>
        </w:rPr>
        <w:t>&lt;Titre&gt;</w:t>
      </w:r>
      <w:r w:rsidR="009842F1" w:rsidRPr="00642914">
        <w:t>Union programme to support specific activities in the field of financial reporting and auditing</w:t>
      </w:r>
      <w:r w:rsidRPr="00642914">
        <w:rPr>
          <w:rStyle w:val="HideTWBExt"/>
          <w:noProof w:val="0"/>
        </w:rPr>
        <w:t>&lt;/Titre&gt;</w:t>
      </w:r>
    </w:p>
    <w:p w:rsidR="00AE46A3" w:rsidRPr="00642914" w:rsidRDefault="00AE46A3" w:rsidP="00AE46A3">
      <w:pPr>
        <w:pStyle w:val="Normal12"/>
      </w:pPr>
      <w:r w:rsidRPr="00642914">
        <w:rPr>
          <w:rStyle w:val="HideTWBExt"/>
          <w:noProof w:val="0"/>
        </w:rPr>
        <w:t>&lt;DocRef&gt;</w:t>
      </w:r>
      <w:r w:rsidR="009842F1" w:rsidRPr="00642914">
        <w:t>COM(2016)0202 – C8-0145/2016 – 2016/0110(COD)</w:t>
      </w:r>
      <w:r w:rsidRPr="00642914">
        <w:rPr>
          <w:rStyle w:val="HideTWBExt"/>
          <w:noProof w:val="0"/>
        </w:rPr>
        <w:t>&lt;/DocRef&gt;</w:t>
      </w:r>
    </w:p>
    <w:p w:rsidR="00AE46A3" w:rsidRPr="00642914" w:rsidRDefault="00AE46A3" w:rsidP="00AE46A3">
      <w:pPr>
        <w:pStyle w:val="NormalBold"/>
      </w:pPr>
      <w:r w:rsidRPr="00642914">
        <w:rPr>
          <w:rStyle w:val="HideTWBExt"/>
          <w:b w:val="0"/>
          <w:noProof w:val="0"/>
        </w:rPr>
        <w:t>&lt;DocAmend&gt;</w:t>
      </w:r>
      <w:r w:rsidR="009842F1" w:rsidRPr="00642914">
        <w:t>Proposal for a regulation</w:t>
      </w:r>
      <w:r w:rsidRPr="00642914">
        <w:rPr>
          <w:rStyle w:val="HideTWBExt"/>
          <w:b w:val="0"/>
          <w:noProof w:val="0"/>
        </w:rPr>
        <w:t>&lt;/DocAmend&gt;</w:t>
      </w:r>
    </w:p>
    <w:p w:rsidR="00AE46A3" w:rsidRPr="00642914" w:rsidRDefault="00AE46A3" w:rsidP="00AE46A3">
      <w:pPr>
        <w:pStyle w:val="NormalBold"/>
      </w:pPr>
      <w:r w:rsidRPr="00642914">
        <w:rPr>
          <w:rStyle w:val="HideTWBExt"/>
          <w:b w:val="0"/>
          <w:noProof w:val="0"/>
        </w:rPr>
        <w:t>&lt;Article&gt;</w:t>
      </w:r>
      <w:r w:rsidR="00E5087F" w:rsidRPr="00642914">
        <w:t>–</w:t>
      </w:r>
      <w:r w:rsidRPr="00642914">
        <w:rPr>
          <w:rStyle w:val="HideTWBExt"/>
          <w:b w:val="0"/>
          <w:noProof w:val="0"/>
        </w:rPr>
        <w:t>&lt;/Article&gt;</w:t>
      </w:r>
    </w:p>
    <w:p w:rsidR="00FF2CB3" w:rsidRPr="00642914" w:rsidRDefault="00F10890" w:rsidP="006339AB">
      <w:pPr>
        <w:pStyle w:val="ConsHeading"/>
        <w:rPr>
          <w:noProof w:val="0"/>
        </w:rPr>
      </w:pPr>
      <w:r w:rsidRPr="00642914">
        <w:rPr>
          <w:noProof w:val="0"/>
        </w:rPr>
        <w:t>AMENDMENTS BY THE EUROPEAN PARLIAMENT</w:t>
      </w:r>
      <w:r w:rsidR="00FD68C2" w:rsidRPr="00642914">
        <w:rPr>
          <w:rStyle w:val="FootnoteReference"/>
          <w:noProof w:val="0"/>
        </w:rPr>
        <w:footnoteReference w:customMarkFollows="1" w:id="1"/>
        <w:t>*</w:t>
      </w:r>
    </w:p>
    <w:p w:rsidR="00892C85" w:rsidRPr="00642914" w:rsidRDefault="009842F1" w:rsidP="006C0168">
      <w:pPr>
        <w:pStyle w:val="Normal12Centre"/>
        <w:rPr>
          <w:noProof w:val="0"/>
        </w:rPr>
      </w:pPr>
      <w:bookmarkStart w:id="0" w:name="DocEPTmp"/>
      <w:bookmarkEnd w:id="0"/>
      <w:r w:rsidRPr="00642914">
        <w:rPr>
          <w:noProof w:val="0"/>
        </w:rPr>
        <w:t>to the Commission proposal</w:t>
      </w:r>
      <w:bookmarkStart w:id="1" w:name="DocEPTmp2"/>
      <w:bookmarkEnd w:id="1"/>
    </w:p>
    <w:p w:rsidR="00525DC0" w:rsidRPr="00642914" w:rsidRDefault="00525DC0" w:rsidP="006C0168">
      <w:pPr>
        <w:pStyle w:val="Normal12Centre"/>
        <w:rPr>
          <w:noProof w:val="0"/>
        </w:rPr>
      </w:pPr>
      <w:r w:rsidRPr="00642914">
        <w:rPr>
          <w:noProof w:val="0"/>
        </w:rPr>
        <w:t>---------------------------------------------------------</w:t>
      </w:r>
    </w:p>
    <w:p w:rsidR="009842F1" w:rsidRPr="00642914" w:rsidRDefault="009842F1" w:rsidP="009842F1">
      <w:pPr>
        <w:widowControl/>
        <w:autoSpaceDE w:val="0"/>
        <w:autoSpaceDN w:val="0"/>
        <w:adjustRightInd w:val="0"/>
        <w:spacing w:before="840" w:after="120" w:line="360" w:lineRule="auto"/>
        <w:jc w:val="center"/>
        <w:rPr>
          <w:b/>
          <w:bCs/>
          <w:szCs w:val="24"/>
        </w:rPr>
      </w:pPr>
      <w:r w:rsidRPr="00642914">
        <w:rPr>
          <w:b/>
          <w:bCs/>
          <w:szCs w:val="24"/>
        </w:rPr>
        <w:t xml:space="preserve">REGULATION (EU) 2017/… </w:t>
      </w:r>
      <w:r w:rsidRPr="00642914">
        <w:rPr>
          <w:b/>
          <w:bCs/>
          <w:szCs w:val="24"/>
        </w:rPr>
        <w:br/>
        <w:t>OF THE EUROPEAN PARLIAMENT AND OF THE COUNCIL</w:t>
      </w:r>
    </w:p>
    <w:p w:rsidR="009842F1" w:rsidRPr="00642914" w:rsidRDefault="009842F1" w:rsidP="009842F1">
      <w:pPr>
        <w:widowControl/>
        <w:autoSpaceDE w:val="0"/>
        <w:autoSpaceDN w:val="0"/>
        <w:adjustRightInd w:val="0"/>
        <w:spacing w:before="360" w:after="120" w:line="360" w:lineRule="auto"/>
        <w:jc w:val="center"/>
        <w:rPr>
          <w:b/>
          <w:bCs/>
          <w:szCs w:val="24"/>
        </w:rPr>
      </w:pPr>
      <w:r w:rsidRPr="00642914">
        <w:rPr>
          <w:b/>
          <w:bCs/>
          <w:szCs w:val="24"/>
        </w:rPr>
        <w:t>of …</w:t>
      </w:r>
    </w:p>
    <w:p w:rsidR="009842F1" w:rsidRPr="00642914" w:rsidRDefault="009842F1" w:rsidP="009842F1">
      <w:pPr>
        <w:widowControl/>
        <w:autoSpaceDE w:val="0"/>
        <w:autoSpaceDN w:val="0"/>
        <w:adjustRightInd w:val="0"/>
        <w:spacing w:before="360" w:after="360" w:line="360" w:lineRule="auto"/>
        <w:jc w:val="center"/>
        <w:rPr>
          <w:b/>
          <w:bCs/>
          <w:szCs w:val="24"/>
        </w:rPr>
      </w:pPr>
      <w:bookmarkStart w:id="2" w:name="_DV_M1"/>
      <w:bookmarkEnd w:id="2"/>
      <w:r w:rsidRPr="00642914">
        <w:rPr>
          <w:b/>
          <w:bCs/>
          <w:szCs w:val="24"/>
        </w:rPr>
        <w:t>amending Regulation (EU) No 258/2014 establishi</w:t>
      </w:r>
      <w:bookmarkStart w:id="3" w:name="_GoBack"/>
      <w:bookmarkEnd w:id="3"/>
      <w:r w:rsidRPr="00642914">
        <w:rPr>
          <w:b/>
          <w:bCs/>
          <w:szCs w:val="24"/>
        </w:rPr>
        <w:t>ng a Union Programme to support specific activities in the field of financial reporting and auditing for the period of 2014-20</w:t>
      </w:r>
    </w:p>
    <w:p w:rsidR="009842F1" w:rsidRPr="00642914" w:rsidRDefault="009842F1" w:rsidP="009842F1">
      <w:pPr>
        <w:widowControl/>
        <w:autoSpaceDE w:val="0"/>
        <w:autoSpaceDN w:val="0"/>
        <w:adjustRightInd w:val="0"/>
        <w:spacing w:before="120" w:after="120" w:line="360" w:lineRule="auto"/>
        <w:jc w:val="center"/>
        <w:rPr>
          <w:b/>
          <w:bCs/>
          <w:szCs w:val="24"/>
        </w:rPr>
      </w:pPr>
      <w:bookmarkStart w:id="4" w:name="_DV_M2"/>
      <w:bookmarkEnd w:id="4"/>
      <w:r w:rsidRPr="00642914">
        <w:rPr>
          <w:b/>
          <w:bCs/>
          <w:szCs w:val="24"/>
        </w:rPr>
        <w:t>(Text with EEA relevance)</w:t>
      </w:r>
    </w:p>
    <w:p w:rsidR="009842F1" w:rsidRPr="00642914" w:rsidRDefault="009842F1" w:rsidP="009842F1">
      <w:pPr>
        <w:widowControl/>
        <w:autoSpaceDE w:val="0"/>
        <w:autoSpaceDN w:val="0"/>
        <w:adjustRightInd w:val="0"/>
        <w:spacing w:before="600" w:after="120" w:line="360" w:lineRule="auto"/>
        <w:rPr>
          <w:szCs w:val="24"/>
        </w:rPr>
      </w:pPr>
      <w:bookmarkStart w:id="5" w:name="_DV_M3"/>
      <w:bookmarkEnd w:id="5"/>
      <w:r w:rsidRPr="00642914">
        <w:rPr>
          <w:szCs w:val="24"/>
        </w:rPr>
        <w:t>THE EUROPEAN PARLIAMENT AND THE COUNCIL OF THE EUROPEAN UNION,</w:t>
      </w:r>
    </w:p>
    <w:p w:rsidR="009842F1" w:rsidRPr="00642914" w:rsidRDefault="009842F1" w:rsidP="009842F1">
      <w:pPr>
        <w:widowControl/>
        <w:autoSpaceDE w:val="0"/>
        <w:autoSpaceDN w:val="0"/>
        <w:adjustRightInd w:val="0"/>
        <w:spacing w:before="120" w:after="120" w:line="360" w:lineRule="auto"/>
        <w:rPr>
          <w:szCs w:val="24"/>
        </w:rPr>
      </w:pPr>
      <w:bookmarkStart w:id="6" w:name="_DV_M4"/>
      <w:bookmarkEnd w:id="6"/>
      <w:r w:rsidRPr="00642914">
        <w:rPr>
          <w:szCs w:val="24"/>
        </w:rPr>
        <w:lastRenderedPageBreak/>
        <w:t xml:space="preserve">Having regard to the Treaty on the Functioning of the European Union, and in particular </w:t>
      </w:r>
      <w:bookmarkStart w:id="7" w:name="_DV_M5"/>
      <w:bookmarkEnd w:id="7"/>
      <w:r w:rsidRPr="00642914">
        <w:rPr>
          <w:b/>
          <w:i/>
          <w:szCs w:val="24"/>
        </w:rPr>
        <w:t>Article</w:t>
      </w:r>
      <w:r w:rsidRPr="00642914">
        <w:rPr>
          <w:szCs w:val="24"/>
        </w:rPr>
        <w:t xml:space="preserve"> 114 thereof,</w:t>
      </w:r>
    </w:p>
    <w:p w:rsidR="009842F1" w:rsidRPr="00642914" w:rsidRDefault="009842F1" w:rsidP="009842F1">
      <w:pPr>
        <w:widowControl/>
        <w:autoSpaceDE w:val="0"/>
        <w:autoSpaceDN w:val="0"/>
        <w:adjustRightInd w:val="0"/>
        <w:spacing w:before="120" w:after="120" w:line="360" w:lineRule="auto"/>
        <w:rPr>
          <w:b/>
          <w:szCs w:val="24"/>
        </w:rPr>
      </w:pPr>
      <w:bookmarkStart w:id="8" w:name="_DV_M6"/>
      <w:bookmarkEnd w:id="8"/>
      <w:r w:rsidRPr="00642914">
        <w:rPr>
          <w:szCs w:val="24"/>
        </w:rPr>
        <w:t>Having regard to the proposal from the European Commission,</w:t>
      </w:r>
    </w:p>
    <w:p w:rsidR="009842F1" w:rsidRPr="00642914" w:rsidRDefault="009842F1" w:rsidP="009842F1">
      <w:pPr>
        <w:widowControl/>
        <w:autoSpaceDE w:val="0"/>
        <w:autoSpaceDN w:val="0"/>
        <w:adjustRightInd w:val="0"/>
        <w:spacing w:before="120" w:after="120" w:line="360" w:lineRule="auto"/>
        <w:rPr>
          <w:szCs w:val="24"/>
        </w:rPr>
      </w:pPr>
      <w:bookmarkStart w:id="9" w:name="_DV_M7"/>
      <w:bookmarkEnd w:id="9"/>
      <w:r w:rsidRPr="00642914">
        <w:rPr>
          <w:szCs w:val="24"/>
        </w:rPr>
        <w:t>After transmission of the draft legislative act to the national parliaments,</w:t>
      </w:r>
    </w:p>
    <w:p w:rsidR="009842F1" w:rsidRPr="00642914" w:rsidRDefault="009842F1" w:rsidP="009842F1">
      <w:pPr>
        <w:widowControl/>
        <w:autoSpaceDE w:val="0"/>
        <w:autoSpaceDN w:val="0"/>
        <w:adjustRightInd w:val="0"/>
        <w:spacing w:before="120" w:after="120" w:line="360" w:lineRule="auto"/>
        <w:rPr>
          <w:szCs w:val="24"/>
        </w:rPr>
      </w:pPr>
      <w:bookmarkStart w:id="10" w:name="_DV_M8"/>
      <w:bookmarkEnd w:id="10"/>
      <w:r w:rsidRPr="00642914">
        <w:rPr>
          <w:szCs w:val="24"/>
        </w:rPr>
        <w:t>Having regard to the opinion of the European Economic and Social Committee</w:t>
      </w:r>
      <w:r w:rsidRPr="00642914">
        <w:rPr>
          <w:b/>
          <w:szCs w:val="24"/>
          <w:vertAlign w:val="superscript"/>
        </w:rPr>
        <w:footnoteReference w:id="2"/>
      </w:r>
      <w:bookmarkStart w:id="11" w:name="_DV_M9"/>
      <w:bookmarkEnd w:id="11"/>
      <w:r w:rsidRPr="00642914">
        <w:rPr>
          <w:szCs w:val="24"/>
        </w:rPr>
        <w:t xml:space="preserve">, </w:t>
      </w:r>
    </w:p>
    <w:p w:rsidR="009842F1" w:rsidRPr="00642914" w:rsidRDefault="009842F1" w:rsidP="009842F1">
      <w:pPr>
        <w:widowControl/>
        <w:autoSpaceDE w:val="0"/>
        <w:autoSpaceDN w:val="0"/>
        <w:adjustRightInd w:val="0"/>
        <w:spacing w:before="120" w:after="120" w:line="360" w:lineRule="auto"/>
        <w:rPr>
          <w:szCs w:val="24"/>
        </w:rPr>
      </w:pPr>
      <w:bookmarkStart w:id="12" w:name="_DV_M10"/>
      <w:bookmarkEnd w:id="12"/>
      <w:r w:rsidRPr="00642914">
        <w:rPr>
          <w:szCs w:val="24"/>
        </w:rPr>
        <w:t>Acting in accordance with the ordinary legislative procedure</w:t>
      </w:r>
      <w:r w:rsidRPr="00642914">
        <w:rPr>
          <w:b/>
          <w:szCs w:val="24"/>
          <w:vertAlign w:val="superscript"/>
        </w:rPr>
        <w:footnoteReference w:id="3"/>
      </w:r>
      <w:r w:rsidRPr="00642914">
        <w:rPr>
          <w:szCs w:val="24"/>
        </w:rPr>
        <w:t>,</w:t>
      </w:r>
    </w:p>
    <w:p w:rsidR="009842F1" w:rsidRPr="00642914" w:rsidRDefault="009842F1" w:rsidP="009842F1">
      <w:pPr>
        <w:widowControl/>
        <w:spacing w:before="120" w:after="120" w:line="360" w:lineRule="auto"/>
        <w:rPr>
          <w:szCs w:val="24"/>
        </w:rPr>
      </w:pPr>
      <w:bookmarkStart w:id="13" w:name="_DV_M11"/>
      <w:bookmarkEnd w:id="13"/>
      <w:r w:rsidRPr="00642914">
        <w:rPr>
          <w:szCs w:val="24"/>
        </w:rPr>
        <w:br w:type="page"/>
      </w:r>
      <w:r w:rsidRPr="00642914">
        <w:rPr>
          <w:szCs w:val="24"/>
        </w:rPr>
        <w:lastRenderedPageBreak/>
        <w:t>Whereas:</w:t>
      </w:r>
    </w:p>
    <w:p w:rsidR="009842F1" w:rsidRPr="00642914" w:rsidRDefault="009842F1" w:rsidP="009842F1">
      <w:pPr>
        <w:widowControl/>
        <w:autoSpaceDE w:val="0"/>
        <w:autoSpaceDN w:val="0"/>
        <w:adjustRightInd w:val="0"/>
        <w:spacing w:before="120" w:after="120" w:line="360" w:lineRule="auto"/>
        <w:ind w:left="851" w:hanging="851"/>
        <w:rPr>
          <w:szCs w:val="24"/>
        </w:rPr>
      </w:pPr>
      <w:bookmarkStart w:id="14" w:name="_DV_M12"/>
      <w:bookmarkEnd w:id="14"/>
      <w:r w:rsidRPr="00642914">
        <w:rPr>
          <w:szCs w:val="24"/>
        </w:rPr>
        <w:t>(1)</w:t>
      </w:r>
      <w:r w:rsidRPr="00642914">
        <w:rPr>
          <w:szCs w:val="24"/>
        </w:rPr>
        <w:tab/>
      </w:r>
      <w:bookmarkStart w:id="15" w:name="_DV_M13"/>
      <w:bookmarkEnd w:id="15"/>
      <w:r w:rsidRPr="00642914">
        <w:rPr>
          <w:szCs w:val="24"/>
        </w:rPr>
        <w:t>On the basis of Regulation (EU) No 258/2014 of the European Parliament and of the Council</w:t>
      </w:r>
      <w:r w:rsidRPr="00642914">
        <w:rPr>
          <w:b/>
          <w:szCs w:val="24"/>
          <w:vertAlign w:val="superscript"/>
        </w:rPr>
        <w:footnoteReference w:id="4"/>
      </w:r>
      <w:bookmarkStart w:id="16" w:name="_DV_M14"/>
      <w:bookmarkEnd w:id="16"/>
      <w:r w:rsidRPr="00642914">
        <w:rPr>
          <w:szCs w:val="24"/>
        </w:rPr>
        <w:t>, the International Financial Reporting Standards Foundation (the 'IFRS Foundation'), which is the legal successor to the International Accounting Standards Committee Foundation (IASCF), and the Public Interest Oversight Board (PIOB) benefit from Union co-financing in the form of operating grants until 31 December 2020.</w:t>
      </w:r>
    </w:p>
    <w:p w:rsidR="009842F1" w:rsidRPr="00642914" w:rsidRDefault="009842F1" w:rsidP="009842F1">
      <w:pPr>
        <w:widowControl/>
        <w:autoSpaceDE w:val="0"/>
        <w:autoSpaceDN w:val="0"/>
        <w:adjustRightInd w:val="0"/>
        <w:spacing w:before="120" w:after="120" w:line="360" w:lineRule="auto"/>
        <w:ind w:left="851" w:hanging="851"/>
        <w:rPr>
          <w:b/>
          <w:i/>
          <w:szCs w:val="24"/>
        </w:rPr>
      </w:pPr>
      <w:bookmarkStart w:id="17" w:name="_DV_M15"/>
      <w:bookmarkEnd w:id="17"/>
      <w:r w:rsidRPr="00642914">
        <w:rPr>
          <w:szCs w:val="24"/>
        </w:rPr>
        <w:t>(2)</w:t>
      </w:r>
      <w:r w:rsidRPr="00642914">
        <w:rPr>
          <w:szCs w:val="24"/>
        </w:rPr>
        <w:tab/>
      </w:r>
      <w:bookmarkStart w:id="18" w:name="_DV_M16"/>
      <w:bookmarkEnd w:id="18"/>
      <w:r w:rsidRPr="00642914">
        <w:rPr>
          <w:szCs w:val="24"/>
        </w:rPr>
        <w:t>The European Financial Reporting Advisory Group (EFRAG), on the basis of Regulation (EU) No 258/2014, benefitted from Union co-financing in the form of operating grants until 31 December 2016.</w:t>
      </w:r>
    </w:p>
    <w:p w:rsidR="009842F1" w:rsidRPr="00642914" w:rsidRDefault="009842F1" w:rsidP="009842F1">
      <w:pPr>
        <w:widowControl/>
        <w:autoSpaceDE w:val="0"/>
        <w:autoSpaceDN w:val="0"/>
        <w:adjustRightInd w:val="0"/>
        <w:spacing w:before="120" w:after="120" w:line="360" w:lineRule="auto"/>
        <w:ind w:left="851" w:hanging="851"/>
        <w:rPr>
          <w:b/>
          <w:i/>
          <w:szCs w:val="24"/>
        </w:rPr>
      </w:pPr>
      <w:bookmarkStart w:id="19" w:name="_DV_M17"/>
      <w:bookmarkEnd w:id="19"/>
      <w:r w:rsidRPr="00642914">
        <w:rPr>
          <w:szCs w:val="24"/>
        </w:rPr>
        <w:t>(3)</w:t>
      </w:r>
      <w:r w:rsidRPr="00642914">
        <w:rPr>
          <w:szCs w:val="24"/>
        </w:rPr>
        <w:tab/>
      </w:r>
      <w:bookmarkStart w:id="20" w:name="_DV_M18"/>
      <w:bookmarkEnd w:id="20"/>
      <w:r w:rsidRPr="00642914">
        <w:rPr>
          <w:szCs w:val="24"/>
        </w:rPr>
        <w:t>On 12 November 2013, the Commission published the report of Philippe Maystadt, special advisor to the Commissioner responsible for internal market and services (the ‘special advisor’s report’), in which he outlined potential reforms to EFRAG’s governance aimed at reinforcing the Union’s contribution to the development of international accounting standards.</w:t>
      </w:r>
    </w:p>
    <w:p w:rsidR="009842F1" w:rsidRPr="00642914" w:rsidRDefault="009842F1" w:rsidP="009842F1">
      <w:pPr>
        <w:widowControl/>
        <w:autoSpaceDE w:val="0"/>
        <w:autoSpaceDN w:val="0"/>
        <w:adjustRightInd w:val="0"/>
        <w:spacing w:before="120" w:after="120" w:line="360" w:lineRule="auto"/>
        <w:ind w:left="851" w:hanging="851"/>
        <w:rPr>
          <w:szCs w:val="24"/>
        </w:rPr>
      </w:pPr>
      <w:bookmarkStart w:id="21" w:name="_DV_M19"/>
      <w:bookmarkEnd w:id="21"/>
      <w:r w:rsidRPr="00642914">
        <w:rPr>
          <w:szCs w:val="24"/>
        </w:rPr>
        <w:br w:type="page"/>
      </w:r>
      <w:r w:rsidRPr="00642914">
        <w:rPr>
          <w:szCs w:val="24"/>
        </w:rPr>
        <w:lastRenderedPageBreak/>
        <w:t>(4)</w:t>
      </w:r>
      <w:r w:rsidRPr="00642914">
        <w:rPr>
          <w:szCs w:val="24"/>
        </w:rPr>
        <w:tab/>
      </w:r>
      <w:bookmarkStart w:id="22" w:name="_DV_M20"/>
      <w:bookmarkEnd w:id="22"/>
      <w:r w:rsidRPr="00642914">
        <w:rPr>
          <w:szCs w:val="24"/>
        </w:rPr>
        <w:t xml:space="preserve">The Commission closely monitored the implementation of the reform of EFRAG’s governance and duly informed the European Parliament and the Council of the progress in that regard. </w:t>
      </w:r>
      <w:bookmarkStart w:id="23" w:name="_DV_C9"/>
      <w:r w:rsidRPr="00642914">
        <w:rPr>
          <w:b/>
          <w:i/>
          <w:szCs w:val="24"/>
        </w:rPr>
        <w:t>On this basis,</w:t>
      </w:r>
      <w:bookmarkStart w:id="24" w:name="_DV_M21"/>
      <w:bookmarkEnd w:id="23"/>
      <w:bookmarkEnd w:id="24"/>
      <w:r w:rsidRPr="00642914">
        <w:rPr>
          <w:i/>
          <w:szCs w:val="24"/>
        </w:rPr>
        <w:t xml:space="preserve"> </w:t>
      </w:r>
      <w:r w:rsidRPr="00642914">
        <w:rPr>
          <w:szCs w:val="24"/>
        </w:rPr>
        <w:t>it is appropriate to continue the financing of EFRAG for the period 2017 to2020 in order to meet the long-term objectives of the Union programme to support specific activities in the field of financial reporting and auditing.</w:t>
      </w:r>
    </w:p>
    <w:p w:rsidR="009842F1" w:rsidRPr="00642914" w:rsidRDefault="009842F1" w:rsidP="009842F1">
      <w:pPr>
        <w:widowControl/>
        <w:autoSpaceDE w:val="0"/>
        <w:autoSpaceDN w:val="0"/>
        <w:adjustRightInd w:val="0"/>
        <w:spacing w:before="120" w:after="120" w:line="360" w:lineRule="auto"/>
        <w:ind w:left="851"/>
        <w:rPr>
          <w:b/>
          <w:i/>
          <w:szCs w:val="24"/>
        </w:rPr>
      </w:pPr>
      <w:bookmarkStart w:id="25" w:name="_DV_C10"/>
      <w:r w:rsidRPr="00642914">
        <w:rPr>
          <w:b/>
          <w:i/>
          <w:szCs w:val="24"/>
        </w:rPr>
        <w:t>(5)</w:t>
      </w:r>
      <w:r w:rsidRPr="00642914">
        <w:rPr>
          <w:b/>
          <w:i/>
          <w:szCs w:val="24"/>
        </w:rPr>
        <w:tab/>
        <w:t>The Board of EFRAG, reflecting a balanced representation of both public and private interests, should ensure that its Board members commit to act in the European public interest.</w:t>
      </w:r>
      <w:bookmarkEnd w:id="25"/>
      <w:r w:rsidRPr="00642914">
        <w:rPr>
          <w:b/>
          <w:i/>
          <w:szCs w:val="24"/>
        </w:rPr>
        <w:t xml:space="preserve"> </w:t>
      </w:r>
      <w:bookmarkStart w:id="26" w:name="_DV_C11"/>
      <w:r w:rsidRPr="00642914">
        <w:rPr>
          <w:b/>
          <w:i/>
          <w:szCs w:val="24"/>
        </w:rPr>
        <w:t>The European Securities and Markets Authority,the European Banking Authority, the European Insurance and Occupational Pensions Authority and the European Central Bank are invited to contribute actively to the work of the Board of EFRAG, as far as possible.</w:t>
      </w:r>
      <w:bookmarkEnd w:id="26"/>
    </w:p>
    <w:p w:rsidR="009842F1" w:rsidRPr="00642914" w:rsidRDefault="009842F1" w:rsidP="009842F1">
      <w:pPr>
        <w:widowControl/>
        <w:autoSpaceDE w:val="0"/>
        <w:autoSpaceDN w:val="0"/>
        <w:adjustRightInd w:val="0"/>
        <w:spacing w:before="120" w:after="120" w:line="360" w:lineRule="auto"/>
        <w:ind w:left="851" w:hanging="851"/>
        <w:rPr>
          <w:b/>
          <w:i/>
          <w:szCs w:val="24"/>
        </w:rPr>
      </w:pPr>
      <w:bookmarkStart w:id="27" w:name="_DV_C12"/>
      <w:r w:rsidRPr="00642914">
        <w:rPr>
          <w:b/>
          <w:i/>
          <w:szCs w:val="24"/>
        </w:rPr>
        <w:br w:type="page"/>
      </w:r>
      <w:r w:rsidRPr="00642914">
        <w:rPr>
          <w:b/>
          <w:i/>
          <w:szCs w:val="24"/>
        </w:rPr>
        <w:lastRenderedPageBreak/>
        <w:t>(6)</w:t>
      </w:r>
      <w:r w:rsidRPr="00642914">
        <w:rPr>
          <w:b/>
          <w:i/>
          <w:szCs w:val="24"/>
        </w:rPr>
        <w:tab/>
        <w:t>The Commission should report annually to the European Parliament and the Council on EFRAG's main achievements and activities in the previous year. That report should also examine developments in respect of the expanded public good criterion and provide a detailed overview of the developments in the field of International Financial Reporting Standards (IFRS).</w:t>
      </w:r>
      <w:bookmarkEnd w:id="27"/>
      <w:r w:rsidRPr="00642914">
        <w:rPr>
          <w:b/>
          <w:i/>
          <w:szCs w:val="24"/>
        </w:rPr>
        <w:t xml:space="preserve"> </w:t>
      </w:r>
      <w:bookmarkStart w:id="28" w:name="_DV_C13"/>
      <w:r w:rsidRPr="00642914">
        <w:rPr>
          <w:b/>
          <w:i/>
          <w:szCs w:val="24"/>
        </w:rPr>
        <w:t>Accounting standards should neither jeopardise financial stability in the Union nor hinder the economic development of the Union.</w:t>
      </w:r>
      <w:bookmarkEnd w:id="28"/>
    </w:p>
    <w:p w:rsidR="009842F1" w:rsidRPr="00642914" w:rsidRDefault="009842F1" w:rsidP="009842F1">
      <w:pPr>
        <w:widowControl/>
        <w:autoSpaceDE w:val="0"/>
        <w:autoSpaceDN w:val="0"/>
        <w:adjustRightInd w:val="0"/>
        <w:spacing w:before="120" w:after="120" w:line="360" w:lineRule="auto"/>
        <w:ind w:left="851" w:hanging="851"/>
        <w:rPr>
          <w:b/>
          <w:i/>
          <w:szCs w:val="24"/>
        </w:rPr>
      </w:pPr>
      <w:bookmarkStart w:id="29" w:name="_DV_C14"/>
      <w:r w:rsidRPr="00642914">
        <w:rPr>
          <w:b/>
          <w:i/>
          <w:szCs w:val="24"/>
        </w:rPr>
        <w:t>(7)</w:t>
      </w:r>
      <w:r w:rsidRPr="00642914">
        <w:rPr>
          <w:b/>
          <w:i/>
          <w:szCs w:val="24"/>
        </w:rPr>
        <w:tab/>
        <w:t>As regards the development of IFRS, of PIOB and of EFRAG, the Commission’s annual report should also refer to the follow-up to and the implementation of the recommendations of the European Parliament.</w:t>
      </w:r>
      <w:bookmarkEnd w:id="29"/>
      <w:r w:rsidRPr="00642914">
        <w:rPr>
          <w:b/>
          <w:i/>
          <w:szCs w:val="24"/>
        </w:rPr>
        <w:t xml:space="preserve"> </w:t>
      </w:r>
      <w:bookmarkStart w:id="30" w:name="_DV_C15"/>
      <w:r w:rsidRPr="00642914">
        <w:rPr>
          <w:b/>
          <w:i/>
          <w:szCs w:val="24"/>
        </w:rPr>
        <w:t>In addition, the IFRS Foundation, PIOB and EFRAG are encouraged to participate regularly, at least annually, in hearings organised by the European Parliament in order to provide a full account of the development of international financial reporting and auditing standards.</w:t>
      </w:r>
      <w:bookmarkEnd w:id="30"/>
    </w:p>
    <w:p w:rsidR="009842F1" w:rsidRPr="00642914" w:rsidRDefault="009842F1" w:rsidP="009842F1">
      <w:pPr>
        <w:widowControl/>
        <w:autoSpaceDE w:val="0"/>
        <w:autoSpaceDN w:val="0"/>
        <w:adjustRightInd w:val="0"/>
        <w:spacing w:before="120" w:after="120" w:line="360" w:lineRule="auto"/>
        <w:ind w:left="851" w:hanging="851"/>
        <w:rPr>
          <w:b/>
          <w:i/>
          <w:szCs w:val="24"/>
        </w:rPr>
      </w:pPr>
      <w:bookmarkStart w:id="31" w:name="_DV_C16"/>
      <w:r w:rsidRPr="00642914">
        <w:rPr>
          <w:b/>
          <w:i/>
          <w:szCs w:val="24"/>
        </w:rPr>
        <w:br w:type="page"/>
      </w:r>
      <w:r w:rsidRPr="00642914">
        <w:rPr>
          <w:b/>
          <w:i/>
          <w:szCs w:val="24"/>
        </w:rPr>
        <w:lastRenderedPageBreak/>
        <w:t>(8)</w:t>
      </w:r>
      <w:r w:rsidRPr="00642914">
        <w:rPr>
          <w:b/>
          <w:i/>
          <w:szCs w:val="24"/>
        </w:rPr>
        <w:tab/>
        <w:t>The Commission should provide the European Parliament and the Council with more regular information on the joint endeavours of the IFRS Foundation, of PIOB and of EFRAG, given that those three bodies are co-funded by the Union and are working towards the same objectives.</w:t>
      </w:r>
      <w:bookmarkStart w:id="32" w:name="_DV_C17"/>
      <w:bookmarkEnd w:id="31"/>
    </w:p>
    <w:p w:rsidR="009842F1" w:rsidRPr="00642914" w:rsidRDefault="009842F1" w:rsidP="009842F1">
      <w:pPr>
        <w:widowControl/>
        <w:autoSpaceDE w:val="0"/>
        <w:autoSpaceDN w:val="0"/>
        <w:adjustRightInd w:val="0"/>
        <w:spacing w:before="120" w:after="120" w:line="360" w:lineRule="auto"/>
        <w:ind w:left="851" w:hanging="851"/>
        <w:rPr>
          <w:i/>
          <w:szCs w:val="24"/>
        </w:rPr>
      </w:pPr>
      <w:r w:rsidRPr="00642914">
        <w:rPr>
          <w:b/>
          <w:i/>
          <w:szCs w:val="24"/>
        </w:rPr>
        <w:t>(9)</w:t>
      </w:r>
      <w:r w:rsidRPr="00642914">
        <w:rPr>
          <w:b/>
          <w:i/>
          <w:szCs w:val="24"/>
        </w:rPr>
        <w:tab/>
        <w:t>The Commission should also consider possible changes to the functioning and the private legal status of EFRAG in the long term.</w:t>
      </w:r>
      <w:bookmarkEnd w:id="32"/>
    </w:p>
    <w:p w:rsidR="009842F1" w:rsidRPr="00642914" w:rsidRDefault="009842F1" w:rsidP="009842F1">
      <w:pPr>
        <w:widowControl/>
        <w:autoSpaceDE w:val="0"/>
        <w:autoSpaceDN w:val="0"/>
        <w:adjustRightInd w:val="0"/>
        <w:spacing w:before="120" w:after="120" w:line="360" w:lineRule="auto"/>
        <w:ind w:left="851" w:hanging="851"/>
        <w:rPr>
          <w:szCs w:val="24"/>
        </w:rPr>
      </w:pPr>
      <w:bookmarkStart w:id="33" w:name="_DV_M22"/>
      <w:bookmarkEnd w:id="33"/>
      <w:r w:rsidRPr="00642914">
        <w:rPr>
          <w:szCs w:val="24"/>
        </w:rPr>
        <w:t>(10)</w:t>
      </w:r>
      <w:r w:rsidRPr="00642914">
        <w:rPr>
          <w:szCs w:val="24"/>
        </w:rPr>
        <w:tab/>
      </w:r>
      <w:bookmarkStart w:id="34" w:name="_DV_M23"/>
      <w:bookmarkEnd w:id="34"/>
      <w:r w:rsidRPr="00642914">
        <w:rPr>
          <w:szCs w:val="24"/>
        </w:rPr>
        <w:t>Regulation (EU) No 258/2014 should therefore be amended accordingly.</w:t>
      </w:r>
    </w:p>
    <w:p w:rsidR="009842F1" w:rsidRPr="00642914" w:rsidRDefault="009842F1" w:rsidP="009842F1">
      <w:pPr>
        <w:widowControl/>
        <w:autoSpaceDE w:val="0"/>
        <w:autoSpaceDN w:val="0"/>
        <w:adjustRightInd w:val="0"/>
        <w:spacing w:before="120" w:after="120" w:line="360" w:lineRule="auto"/>
        <w:ind w:left="851" w:hanging="851"/>
        <w:rPr>
          <w:szCs w:val="24"/>
        </w:rPr>
      </w:pPr>
      <w:bookmarkStart w:id="35" w:name="_DV_M24"/>
      <w:bookmarkEnd w:id="35"/>
      <w:r w:rsidRPr="00642914">
        <w:rPr>
          <w:szCs w:val="24"/>
        </w:rPr>
        <w:br w:type="page"/>
      </w:r>
      <w:r w:rsidRPr="00642914">
        <w:rPr>
          <w:szCs w:val="24"/>
        </w:rPr>
        <w:lastRenderedPageBreak/>
        <w:t>(11)</w:t>
      </w:r>
      <w:r w:rsidRPr="00642914">
        <w:rPr>
          <w:szCs w:val="24"/>
        </w:rPr>
        <w:tab/>
      </w:r>
      <w:bookmarkStart w:id="36" w:name="_DV_M25"/>
      <w:bookmarkEnd w:id="36"/>
      <w:r w:rsidRPr="00642914">
        <w:rPr>
          <w:szCs w:val="24"/>
        </w:rPr>
        <w:t>Since the objective of this Regulation, namely increasing the budget of a Union programme for the period 2017 to 2020 in order to support the activities of EFRAG which contribute to the achievement of the policy objectives of the Union in relation to financial reporting, cannot be sufficiently achieved by the Member States,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rsidR="009842F1" w:rsidRPr="00642914" w:rsidRDefault="009842F1" w:rsidP="009842F1">
      <w:pPr>
        <w:widowControl/>
        <w:autoSpaceDE w:val="0"/>
        <w:autoSpaceDN w:val="0"/>
        <w:adjustRightInd w:val="0"/>
        <w:spacing w:before="120" w:after="120" w:line="360" w:lineRule="auto"/>
        <w:ind w:left="851" w:hanging="851"/>
        <w:rPr>
          <w:b/>
          <w:i/>
          <w:szCs w:val="24"/>
        </w:rPr>
      </w:pPr>
      <w:bookmarkStart w:id="37" w:name="_DV_C18"/>
      <w:r w:rsidRPr="00642914">
        <w:rPr>
          <w:b/>
          <w:i/>
          <w:szCs w:val="24"/>
        </w:rPr>
        <w:t>(12)</w:t>
      </w:r>
      <w:r w:rsidRPr="00642914">
        <w:rPr>
          <w:b/>
          <w:i/>
          <w:szCs w:val="24"/>
        </w:rPr>
        <w:tab/>
        <w:t>To ensure the continuity of the funding for EFRAG, this Regulation should enter into force on the day of its publication and should apply as of 1 January 2017,</w:t>
      </w:r>
      <w:bookmarkEnd w:id="37"/>
    </w:p>
    <w:p w:rsidR="009842F1" w:rsidRPr="00642914" w:rsidRDefault="009842F1" w:rsidP="009842F1">
      <w:pPr>
        <w:widowControl/>
        <w:autoSpaceDE w:val="0"/>
        <w:autoSpaceDN w:val="0"/>
        <w:adjustRightInd w:val="0"/>
        <w:spacing w:before="120" w:after="120" w:line="360" w:lineRule="auto"/>
        <w:rPr>
          <w:szCs w:val="24"/>
        </w:rPr>
      </w:pPr>
      <w:bookmarkStart w:id="38" w:name="_DV_M26"/>
      <w:bookmarkEnd w:id="38"/>
      <w:r w:rsidRPr="00642914">
        <w:rPr>
          <w:szCs w:val="24"/>
        </w:rPr>
        <w:t>HAVE ADOPTED THIS REGULATION:</w:t>
      </w:r>
    </w:p>
    <w:p w:rsidR="009842F1" w:rsidRPr="00642914" w:rsidRDefault="009842F1" w:rsidP="009842F1">
      <w:pPr>
        <w:widowControl/>
        <w:spacing w:before="120" w:after="120" w:line="360" w:lineRule="auto"/>
        <w:jc w:val="center"/>
        <w:rPr>
          <w:i/>
          <w:iCs/>
          <w:szCs w:val="24"/>
        </w:rPr>
      </w:pPr>
      <w:bookmarkStart w:id="39" w:name="_DV_M27"/>
      <w:bookmarkEnd w:id="39"/>
      <w:r w:rsidRPr="00642914">
        <w:rPr>
          <w:i/>
          <w:szCs w:val="24"/>
        </w:rPr>
        <w:br w:type="page"/>
      </w:r>
      <w:r w:rsidRPr="00642914">
        <w:rPr>
          <w:i/>
          <w:iCs/>
          <w:szCs w:val="24"/>
        </w:rPr>
        <w:lastRenderedPageBreak/>
        <w:t>Article 1</w:t>
      </w:r>
    </w:p>
    <w:p w:rsidR="009842F1" w:rsidRPr="00642914" w:rsidRDefault="009842F1" w:rsidP="009842F1">
      <w:pPr>
        <w:widowControl/>
        <w:autoSpaceDE w:val="0"/>
        <w:autoSpaceDN w:val="0"/>
        <w:adjustRightInd w:val="0"/>
        <w:spacing w:before="120" w:after="120" w:line="360" w:lineRule="auto"/>
        <w:rPr>
          <w:b/>
          <w:i/>
          <w:szCs w:val="24"/>
        </w:rPr>
      </w:pPr>
      <w:bookmarkStart w:id="40" w:name="_DV_M28"/>
      <w:bookmarkEnd w:id="40"/>
      <w:r w:rsidRPr="00642914">
        <w:rPr>
          <w:szCs w:val="24"/>
        </w:rPr>
        <w:t>Regulation (EU) No 258/2014 is amended as follows:</w:t>
      </w:r>
    </w:p>
    <w:p w:rsidR="009842F1" w:rsidRPr="00642914" w:rsidRDefault="009842F1" w:rsidP="009842F1">
      <w:pPr>
        <w:widowControl/>
        <w:autoSpaceDE w:val="0"/>
        <w:autoSpaceDN w:val="0"/>
        <w:adjustRightInd w:val="0"/>
        <w:spacing w:before="120" w:after="120" w:line="360" w:lineRule="auto"/>
        <w:ind w:left="851" w:hanging="851"/>
        <w:rPr>
          <w:szCs w:val="24"/>
        </w:rPr>
      </w:pPr>
      <w:bookmarkStart w:id="41" w:name="_DV_M29"/>
      <w:bookmarkEnd w:id="41"/>
      <w:r w:rsidRPr="00642914">
        <w:rPr>
          <w:szCs w:val="24"/>
        </w:rPr>
        <w:t>(1)</w:t>
      </w:r>
      <w:r w:rsidRPr="00642914">
        <w:rPr>
          <w:szCs w:val="24"/>
        </w:rPr>
        <w:tab/>
        <w:t xml:space="preserve">in </w:t>
      </w:r>
      <w:bookmarkStart w:id="42" w:name="_DV_M30"/>
      <w:bookmarkEnd w:id="42"/>
      <w:r w:rsidRPr="00642914">
        <w:rPr>
          <w:b/>
          <w:i/>
          <w:szCs w:val="24"/>
        </w:rPr>
        <w:t>Article</w:t>
      </w:r>
      <w:r w:rsidRPr="00642914">
        <w:rPr>
          <w:szCs w:val="24"/>
        </w:rPr>
        <w:t xml:space="preserve"> 3(1)(a), point (i) is replaced by the following:</w:t>
      </w:r>
    </w:p>
    <w:p w:rsidR="009842F1" w:rsidRPr="00642914" w:rsidRDefault="009842F1" w:rsidP="009842F1">
      <w:pPr>
        <w:widowControl/>
        <w:autoSpaceDE w:val="0"/>
        <w:autoSpaceDN w:val="0"/>
        <w:adjustRightInd w:val="0"/>
        <w:spacing w:before="120" w:after="120" w:line="360" w:lineRule="auto"/>
        <w:ind w:left="1418" w:hanging="567"/>
        <w:rPr>
          <w:szCs w:val="24"/>
        </w:rPr>
      </w:pPr>
      <w:bookmarkStart w:id="43" w:name="_DV_M31"/>
      <w:bookmarkEnd w:id="43"/>
      <w:r w:rsidRPr="00642914">
        <w:rPr>
          <w:szCs w:val="24"/>
        </w:rPr>
        <w:t>"(i)</w:t>
      </w:r>
      <w:r w:rsidRPr="00642914">
        <w:rPr>
          <w:szCs w:val="24"/>
        </w:rPr>
        <w:tab/>
        <w:t>EFRAG;";</w:t>
      </w:r>
    </w:p>
    <w:p w:rsidR="009842F1" w:rsidRPr="00642914" w:rsidRDefault="009842F1" w:rsidP="009842F1">
      <w:pPr>
        <w:widowControl/>
        <w:autoSpaceDE w:val="0"/>
        <w:autoSpaceDN w:val="0"/>
        <w:adjustRightInd w:val="0"/>
        <w:spacing w:before="120" w:after="120" w:line="360" w:lineRule="auto"/>
        <w:ind w:left="851" w:hanging="851"/>
        <w:rPr>
          <w:szCs w:val="24"/>
        </w:rPr>
      </w:pPr>
      <w:bookmarkStart w:id="44" w:name="_DV_M32"/>
      <w:bookmarkEnd w:id="44"/>
      <w:r w:rsidRPr="00642914">
        <w:rPr>
          <w:szCs w:val="24"/>
        </w:rPr>
        <w:t>(2)</w:t>
      </w:r>
      <w:r w:rsidRPr="00642914">
        <w:rPr>
          <w:szCs w:val="24"/>
        </w:rPr>
        <w:tab/>
        <w:t>Article 6 is amended as follows:</w:t>
      </w:r>
    </w:p>
    <w:p w:rsidR="009842F1" w:rsidRPr="00642914" w:rsidRDefault="009842F1" w:rsidP="009842F1">
      <w:pPr>
        <w:widowControl/>
        <w:autoSpaceDE w:val="0"/>
        <w:autoSpaceDN w:val="0"/>
        <w:adjustRightInd w:val="0"/>
        <w:spacing w:before="120" w:after="120" w:line="360" w:lineRule="auto"/>
        <w:ind w:left="1418" w:hanging="567"/>
        <w:rPr>
          <w:szCs w:val="24"/>
        </w:rPr>
      </w:pPr>
      <w:bookmarkStart w:id="45" w:name="_DV_M33"/>
      <w:bookmarkEnd w:id="45"/>
      <w:r w:rsidRPr="00642914">
        <w:rPr>
          <w:szCs w:val="24"/>
        </w:rPr>
        <w:t>(a)</w:t>
      </w:r>
      <w:r w:rsidRPr="00642914">
        <w:rPr>
          <w:szCs w:val="24"/>
        </w:rPr>
        <w:tab/>
        <w:t>paragraph 1 is replaced by the following:</w:t>
      </w:r>
    </w:p>
    <w:p w:rsidR="009842F1" w:rsidRPr="00642914" w:rsidRDefault="009842F1" w:rsidP="009842F1">
      <w:pPr>
        <w:widowControl/>
        <w:autoSpaceDE w:val="0"/>
        <w:autoSpaceDN w:val="0"/>
        <w:adjustRightInd w:val="0"/>
        <w:spacing w:before="120" w:after="120" w:line="360" w:lineRule="auto"/>
        <w:ind w:left="1985" w:hanging="567"/>
        <w:rPr>
          <w:szCs w:val="24"/>
        </w:rPr>
      </w:pPr>
      <w:bookmarkStart w:id="46" w:name="_DV_M34"/>
      <w:bookmarkEnd w:id="46"/>
      <w:r w:rsidRPr="00642914">
        <w:rPr>
          <w:szCs w:val="24"/>
        </w:rPr>
        <w:t>"1.</w:t>
      </w:r>
      <w:r w:rsidRPr="00642914">
        <w:rPr>
          <w:szCs w:val="24"/>
        </w:rPr>
        <w:tab/>
        <w:t>The financial envelope for the implementation of the Programme for the period 2014 to 2020 shall be EUR 57 007 000 in current prices.";</w:t>
      </w:r>
    </w:p>
    <w:p w:rsidR="009842F1" w:rsidRPr="00642914" w:rsidRDefault="009842F1" w:rsidP="009842F1">
      <w:pPr>
        <w:widowControl/>
        <w:autoSpaceDE w:val="0"/>
        <w:autoSpaceDN w:val="0"/>
        <w:adjustRightInd w:val="0"/>
        <w:spacing w:before="120" w:after="120" w:line="360" w:lineRule="auto"/>
        <w:ind w:left="1418" w:hanging="567"/>
        <w:rPr>
          <w:szCs w:val="24"/>
        </w:rPr>
      </w:pPr>
      <w:bookmarkStart w:id="47" w:name="_DV_M35"/>
      <w:bookmarkEnd w:id="47"/>
      <w:r w:rsidRPr="00642914">
        <w:rPr>
          <w:szCs w:val="24"/>
        </w:rPr>
        <w:t>(b)</w:t>
      </w:r>
      <w:r w:rsidRPr="00642914">
        <w:rPr>
          <w:szCs w:val="24"/>
        </w:rPr>
        <w:tab/>
        <w:t>in paragraph 3, point (a) is replaced by the following:</w:t>
      </w:r>
    </w:p>
    <w:p w:rsidR="009842F1" w:rsidRPr="00642914" w:rsidRDefault="009842F1" w:rsidP="009842F1">
      <w:pPr>
        <w:widowControl/>
        <w:autoSpaceDE w:val="0"/>
        <w:autoSpaceDN w:val="0"/>
        <w:adjustRightInd w:val="0"/>
        <w:spacing w:before="120" w:after="120" w:line="360" w:lineRule="auto"/>
        <w:ind w:left="1985" w:hanging="567"/>
        <w:rPr>
          <w:szCs w:val="24"/>
        </w:rPr>
      </w:pPr>
      <w:bookmarkStart w:id="48" w:name="_DV_M36"/>
      <w:bookmarkEnd w:id="48"/>
      <w:r w:rsidRPr="00642914">
        <w:rPr>
          <w:szCs w:val="24"/>
        </w:rPr>
        <w:t>"(a)</w:t>
      </w:r>
      <w:r w:rsidRPr="00642914">
        <w:rPr>
          <w:szCs w:val="24"/>
        </w:rPr>
        <w:tab/>
        <w:t>for EFRAG: EUR 23 134 000;".</w:t>
      </w:r>
    </w:p>
    <w:p w:rsidR="009842F1" w:rsidRPr="00642914" w:rsidRDefault="009842F1" w:rsidP="009842F1">
      <w:pPr>
        <w:widowControl/>
        <w:spacing w:before="120" w:after="120" w:line="360" w:lineRule="auto"/>
        <w:ind w:left="851" w:hanging="851"/>
        <w:rPr>
          <w:szCs w:val="24"/>
        </w:rPr>
      </w:pPr>
      <w:bookmarkStart w:id="49" w:name="_DV_C22"/>
      <w:r w:rsidRPr="00642914">
        <w:rPr>
          <w:b/>
          <w:i/>
          <w:szCs w:val="24"/>
        </w:rPr>
        <w:br w:type="page"/>
      </w:r>
      <w:r w:rsidRPr="00642914">
        <w:rPr>
          <w:b/>
          <w:i/>
          <w:szCs w:val="24"/>
        </w:rPr>
        <w:lastRenderedPageBreak/>
        <w:t>(3)</w:t>
      </w:r>
      <w:r w:rsidRPr="00642914">
        <w:rPr>
          <w:b/>
          <w:i/>
          <w:szCs w:val="24"/>
        </w:rPr>
        <w:tab/>
        <w:t>Article 9 is amended as follows:</w:t>
      </w:r>
      <w:bookmarkEnd w:id="49"/>
    </w:p>
    <w:p w:rsidR="009842F1" w:rsidRPr="00642914" w:rsidRDefault="009842F1" w:rsidP="009842F1">
      <w:pPr>
        <w:widowControl/>
        <w:autoSpaceDE w:val="0"/>
        <w:autoSpaceDN w:val="0"/>
        <w:adjustRightInd w:val="0"/>
        <w:spacing w:before="120" w:after="120" w:line="360" w:lineRule="auto"/>
        <w:ind w:left="1418" w:hanging="567"/>
        <w:rPr>
          <w:szCs w:val="24"/>
        </w:rPr>
      </w:pPr>
      <w:bookmarkStart w:id="50" w:name="_DV_C23"/>
      <w:r w:rsidRPr="00642914">
        <w:rPr>
          <w:b/>
          <w:i/>
          <w:szCs w:val="24"/>
        </w:rPr>
        <w:t>(a)</w:t>
      </w:r>
      <w:r w:rsidRPr="00642914">
        <w:rPr>
          <w:b/>
          <w:i/>
          <w:szCs w:val="24"/>
        </w:rPr>
        <w:tab/>
        <w:t>the following paragraph is inserted:</w:t>
      </w:r>
      <w:bookmarkEnd w:id="50"/>
    </w:p>
    <w:p w:rsidR="009842F1" w:rsidRPr="00642914" w:rsidRDefault="009842F1" w:rsidP="009842F1">
      <w:pPr>
        <w:widowControl/>
        <w:autoSpaceDE w:val="0"/>
        <w:autoSpaceDN w:val="0"/>
        <w:adjustRightInd w:val="0"/>
        <w:spacing w:before="120" w:after="120" w:line="360" w:lineRule="auto"/>
        <w:ind w:left="1985" w:hanging="567"/>
        <w:rPr>
          <w:b/>
          <w:i/>
          <w:szCs w:val="24"/>
        </w:rPr>
      </w:pPr>
      <w:bookmarkStart w:id="51" w:name="_DV_C24"/>
      <w:r w:rsidRPr="00642914">
        <w:rPr>
          <w:b/>
          <w:i/>
          <w:szCs w:val="24"/>
        </w:rPr>
        <w:t>“4a.</w:t>
      </w:r>
      <w:r w:rsidRPr="00642914">
        <w:rPr>
          <w:b/>
          <w:i/>
          <w:szCs w:val="24"/>
        </w:rPr>
        <w:tab/>
        <w:t>With regard to the IFRS Foundation and the IASB, the report referred to in paragraph 3 shall also assess their governance, in particular in terms of transparency, the prevention of conflicts of interest and the diversity of experts, and the steps that have been taken to ensure broad representation of interests and public accountability.</w:t>
      </w:r>
      <w:bookmarkEnd w:id="51"/>
    </w:p>
    <w:p w:rsidR="009842F1" w:rsidRPr="00642914" w:rsidRDefault="009842F1" w:rsidP="009842F1">
      <w:pPr>
        <w:widowControl/>
        <w:autoSpaceDE w:val="0"/>
        <w:autoSpaceDN w:val="0"/>
        <w:adjustRightInd w:val="0"/>
        <w:spacing w:before="120" w:after="120" w:line="360" w:lineRule="auto"/>
        <w:ind w:left="1985"/>
        <w:rPr>
          <w:b/>
          <w:i/>
          <w:szCs w:val="24"/>
        </w:rPr>
      </w:pPr>
      <w:bookmarkStart w:id="52" w:name="_DV_C25"/>
      <w:r w:rsidRPr="00642914">
        <w:rPr>
          <w:b/>
          <w:i/>
          <w:szCs w:val="24"/>
        </w:rPr>
        <w:t>In addition, with a view to ensuring high-quality accounting standards and high standards of transparency, accountability and integrity, the report shall identify and assess actions taken within the IFRS Foundation which, inter alia, concern public access to documents, open dialogue with European institutions and various stakeholders, rules on transparency of stakeholders' meetings, and the establishment of transparency registers.”</w:t>
      </w:r>
      <w:bookmarkStart w:id="53" w:name="_DV_C26"/>
      <w:bookmarkEnd w:id="52"/>
      <w:r w:rsidRPr="00642914">
        <w:rPr>
          <w:b/>
          <w:i/>
          <w:szCs w:val="24"/>
        </w:rPr>
        <w:t>;</w:t>
      </w:r>
    </w:p>
    <w:p w:rsidR="009842F1" w:rsidRPr="00642914" w:rsidRDefault="009842F1" w:rsidP="009842F1">
      <w:pPr>
        <w:widowControl/>
        <w:autoSpaceDE w:val="0"/>
        <w:autoSpaceDN w:val="0"/>
        <w:adjustRightInd w:val="0"/>
        <w:spacing w:before="120" w:after="120" w:line="360" w:lineRule="auto"/>
        <w:ind w:left="1418" w:hanging="567"/>
        <w:rPr>
          <w:b/>
          <w:i/>
          <w:szCs w:val="24"/>
        </w:rPr>
      </w:pPr>
      <w:r w:rsidRPr="00642914">
        <w:rPr>
          <w:b/>
          <w:i/>
          <w:szCs w:val="24"/>
        </w:rPr>
        <w:br w:type="page"/>
      </w:r>
      <w:r w:rsidRPr="00642914">
        <w:rPr>
          <w:b/>
          <w:i/>
          <w:szCs w:val="24"/>
        </w:rPr>
        <w:lastRenderedPageBreak/>
        <w:t>(b)</w:t>
      </w:r>
      <w:r w:rsidRPr="00642914">
        <w:rPr>
          <w:b/>
          <w:i/>
          <w:szCs w:val="24"/>
        </w:rPr>
        <w:tab/>
        <w:t>paragraph 5 is replaced by the following:</w:t>
      </w:r>
      <w:bookmarkEnd w:id="53"/>
    </w:p>
    <w:p w:rsidR="009842F1" w:rsidRPr="00642914" w:rsidRDefault="009842F1" w:rsidP="009842F1">
      <w:pPr>
        <w:widowControl/>
        <w:autoSpaceDE w:val="0"/>
        <w:autoSpaceDN w:val="0"/>
        <w:adjustRightInd w:val="0"/>
        <w:spacing w:before="120" w:after="120" w:line="360" w:lineRule="auto"/>
        <w:ind w:left="1985" w:hanging="567"/>
        <w:rPr>
          <w:i/>
          <w:szCs w:val="24"/>
        </w:rPr>
      </w:pPr>
      <w:bookmarkStart w:id="54" w:name="_DV_C27"/>
      <w:r w:rsidRPr="00642914">
        <w:rPr>
          <w:b/>
          <w:i/>
          <w:szCs w:val="24"/>
        </w:rPr>
        <w:t>"5.</w:t>
      </w:r>
      <w:r w:rsidRPr="00642914">
        <w:rPr>
          <w:b/>
          <w:i/>
          <w:szCs w:val="24"/>
        </w:rPr>
        <w:tab/>
        <w:t>With regard to PIOB and its successor organisation, the report referred to in paragraph 3 shall cover developments in the diversification of funding and shall assess how the work of PIOB contributes to the enhancement of audit quality, including the integrity of the auditing profession. If funding by the IFAC in a given year reaches more than two thirds of the total annual PIOB funding, the Commission shall propose to limit its annual contribution for that year to a maximum of EUR 300 000."</w:t>
      </w:r>
      <w:bookmarkEnd w:id="54"/>
      <w:r w:rsidRPr="00642914">
        <w:rPr>
          <w:b/>
          <w:i/>
          <w:szCs w:val="24"/>
        </w:rPr>
        <w:t>;</w:t>
      </w:r>
    </w:p>
    <w:p w:rsidR="009842F1" w:rsidRPr="00642914" w:rsidRDefault="009842F1" w:rsidP="009842F1">
      <w:pPr>
        <w:widowControl/>
        <w:autoSpaceDE w:val="0"/>
        <w:autoSpaceDN w:val="0"/>
        <w:adjustRightInd w:val="0"/>
        <w:spacing w:before="120" w:after="120" w:line="360" w:lineRule="auto"/>
        <w:ind w:left="1418" w:hanging="567"/>
        <w:rPr>
          <w:b/>
          <w:i/>
          <w:szCs w:val="24"/>
        </w:rPr>
      </w:pPr>
      <w:bookmarkStart w:id="55" w:name="_DV_C28"/>
      <w:r w:rsidRPr="00642914">
        <w:rPr>
          <w:b/>
          <w:i/>
          <w:szCs w:val="24"/>
        </w:rPr>
        <w:t>(c)</w:t>
      </w:r>
      <w:r w:rsidRPr="00642914">
        <w:rPr>
          <w:b/>
          <w:i/>
          <w:szCs w:val="24"/>
        </w:rPr>
        <w:tab/>
        <w:t>the following paragraph is inserted:</w:t>
      </w:r>
      <w:bookmarkEnd w:id="55"/>
    </w:p>
    <w:p w:rsidR="009842F1" w:rsidRPr="00642914" w:rsidRDefault="009842F1" w:rsidP="009842F1">
      <w:pPr>
        <w:widowControl/>
        <w:autoSpaceDE w:val="0"/>
        <w:autoSpaceDN w:val="0"/>
        <w:adjustRightInd w:val="0"/>
        <w:spacing w:before="120" w:after="120" w:line="360" w:lineRule="auto"/>
        <w:ind w:left="1985" w:hanging="567"/>
        <w:rPr>
          <w:b/>
          <w:i/>
          <w:szCs w:val="24"/>
        </w:rPr>
      </w:pPr>
      <w:bookmarkStart w:id="56" w:name="_DV_C29"/>
      <w:r w:rsidRPr="00642914">
        <w:rPr>
          <w:b/>
          <w:i/>
          <w:szCs w:val="24"/>
        </w:rPr>
        <w:t>"6a.</w:t>
      </w:r>
      <w:r w:rsidRPr="00642914">
        <w:rPr>
          <w:b/>
          <w:i/>
          <w:szCs w:val="24"/>
        </w:rPr>
        <w:tab/>
        <w:t>With regard to EFRAG, the report referred to in paragraph 3 shall assess as of 2018:</w:t>
      </w:r>
      <w:bookmarkEnd w:id="56"/>
    </w:p>
    <w:p w:rsidR="009842F1" w:rsidRPr="00642914" w:rsidRDefault="009842F1" w:rsidP="009842F1">
      <w:pPr>
        <w:widowControl/>
        <w:autoSpaceDE w:val="0"/>
        <w:autoSpaceDN w:val="0"/>
        <w:adjustRightInd w:val="0"/>
        <w:spacing w:before="120" w:after="120" w:line="360" w:lineRule="auto"/>
        <w:ind w:left="2552" w:hanging="567"/>
        <w:rPr>
          <w:b/>
          <w:i/>
          <w:szCs w:val="24"/>
        </w:rPr>
      </w:pPr>
      <w:bookmarkStart w:id="57" w:name="_DV_C30"/>
      <w:r w:rsidRPr="00642914">
        <w:rPr>
          <w:b/>
          <w:i/>
          <w:szCs w:val="24"/>
        </w:rPr>
        <w:t>(a)</w:t>
      </w:r>
      <w:r w:rsidRPr="00642914">
        <w:rPr>
          <w:b/>
          <w:i/>
          <w:szCs w:val="24"/>
        </w:rPr>
        <w:tab/>
        <w:t>whether the expanded public good criterion as recommended in</w:t>
      </w:r>
      <w:bookmarkStart w:id="58" w:name="_DV_X7"/>
      <w:bookmarkStart w:id="59" w:name="_DV_C31"/>
      <w:bookmarkEnd w:id="57"/>
      <w:r w:rsidRPr="00642914">
        <w:rPr>
          <w:b/>
          <w:i/>
          <w:szCs w:val="24"/>
        </w:rPr>
        <w:t xml:space="preserve"> the special advisor’s report</w:t>
      </w:r>
      <w:bookmarkStart w:id="60" w:name="_DV_C32"/>
      <w:bookmarkEnd w:id="58"/>
      <w:bookmarkEnd w:id="59"/>
      <w:r w:rsidRPr="00642914">
        <w:rPr>
          <w:b/>
          <w:i/>
          <w:szCs w:val="24"/>
        </w:rPr>
        <w:t xml:space="preserve"> has been respected during the endorsement process undertaken during the previous year;</w:t>
      </w:r>
      <w:bookmarkEnd w:id="60"/>
    </w:p>
    <w:p w:rsidR="009842F1" w:rsidRPr="00642914" w:rsidRDefault="009842F1" w:rsidP="009842F1">
      <w:pPr>
        <w:widowControl/>
        <w:autoSpaceDE w:val="0"/>
        <w:autoSpaceDN w:val="0"/>
        <w:adjustRightInd w:val="0"/>
        <w:spacing w:before="120" w:after="120" w:line="360" w:lineRule="auto"/>
        <w:ind w:left="2552" w:hanging="567"/>
        <w:rPr>
          <w:i/>
          <w:szCs w:val="24"/>
        </w:rPr>
      </w:pPr>
      <w:bookmarkStart w:id="61" w:name="_DV_C33"/>
      <w:r w:rsidRPr="00642914">
        <w:rPr>
          <w:b/>
          <w:i/>
          <w:szCs w:val="24"/>
        </w:rPr>
        <w:br w:type="page"/>
      </w:r>
      <w:r w:rsidRPr="00642914">
        <w:rPr>
          <w:b/>
          <w:i/>
          <w:szCs w:val="24"/>
        </w:rPr>
        <w:lastRenderedPageBreak/>
        <w:t>(b)</w:t>
      </w:r>
      <w:r w:rsidRPr="00642914">
        <w:rPr>
          <w:b/>
          <w:i/>
          <w:szCs w:val="24"/>
        </w:rPr>
        <w:tab/>
        <w:t xml:space="preserve">whether the European Parliament and the Council have been involved at an early stage when developing financial reporting standards, in general, and in the endorsement process in particular; </w:t>
      </w:r>
      <w:bookmarkEnd w:id="61"/>
    </w:p>
    <w:p w:rsidR="009842F1" w:rsidRPr="00642914" w:rsidRDefault="009842F1" w:rsidP="009842F1">
      <w:pPr>
        <w:widowControl/>
        <w:autoSpaceDE w:val="0"/>
        <w:autoSpaceDN w:val="0"/>
        <w:adjustRightInd w:val="0"/>
        <w:spacing w:before="120" w:after="120" w:line="360" w:lineRule="auto"/>
        <w:ind w:left="2552" w:hanging="567"/>
        <w:rPr>
          <w:i/>
          <w:szCs w:val="24"/>
        </w:rPr>
      </w:pPr>
      <w:bookmarkStart w:id="62" w:name="_DV_C34"/>
      <w:r w:rsidRPr="00642914">
        <w:rPr>
          <w:b/>
          <w:i/>
          <w:szCs w:val="24"/>
        </w:rPr>
        <w:t>(c)</w:t>
      </w:r>
      <w:r w:rsidRPr="00642914">
        <w:rPr>
          <w:b/>
          <w:i/>
          <w:szCs w:val="24"/>
        </w:rPr>
        <w:tab/>
        <w:t>whether the EFRAG financing structure is sufficiently diversified and balanced to enable it to accomplish its public interest mission in an independent and efficient manner</w:t>
      </w:r>
      <w:bookmarkEnd w:id="62"/>
      <w:r w:rsidRPr="00642914">
        <w:rPr>
          <w:b/>
          <w:i/>
          <w:szCs w:val="24"/>
        </w:rPr>
        <w:t>; and</w:t>
      </w:r>
    </w:p>
    <w:p w:rsidR="009842F1" w:rsidRPr="00642914" w:rsidRDefault="009842F1" w:rsidP="009842F1">
      <w:pPr>
        <w:widowControl/>
        <w:autoSpaceDE w:val="0"/>
        <w:autoSpaceDN w:val="0"/>
        <w:adjustRightInd w:val="0"/>
        <w:spacing w:before="120" w:after="120" w:line="360" w:lineRule="auto"/>
        <w:ind w:left="2552" w:hanging="567"/>
        <w:rPr>
          <w:b/>
          <w:i/>
          <w:szCs w:val="24"/>
        </w:rPr>
      </w:pPr>
      <w:bookmarkStart w:id="63" w:name="_DV_C35"/>
      <w:r w:rsidRPr="00642914">
        <w:rPr>
          <w:b/>
          <w:i/>
          <w:szCs w:val="24"/>
        </w:rPr>
        <w:t>(d)</w:t>
      </w:r>
      <w:r w:rsidRPr="00642914">
        <w:rPr>
          <w:b/>
          <w:i/>
          <w:szCs w:val="24"/>
        </w:rPr>
        <w:tab/>
        <w:t>the governance of EFRAG, in particular in terms of transparency, and the steps that have been taken to ensure broad representation of interests and public accountability.</w:t>
      </w:r>
      <w:bookmarkEnd w:id="63"/>
    </w:p>
    <w:p w:rsidR="009842F1" w:rsidRPr="00642914" w:rsidRDefault="009842F1" w:rsidP="009842F1">
      <w:pPr>
        <w:widowControl/>
        <w:autoSpaceDE w:val="0"/>
        <w:autoSpaceDN w:val="0"/>
        <w:adjustRightInd w:val="0"/>
        <w:spacing w:before="120" w:after="120" w:line="360" w:lineRule="auto"/>
        <w:ind w:left="1985"/>
        <w:rPr>
          <w:b/>
          <w:i/>
          <w:szCs w:val="24"/>
        </w:rPr>
      </w:pPr>
      <w:bookmarkStart w:id="64" w:name="_DV_C36"/>
      <w:r w:rsidRPr="00642914">
        <w:rPr>
          <w:b/>
          <w:i/>
          <w:szCs w:val="24"/>
        </w:rPr>
        <w:t>In addition, it shall identify and assess the actions taken within EFRAG in order to ensure high standards of democratic accountability, transparency, and integrity which, inter alia, concern public access to documents, open dialogue with European institutions and various stakeholders, the establishment of mandatory transparency registers and rules on transparency of stakeholders' meetings as well as internal rules, in particular prevention of conflict of interests."</w:t>
      </w:r>
      <w:bookmarkStart w:id="65" w:name="_DV_M37"/>
      <w:bookmarkEnd w:id="64"/>
      <w:bookmarkEnd w:id="65"/>
      <w:r w:rsidRPr="00642914">
        <w:rPr>
          <w:b/>
          <w:i/>
          <w:szCs w:val="24"/>
        </w:rPr>
        <w:t>.</w:t>
      </w:r>
    </w:p>
    <w:p w:rsidR="009842F1" w:rsidRPr="00642914" w:rsidRDefault="009842F1" w:rsidP="009842F1">
      <w:pPr>
        <w:widowControl/>
        <w:spacing w:before="120" w:after="120" w:line="360" w:lineRule="auto"/>
        <w:jc w:val="center"/>
        <w:rPr>
          <w:iCs/>
          <w:szCs w:val="24"/>
        </w:rPr>
      </w:pPr>
      <w:r w:rsidRPr="00642914">
        <w:rPr>
          <w:i/>
          <w:szCs w:val="24"/>
        </w:rPr>
        <w:br w:type="page"/>
      </w:r>
      <w:r w:rsidRPr="00642914">
        <w:rPr>
          <w:i/>
          <w:iCs/>
          <w:szCs w:val="24"/>
        </w:rPr>
        <w:lastRenderedPageBreak/>
        <w:t>Article 2</w:t>
      </w:r>
      <w:r w:rsidRPr="00642914">
        <w:rPr>
          <w:iCs/>
          <w:szCs w:val="24"/>
        </w:rPr>
        <w:br/>
      </w:r>
      <w:bookmarkStart w:id="66" w:name="_DV_M38"/>
      <w:bookmarkEnd w:id="66"/>
    </w:p>
    <w:p w:rsidR="009842F1" w:rsidRPr="00642914" w:rsidRDefault="009842F1" w:rsidP="009842F1">
      <w:pPr>
        <w:widowControl/>
        <w:autoSpaceDE w:val="0"/>
        <w:autoSpaceDN w:val="0"/>
        <w:adjustRightInd w:val="0"/>
        <w:spacing w:before="120" w:after="120" w:line="360" w:lineRule="auto"/>
        <w:rPr>
          <w:szCs w:val="24"/>
        </w:rPr>
      </w:pPr>
      <w:bookmarkStart w:id="67" w:name="_DV_M39"/>
      <w:bookmarkEnd w:id="67"/>
      <w:r w:rsidRPr="00642914">
        <w:rPr>
          <w:szCs w:val="24"/>
        </w:rPr>
        <w:t xml:space="preserve">This Regulation shall enter into force on the </w:t>
      </w:r>
      <w:bookmarkStart w:id="68" w:name="_DV_M40"/>
      <w:bookmarkEnd w:id="68"/>
      <w:r w:rsidRPr="00642914">
        <w:rPr>
          <w:szCs w:val="24"/>
        </w:rPr>
        <w:t xml:space="preserve">day of its publication in the </w:t>
      </w:r>
      <w:r w:rsidRPr="00642914">
        <w:rPr>
          <w:i/>
          <w:szCs w:val="24"/>
        </w:rPr>
        <w:t>Official Journal of the European Union</w:t>
      </w:r>
      <w:r w:rsidRPr="00642914">
        <w:rPr>
          <w:szCs w:val="24"/>
        </w:rPr>
        <w:t>.</w:t>
      </w:r>
    </w:p>
    <w:p w:rsidR="009842F1" w:rsidRPr="00642914" w:rsidRDefault="009842F1" w:rsidP="009842F1">
      <w:pPr>
        <w:widowControl/>
        <w:autoSpaceDE w:val="0"/>
        <w:autoSpaceDN w:val="0"/>
        <w:adjustRightInd w:val="0"/>
        <w:spacing w:before="120" w:after="120" w:line="360" w:lineRule="auto"/>
        <w:rPr>
          <w:szCs w:val="24"/>
        </w:rPr>
      </w:pPr>
      <w:bookmarkStart w:id="69" w:name="_DV_M42"/>
      <w:bookmarkEnd w:id="69"/>
      <w:r w:rsidRPr="00642914">
        <w:rPr>
          <w:szCs w:val="24"/>
        </w:rPr>
        <w:t xml:space="preserve">It shall apply from 1 January 2017. </w:t>
      </w:r>
    </w:p>
    <w:p w:rsidR="009842F1" w:rsidRPr="00642914" w:rsidRDefault="009842F1" w:rsidP="009842F1">
      <w:pPr>
        <w:widowControl/>
        <w:autoSpaceDE w:val="0"/>
        <w:autoSpaceDN w:val="0"/>
        <w:adjustRightInd w:val="0"/>
        <w:spacing w:before="600" w:after="120" w:line="360" w:lineRule="auto"/>
        <w:rPr>
          <w:b/>
          <w:i/>
          <w:szCs w:val="24"/>
        </w:rPr>
      </w:pPr>
      <w:bookmarkStart w:id="70" w:name="_DV_M43"/>
      <w:bookmarkEnd w:id="70"/>
      <w:r w:rsidRPr="00642914">
        <w:rPr>
          <w:szCs w:val="24"/>
        </w:rPr>
        <w:t>This Regulation shall be binding in its entirety and directly applicable in all Member States.</w:t>
      </w:r>
    </w:p>
    <w:p w:rsidR="009842F1" w:rsidRPr="00642914" w:rsidRDefault="009842F1" w:rsidP="009842F1">
      <w:pPr>
        <w:widowControl/>
        <w:autoSpaceDE w:val="0"/>
        <w:autoSpaceDN w:val="0"/>
        <w:adjustRightInd w:val="0"/>
        <w:spacing w:before="120" w:after="120" w:line="360" w:lineRule="auto"/>
        <w:rPr>
          <w:szCs w:val="24"/>
        </w:rPr>
      </w:pPr>
      <w:bookmarkStart w:id="71" w:name="_DV_M44"/>
      <w:bookmarkEnd w:id="71"/>
      <w:r w:rsidRPr="00642914">
        <w:rPr>
          <w:szCs w:val="24"/>
        </w:rPr>
        <w:t>Done at ...,</w:t>
      </w:r>
    </w:p>
    <w:p w:rsidR="009842F1" w:rsidRPr="00642914" w:rsidRDefault="009842F1" w:rsidP="009842F1">
      <w:pPr>
        <w:widowControl/>
        <w:tabs>
          <w:tab w:val="left" w:pos="5103"/>
        </w:tabs>
        <w:autoSpaceDE w:val="0"/>
        <w:autoSpaceDN w:val="0"/>
        <w:adjustRightInd w:val="0"/>
        <w:spacing w:before="120" w:after="120" w:line="360" w:lineRule="auto"/>
        <w:rPr>
          <w:i/>
          <w:szCs w:val="24"/>
        </w:rPr>
      </w:pPr>
      <w:bookmarkStart w:id="72" w:name="_DV_C40"/>
      <w:r w:rsidRPr="00642914">
        <w:rPr>
          <w:i/>
          <w:szCs w:val="24"/>
        </w:rPr>
        <w:t>For the European Parliament</w:t>
      </w:r>
      <w:r w:rsidRPr="00642914">
        <w:rPr>
          <w:i/>
          <w:szCs w:val="24"/>
        </w:rPr>
        <w:tab/>
        <w:t>For the Council</w:t>
      </w:r>
    </w:p>
    <w:p w:rsidR="009842F1" w:rsidRPr="00642914" w:rsidRDefault="009842F1" w:rsidP="009842F1">
      <w:pPr>
        <w:widowControl/>
        <w:tabs>
          <w:tab w:val="left" w:pos="5103"/>
        </w:tabs>
        <w:autoSpaceDE w:val="0"/>
        <w:autoSpaceDN w:val="0"/>
        <w:adjustRightInd w:val="0"/>
        <w:spacing w:before="120" w:after="120" w:line="360" w:lineRule="auto"/>
        <w:rPr>
          <w:i/>
          <w:szCs w:val="24"/>
        </w:rPr>
      </w:pPr>
      <w:r w:rsidRPr="00642914">
        <w:rPr>
          <w:i/>
          <w:szCs w:val="24"/>
        </w:rPr>
        <w:t>The President</w:t>
      </w:r>
      <w:r w:rsidRPr="00642914">
        <w:rPr>
          <w:i/>
          <w:szCs w:val="24"/>
        </w:rPr>
        <w:tab/>
        <w:t>The President</w:t>
      </w:r>
    </w:p>
    <w:bookmarkEnd w:id="72"/>
    <w:p w:rsidR="009842F1" w:rsidRPr="00642914" w:rsidRDefault="009842F1" w:rsidP="009842F1">
      <w:pPr>
        <w:widowControl/>
        <w:autoSpaceDE w:val="0"/>
        <w:autoSpaceDN w:val="0"/>
        <w:adjustRightInd w:val="0"/>
        <w:spacing w:before="120" w:after="120" w:line="360" w:lineRule="auto"/>
        <w:rPr>
          <w:szCs w:val="24"/>
        </w:rPr>
      </w:pPr>
    </w:p>
    <w:p w:rsidR="006C0168" w:rsidRPr="00642914" w:rsidRDefault="006C0168" w:rsidP="006C0168">
      <w:pPr>
        <w:pStyle w:val="Normal12Centre"/>
        <w:rPr>
          <w:noProof w:val="0"/>
        </w:rPr>
      </w:pPr>
    </w:p>
    <w:p w:rsidR="00AE46A3" w:rsidRPr="00642914" w:rsidRDefault="00AE46A3" w:rsidP="00AE46A3">
      <w:pPr>
        <w:pStyle w:val="Olang"/>
      </w:pPr>
      <w:r w:rsidRPr="00642914">
        <w:t xml:space="preserve">Or. </w:t>
      </w:r>
      <w:r w:rsidRPr="00642914">
        <w:rPr>
          <w:rStyle w:val="HideTWBExt"/>
          <w:noProof w:val="0"/>
        </w:rPr>
        <w:t>&lt;Original&gt;</w:t>
      </w:r>
      <w:r w:rsidR="009842F1" w:rsidRPr="00642914">
        <w:rPr>
          <w:rStyle w:val="HideTWBInt"/>
        </w:rPr>
        <w:t>{EN}</w:t>
      </w:r>
      <w:r w:rsidR="009842F1" w:rsidRPr="00642914">
        <w:t>en</w:t>
      </w:r>
      <w:r w:rsidRPr="00642914">
        <w:rPr>
          <w:rStyle w:val="HideTWBExt"/>
          <w:noProof w:val="0"/>
        </w:rPr>
        <w:t>&lt;/Original&gt;</w:t>
      </w:r>
    </w:p>
    <w:p w:rsidR="0004541F" w:rsidRPr="00642914" w:rsidRDefault="0004541F">
      <w:r w:rsidRPr="00642914">
        <w:rPr>
          <w:rStyle w:val="HideTWBExt"/>
          <w:noProof w:val="0"/>
        </w:rPr>
        <w:t>&lt;/Amend&gt;</w:t>
      </w:r>
    </w:p>
    <w:sectPr w:rsidR="0004541F" w:rsidRPr="00642914"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890" w:rsidRPr="00642914" w:rsidRDefault="00F10890">
      <w:r w:rsidRPr="00642914">
        <w:separator/>
      </w:r>
    </w:p>
  </w:endnote>
  <w:endnote w:type="continuationSeparator" w:id="0">
    <w:p w:rsidR="00F10890" w:rsidRPr="00642914" w:rsidRDefault="00F10890">
      <w:r w:rsidRPr="006429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DC" w:rsidRDefault="009C0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DC" w:rsidRPr="00642914" w:rsidRDefault="002D13DC" w:rsidP="002D13DC">
    <w:pPr>
      <w:pStyle w:val="Footer"/>
    </w:pPr>
    <w:r w:rsidRPr="00642914">
      <w:rPr>
        <w:rStyle w:val="HideTWBExt"/>
        <w:noProof w:val="0"/>
      </w:rPr>
      <w:t>&lt;PathFdR&gt;</w:t>
    </w:r>
    <w:r w:rsidRPr="00642914">
      <w:t>AM\P8_AMA(2016)0291(002-002)_EN.docx</w:t>
    </w:r>
    <w:r w:rsidRPr="00642914">
      <w:rPr>
        <w:rStyle w:val="HideTWBExt"/>
        <w:noProof w:val="0"/>
      </w:rPr>
      <w:t>&lt;/PathFdR&gt;</w:t>
    </w:r>
    <w:r w:rsidRPr="00642914">
      <w:tab/>
    </w:r>
    <w:r w:rsidRPr="00642914">
      <w:fldChar w:fldCharType="begin"/>
    </w:r>
    <w:r w:rsidRPr="00642914">
      <w:instrText xml:space="preserve"> PAGE  \* MERGEFORMAT </w:instrText>
    </w:r>
    <w:r w:rsidRPr="00642914">
      <w:fldChar w:fldCharType="separate"/>
    </w:r>
    <w:r w:rsidR="005F4FF7">
      <w:rPr>
        <w:noProof/>
      </w:rPr>
      <w:t>1</w:t>
    </w:r>
    <w:r w:rsidRPr="00642914">
      <w:fldChar w:fldCharType="end"/>
    </w:r>
    <w:r w:rsidRPr="00642914">
      <w:t>/</w:t>
    </w:r>
    <w:r w:rsidR="005F4FF7">
      <w:fldChar w:fldCharType="begin"/>
    </w:r>
    <w:r w:rsidR="005F4FF7">
      <w:instrText xml:space="preserve"> NUMPAGES  \* MERGEFORMAT </w:instrText>
    </w:r>
    <w:r w:rsidR="005F4FF7">
      <w:fldChar w:fldCharType="separate"/>
    </w:r>
    <w:r w:rsidR="005F4FF7">
      <w:rPr>
        <w:noProof/>
      </w:rPr>
      <w:t>12</w:t>
    </w:r>
    <w:r w:rsidR="005F4FF7">
      <w:rPr>
        <w:noProof/>
      </w:rPr>
      <w:fldChar w:fldCharType="end"/>
    </w:r>
    <w:r w:rsidRPr="00642914">
      <w:tab/>
      <w:t>PE</w:t>
    </w:r>
    <w:r w:rsidRPr="00642914">
      <w:rPr>
        <w:rStyle w:val="HideTWBExt"/>
        <w:noProof w:val="0"/>
      </w:rPr>
      <w:t>&lt;NoPE&gt;</w:t>
    </w:r>
    <w:r w:rsidRPr="00642914">
      <w:t>603.710</w:t>
    </w:r>
    <w:r w:rsidRPr="00642914">
      <w:rPr>
        <w:rStyle w:val="HideTWBExt"/>
        <w:noProof w:val="0"/>
      </w:rPr>
      <w:t>&lt;/NoPE&gt;&lt;Version&gt;</w:t>
    </w:r>
    <w:r w:rsidRPr="00642914">
      <w:t>v01-00</w:t>
    </w:r>
    <w:r w:rsidRPr="00642914">
      <w:rPr>
        <w:rStyle w:val="HideTWBExt"/>
        <w:noProof w:val="0"/>
      </w:rPr>
      <w:t>&lt;/Version&gt;</w:t>
    </w:r>
  </w:p>
  <w:p w:rsidR="00B92ABC" w:rsidRPr="00642914" w:rsidRDefault="002D13DC" w:rsidP="002D13DC">
    <w:pPr>
      <w:pStyle w:val="Footer2"/>
      <w:tabs>
        <w:tab w:val="center" w:pos="4535"/>
      </w:tabs>
    </w:pPr>
    <w:r w:rsidRPr="00642914">
      <w:t>EN</w:t>
    </w:r>
    <w:r w:rsidRPr="00642914">
      <w:tab/>
    </w:r>
    <w:r w:rsidRPr="00642914">
      <w:rPr>
        <w:b w:val="0"/>
        <w:i/>
        <w:color w:val="C0C0C0"/>
        <w:sz w:val="22"/>
      </w:rPr>
      <w:t>United in diversity</w:t>
    </w:r>
    <w:r w:rsidRPr="00642914">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DC" w:rsidRDefault="009C0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890" w:rsidRPr="00642914" w:rsidRDefault="00F10890">
      <w:r w:rsidRPr="00642914">
        <w:separator/>
      </w:r>
    </w:p>
  </w:footnote>
  <w:footnote w:type="continuationSeparator" w:id="0">
    <w:p w:rsidR="00F10890" w:rsidRPr="00642914" w:rsidRDefault="00F10890">
      <w:r w:rsidRPr="00642914">
        <w:continuationSeparator/>
      </w:r>
    </w:p>
  </w:footnote>
  <w:footnote w:id="1">
    <w:p w:rsidR="00B92ABC" w:rsidRPr="00642914" w:rsidRDefault="00B92ABC">
      <w:pPr>
        <w:pStyle w:val="FootnoteText"/>
      </w:pPr>
      <w:r w:rsidRPr="00642914">
        <w:rPr>
          <w:rStyle w:val="FootnoteReference"/>
        </w:rPr>
        <w:t>*</w:t>
      </w:r>
      <w:r w:rsidRPr="00642914">
        <w:t xml:space="preserve"> </w:t>
      </w:r>
      <w:r w:rsidR="00F10890" w:rsidRPr="00642914">
        <w:rPr>
          <w:szCs w:val="22"/>
        </w:rPr>
        <w:t>Amendments: new or amended text is highlighted in bold italics; deletions are indicated by the symbol ▌.</w:t>
      </w:r>
    </w:p>
  </w:footnote>
  <w:footnote w:id="2">
    <w:p w:rsidR="009842F1" w:rsidRPr="00642914" w:rsidRDefault="009842F1" w:rsidP="009842F1">
      <w:pPr>
        <w:pStyle w:val="FootnoteText"/>
        <w:ind w:left="851" w:hanging="851"/>
        <w:rPr>
          <w:sz w:val="24"/>
          <w:szCs w:val="24"/>
        </w:rPr>
      </w:pPr>
      <w:r w:rsidRPr="00642914">
        <w:rPr>
          <w:rStyle w:val="FootnoteReference"/>
          <w:sz w:val="24"/>
          <w:szCs w:val="24"/>
        </w:rPr>
        <w:footnoteRef/>
      </w:r>
      <w:r w:rsidRPr="00642914">
        <w:rPr>
          <w:sz w:val="24"/>
          <w:szCs w:val="24"/>
        </w:rPr>
        <w:tab/>
        <w:t>OJ C 303, 19.8.2016, p. 147.</w:t>
      </w:r>
    </w:p>
  </w:footnote>
  <w:footnote w:id="3">
    <w:p w:rsidR="009842F1" w:rsidRPr="00642914" w:rsidRDefault="009842F1" w:rsidP="009842F1">
      <w:pPr>
        <w:pStyle w:val="FootnoteText"/>
        <w:ind w:left="851" w:hanging="851"/>
        <w:rPr>
          <w:sz w:val="24"/>
          <w:szCs w:val="24"/>
        </w:rPr>
      </w:pPr>
      <w:r w:rsidRPr="00642914">
        <w:rPr>
          <w:rStyle w:val="FootnoteReference"/>
          <w:sz w:val="24"/>
          <w:szCs w:val="24"/>
        </w:rPr>
        <w:footnoteRef/>
      </w:r>
      <w:r w:rsidRPr="00642914">
        <w:rPr>
          <w:sz w:val="24"/>
          <w:szCs w:val="24"/>
        </w:rPr>
        <w:t xml:space="preserve"> </w:t>
      </w:r>
      <w:r w:rsidRPr="00642914">
        <w:rPr>
          <w:sz w:val="24"/>
          <w:szCs w:val="24"/>
        </w:rPr>
        <w:tab/>
        <w:t xml:space="preserve">Position of the European Parliament of ... (not yet published in the </w:t>
      </w:r>
      <w:r w:rsidRPr="00642914">
        <w:rPr>
          <w:i/>
          <w:iCs/>
          <w:sz w:val="24"/>
          <w:szCs w:val="24"/>
        </w:rPr>
        <w:t>Official Journal</w:t>
      </w:r>
      <w:r w:rsidRPr="00642914">
        <w:rPr>
          <w:sz w:val="24"/>
          <w:szCs w:val="24"/>
        </w:rPr>
        <w:t>) and decision of the Council of ... .</w:t>
      </w:r>
    </w:p>
  </w:footnote>
  <w:footnote w:id="4">
    <w:p w:rsidR="009842F1" w:rsidRPr="00642914" w:rsidRDefault="009842F1" w:rsidP="009842F1">
      <w:pPr>
        <w:pStyle w:val="FootnoteText"/>
        <w:ind w:left="720" w:hanging="720"/>
        <w:rPr>
          <w:sz w:val="24"/>
          <w:szCs w:val="24"/>
        </w:rPr>
      </w:pPr>
      <w:r w:rsidRPr="00642914">
        <w:rPr>
          <w:rStyle w:val="FootnoteReference"/>
          <w:sz w:val="24"/>
          <w:szCs w:val="24"/>
        </w:rPr>
        <w:footnoteRef/>
      </w:r>
      <w:r w:rsidRPr="00642914">
        <w:rPr>
          <w:sz w:val="24"/>
          <w:szCs w:val="24"/>
        </w:rPr>
        <w:tab/>
        <w:t>Regulation (EU) No 258/2014 of the European Parliament and of the Council of 3 April 2014 establishing a Union Programme to support specific activities in the field of financial reporting and auditing for the period of 2014-20 and repealing Decision No 716/2009/EC (OJ L 105, 8.4.2014,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DC" w:rsidRDefault="009C0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DC" w:rsidRDefault="009C0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DC" w:rsidRDefault="009C0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opyToNetwork" w:val="0"/>
    <w:docVar w:name="DOCDT" w:val="12/04/2017"/>
    <w:docVar w:name="DOCMNU" w:val=" 1"/>
    <w:docVar w:name="iNoAmend" w:val="1"/>
    <w:docVar w:name="LastEditedSection" w:val=" 1"/>
    <w:docVar w:name="NRAKEY" w:val="029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25831 HideTWBExt;}}{\*\rsidtbl \rsid24658\rsid735077\rsid2892074\rsid4666813\rsid6641733\rsid9636012\rsid11215221\rsid12154954\rsid14424199\rsid15204470\rsid15285974\rsid15410514_x000d__x000a_\rsid15950462\rsid16324206\rsid16325831\rsid16662270}{\mmathPr\mmathFont34\mbrkBin0\mbrkBinSub0\msmallFrac0\mdispDef1\mlMargin0\mrMargin0\mdefJc1\mwrapIndent1440\mintLim0\mnaryLim1}{\info{\author VENNARD Ronan}{\operator VENNARD Ronan}_x000d__x000a_{\creatim\yr2016\mo9\dy27\hr10\min28}{\revtim\yr2016\mo9\dy27\hr10\min29}{\version1}{\edmins0}{\nofpages1}{\nofwords0}{\nofchars7}{\*\company European Parliament}{\nofcharsws7}{\vern57441}}{\*\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32583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5410514 \chftnsep _x000d__x000a_\par }}{\*\ftnsepc \ltrpar \pard\plain \ltrpar\ql \li0\ri0\widctlpar\wrapdefault\aspalpha\aspnum\faauto\adjustright\rin0\lin0\itap0 \rtlch\fcs1 \af0\afs20\alang1025 \ltrch\fcs0 \fs24\lang2057\langfe2057\cgrid\langnp2057\langfenp2057 {\rtlch\fcs1 \af0 _x000d__x000a_\ltrch\fcs0 \insrsid15410514 \chftnsepc _x000d__x000a_\par }}{\*\aftnsep \ltrpar \pard\plain \ltrpar\ql \li0\ri0\widctlpar\wrapdefault\aspalpha\aspnum\faauto\adjustright\rin0\lin0\itap0 \rtlch\fcs1 \af0\afs20\alang1025 \ltrch\fcs0 \fs24\lang2057\langfe2057\cgrid\langnp2057\langfenp2057 {\rtlch\fcs1 \af0 _x000d__x000a_\ltrch\fcs0 \insrsid15410514 \chftnsep _x000d__x000a_\par }}{\*\aftnsepc \ltrpar \pard\plain \ltrpar\ql \li0\ri0\widctlpar\wrapdefault\aspalpha\aspnum\faauto\adjustright\rin0\lin0\itap0 \rtlch\fcs1 \af0\afs20\alang1025 \ltrch\fcs0 \fs24\lang2057\langfe2057\cgrid\langnp2057\langfenp2057 {\rtlch\fcs1 \af0 _x000d__x000a_\ltrch\fcs0 \insrsid1541051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6325831\charrsid9051559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e9_x000d__x000a_7b32991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Rej"/>
    <w:docVar w:name="strSubDir" w:val="P8_"/>
    <w:docVar w:name="TITLEMNU" w:val=" 1"/>
    <w:docVar w:name="TVTMEMBERS1" w:val="Roberto Gualtieri"/>
    <w:docVar w:name="TXTLANGUE" w:val="EN"/>
    <w:docVar w:name="TXTLANGUEMIN" w:val="en"/>
    <w:docVar w:name="TXTNRPE" w:val="603.710"/>
    <w:docVar w:name="TXTPEorAP" w:val="PE"/>
    <w:docVar w:name="TXTROUTE" w:val="AM\P8_AMA(2016)0291(002-002)_EN.docx"/>
    <w:docVar w:name="TXTVERSION" w:val="01-00"/>
  </w:docVars>
  <w:rsids>
    <w:rsidRoot w:val="00F10890"/>
    <w:rsid w:val="0004541F"/>
    <w:rsid w:val="000C7D90"/>
    <w:rsid w:val="001A2045"/>
    <w:rsid w:val="001A71DA"/>
    <w:rsid w:val="001A7FD0"/>
    <w:rsid w:val="002B3AF1"/>
    <w:rsid w:val="002D13DC"/>
    <w:rsid w:val="003B7E48"/>
    <w:rsid w:val="003E71B1"/>
    <w:rsid w:val="004731D6"/>
    <w:rsid w:val="00481E81"/>
    <w:rsid w:val="004959CE"/>
    <w:rsid w:val="00525DC0"/>
    <w:rsid w:val="005E6C7D"/>
    <w:rsid w:val="005F4FF7"/>
    <w:rsid w:val="00623133"/>
    <w:rsid w:val="006339AB"/>
    <w:rsid w:val="00642914"/>
    <w:rsid w:val="00660F58"/>
    <w:rsid w:val="006A5C2D"/>
    <w:rsid w:val="006C0168"/>
    <w:rsid w:val="00766A75"/>
    <w:rsid w:val="007A605C"/>
    <w:rsid w:val="0086033A"/>
    <w:rsid w:val="00874E6B"/>
    <w:rsid w:val="00875510"/>
    <w:rsid w:val="00892C85"/>
    <w:rsid w:val="00893ABA"/>
    <w:rsid w:val="008F566E"/>
    <w:rsid w:val="00905977"/>
    <w:rsid w:val="00907D63"/>
    <w:rsid w:val="00907F1D"/>
    <w:rsid w:val="0093649F"/>
    <w:rsid w:val="0097051C"/>
    <w:rsid w:val="009731C5"/>
    <w:rsid w:val="009842F1"/>
    <w:rsid w:val="009A17A9"/>
    <w:rsid w:val="009C09DC"/>
    <w:rsid w:val="00AD4980"/>
    <w:rsid w:val="00AE46A3"/>
    <w:rsid w:val="00B9229C"/>
    <w:rsid w:val="00B92ABC"/>
    <w:rsid w:val="00BD4891"/>
    <w:rsid w:val="00C2106C"/>
    <w:rsid w:val="00C23925"/>
    <w:rsid w:val="00C60300"/>
    <w:rsid w:val="00D13D6F"/>
    <w:rsid w:val="00D2771D"/>
    <w:rsid w:val="00D926D4"/>
    <w:rsid w:val="00DE1D7F"/>
    <w:rsid w:val="00E5087F"/>
    <w:rsid w:val="00E52E7D"/>
    <w:rsid w:val="00E71388"/>
    <w:rsid w:val="00E8102F"/>
    <w:rsid w:val="00EF563A"/>
    <w:rsid w:val="00F10890"/>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E5C58F-E106-42C0-A0AF-9235EFBB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126C01B1</Template>
  <TotalTime>0</TotalTime>
  <Pages>1</Pages>
  <Words>794</Words>
  <Characters>8470</Characters>
  <Application>Microsoft Office Word</Application>
  <DocSecurity>0</DocSecurity>
  <Lines>770</Lines>
  <Paragraphs>661</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VENNARD Ronan</dc:creator>
  <cp:keywords/>
  <dc:description/>
  <cp:lastModifiedBy>VENNARD Ronan</cp:lastModifiedBy>
  <cp:revision>2</cp:revision>
  <cp:lastPrinted>2004-11-28T10:03:00Z</cp:lastPrinted>
  <dcterms:created xsi:type="dcterms:W3CDTF">2017-04-20T15:35:00Z</dcterms:created>
  <dcterms:modified xsi:type="dcterms:W3CDTF">2017-04-20T15:35:00Z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P8_AMA(2016)0291(002-002)_</vt:lpwstr>
  </property>
  <property fmtid="{D5CDD505-2E9C-101B-9397-08002B2CF9AE}" pid="6" name="&lt;Type&gt;">
    <vt:lpwstr>AM</vt:lpwstr>
  </property>
  <property fmtid="{D5CDD505-2E9C-101B-9397-08002B2CF9AE}" pid="7" name="&lt;ModelCod&gt;">
    <vt:lpwstr>\\eiciBRUpr1\pdocep$\DocEP\DOCS\General\AM\AM_Leg\AM_Ple_Leg\AM_Ple_LegConsolidated.dot(17/02/2016 11:46:18)</vt:lpwstr>
  </property>
  <property fmtid="{D5CDD505-2E9C-101B-9397-08002B2CF9AE}" pid="8" name="&lt;ModelTra&gt;">
    <vt:lpwstr>\\eiciBRUpr1\pdocep$\DocEP\TRANSFIL\EN\AM_Ple_LegConsolidated.EN(22/09/2016 15:22:10)</vt:lpwstr>
  </property>
  <property fmtid="{D5CDD505-2E9C-101B-9397-08002B2CF9AE}" pid="9" name="&lt;Model&gt;">
    <vt:lpwstr>AM_Ple_LegConsolidated</vt:lpwstr>
  </property>
  <property fmtid="{D5CDD505-2E9C-101B-9397-08002B2CF9AE}" pid="10" name="FooterPath">
    <vt:lpwstr>AM\P8_AMA(2016)0291(002-002)_EN.docx</vt:lpwstr>
  </property>
  <property fmtid="{D5CDD505-2E9C-101B-9397-08002B2CF9AE}" pid="11" name="PE Number">
    <vt:lpwstr>603.710</vt:lpwstr>
  </property>
</Properties>
</file>