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&lt;RepeatBlock-Amend&gt;&lt;Amend&gt;&lt;Date&gt;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333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333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Adinolfi, David Borrelli, Fabio Massimo Castaldo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</w:t>
      </w:r>
      <w:r w:rsidRPr="00703A45">
        <w:rPr>
          <w:rStyle w:val="HideTWBExt"/>
        </w:rPr>
        <w:t>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4. peatükk – artikkel 34 – lõige 2 a (uus)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EA095E">
            <w:pPr>
              <w:pStyle w:val="Normal6"/>
            </w:pP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rPr>
                <w:b/>
                <w:i/>
              </w:rPr>
              <w:t>2 a.</w:t>
            </w:r>
            <w:r w:rsidRPr="00703A45">
              <w:tab/>
            </w:r>
            <w:r w:rsidRPr="00703A45">
              <w:rPr>
                <w:b/>
                <w:i/>
              </w:rPr>
              <w:t>Lõikeid 1 ja 2 kohaldatakse – eelkõige parlamendiliikmete nimekirja ja toetusdeklaratsioonide o</w:t>
            </w:r>
            <w:bookmarkStart w:id="0" w:name="_GoBack"/>
            <w:bookmarkEnd w:id="0"/>
            <w:r w:rsidRPr="00703A45">
              <w:rPr>
                <w:b/>
                <w:i/>
              </w:rPr>
              <w:t xml:space="preserve">sas – ka kõigi muude parlamendiliikmete </w:t>
            </w:r>
            <w:r w:rsidRPr="00703A45">
              <w:rPr>
                <w:b/>
                <w:i/>
              </w:rPr>
              <w:t>mitteametlike rühmade suhtes, et nende tegevus oleks sama läbipaistev kui laiendatud töörühmadel.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334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334</w:t>
      </w:r>
      <w:r w:rsidRPr="00703A45">
        <w:rPr>
          <w:rStyle w:val="HideTWBExt"/>
        </w:rPr>
        <w:t>&lt;/NumAm</w:t>
      </w:r>
      <w:r w:rsidRPr="00703A45">
        <w:rPr>
          <w:rStyle w:val="HideTWBExt"/>
        </w:rPr>
        <w:t>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Adinolfi, Fabio Massimo Castaldo, David Borrelli</w:t>
      </w:r>
      <w:r>
        <w:t xml:space="preserve">, </w:t>
      </w:r>
      <w:r>
        <w:rPr>
          <w:lang w:val="pt-PT"/>
        </w:rPr>
        <w:t>Rolandas Paksas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</w:t>
      </w:r>
      <w:r w:rsidRPr="00703A45">
        <w:t>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6. peatükk – artikkel 73 – lõige 4 – lõik 2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 xml:space="preserve">Pärast </w:t>
            </w:r>
            <w:r w:rsidRPr="00703A45">
              <w:t>iga kolmepoolset kohtumist annab läbirääkimisrühm selle kohta aru vastutava komisjoni järgmisel koosolekul. Viimase kolmepoolse kohtumise tulemusi kajastavad dokumendid tehakse parlamendikomisjonile kättesaadavaks.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>Pärast iga kolmepoolset kohtumist annab l</w:t>
            </w:r>
            <w:r w:rsidRPr="00703A45">
              <w:t>äbirääkimisrühm selle kohta aru vastutava komisjoni järgmisel koosolekul. Viimase kolmepoolse kohtumise tulemusi kajastavad dokumendid</w:t>
            </w:r>
            <w:r w:rsidRPr="00703A45">
              <w:rPr>
                <w:b/>
                <w:i/>
              </w:rPr>
              <w:t>, sh kohtumise protokoll,</w:t>
            </w:r>
            <w:r w:rsidRPr="00703A45">
              <w:t xml:space="preserve"> tehakse parlamendikomisjonile kättesaadavaks</w:t>
            </w:r>
            <w:r w:rsidRPr="00703A45">
              <w:rPr>
                <w:b/>
                <w:i/>
              </w:rPr>
              <w:t xml:space="preserve"> ja avaldatakse võimalikult kiiresti</w:t>
            </w:r>
            <w:r w:rsidRPr="00703A45">
              <w:t>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&lt;Original</w:t>
      </w:r>
      <w:r w:rsidRPr="00703A45">
        <w:rPr>
          <w:rStyle w:val="HideTWBExt"/>
          <w:lang w:val="et-EE"/>
        </w:rPr>
        <w:t>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335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335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Adinolfi, Fabio Massimo Castaldo, David Borrelli</w:t>
      </w:r>
      <w:r>
        <w:t xml:space="preserve">, </w:t>
      </w:r>
      <w:r w:rsidRPr="00703A45">
        <w:t>Rolandas Paksas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6. peatükk – artikkel 73 – lõige 4 – lõik 3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 xml:space="preserve">Kui </w:t>
            </w:r>
            <w:r w:rsidRPr="00703A45">
              <w:rPr>
                <w:b/>
                <w:i/>
              </w:rPr>
              <w:t>parlamendikomisjoni</w:t>
            </w:r>
            <w:r w:rsidRPr="00703A45">
              <w:t xml:space="preserve"> koosolekut ei ole võimalik õigeaegselt kokku kutsuda, </w:t>
            </w:r>
            <w:r w:rsidRPr="00703A45">
              <w:rPr>
                <w:b/>
                <w:i/>
              </w:rPr>
              <w:t>annab läbirääkimisrühm vas</w:t>
            </w:r>
            <w:r w:rsidRPr="00703A45">
              <w:rPr>
                <w:b/>
                <w:i/>
              </w:rPr>
              <w:t>tavalt vajadusele aru komisjoni esimehele, variraportööridele ja koordinaatoritele</w:t>
            </w:r>
            <w:r w:rsidRPr="00703A45">
              <w:t>.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 xml:space="preserve">Kui </w:t>
            </w:r>
            <w:r w:rsidRPr="00703A45">
              <w:rPr>
                <w:b/>
                <w:i/>
              </w:rPr>
              <w:t>komisjoni</w:t>
            </w:r>
            <w:r w:rsidRPr="00703A45">
              <w:t xml:space="preserve"> koosolekut ei ole võimalik õigeaegselt kokku kutsuda, </w:t>
            </w:r>
            <w:r w:rsidRPr="00703A45">
              <w:rPr>
                <w:b/>
                <w:i/>
              </w:rPr>
              <w:t>annavad läbirääkimisrühma juht ja raportöör läbirääkimisrühma nimel komisjonile aru kirjalikult</w:t>
            </w:r>
            <w:r w:rsidRPr="00703A45">
              <w:t>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</w:t>
      </w:r>
      <w:r w:rsidRPr="00703A45">
        <w:rPr>
          <w:rStyle w:val="HideTWBExt"/>
          <w:lang w:val="et-EE"/>
        </w:rPr>
        <w:t>Original&gt;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336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336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Adinolfi, Fabio Massimo Castaldo, David Borrelli</w:t>
      </w:r>
      <w:r>
        <w:t xml:space="preserve">, </w:t>
      </w:r>
      <w:r w:rsidRPr="00703A45">
        <w:t>Rolandas Paksas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Artikkel 115 – lõige 3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>3.</w:t>
            </w:r>
            <w:r w:rsidRPr="00703A45">
              <w:tab/>
              <w:t xml:space="preserve">Parlamendikomisjonide koosolekud on </w:t>
            </w:r>
            <w:r w:rsidRPr="00703A45">
              <w:rPr>
                <w:b/>
                <w:i/>
              </w:rPr>
              <w:t>reeglina</w:t>
            </w:r>
            <w:r w:rsidRPr="00703A45">
              <w:t xml:space="preserve"> avalikud. Hiljemalt koosoleku päevakorra vastuvõtmise ajal võivad komisjonid otsustada jaotada koosoleku päevakorra avalikul ja kinnisel koosolekul käsitletavateks punktideks. Kui parlamendikomisjoni koosolek on kinnine, </w:t>
            </w:r>
            <w:r w:rsidRPr="00703A45">
              <w:rPr>
                <w:b/>
                <w:i/>
              </w:rPr>
              <w:t>võib</w:t>
            </w:r>
            <w:r w:rsidRPr="00703A45">
              <w:t xml:space="preserve"> komisjon kooskõlas Euroopa Pa</w:t>
            </w:r>
            <w:r w:rsidRPr="00703A45">
              <w:t xml:space="preserve">rlamendi ja nõukogu määruse (EÜ) nr 1049/2001 artikli 4 lõigetega 1–4 </w:t>
            </w:r>
            <w:r w:rsidRPr="00703A45">
              <w:rPr>
                <w:b/>
                <w:i/>
              </w:rPr>
              <w:t>teha</w:t>
            </w:r>
            <w:r w:rsidRPr="00703A45">
              <w:t xml:space="preserve"> üldsusele kättesaadavaks koosoleku dokumendid ja protokolli. Konfidentsiaalsusnõuete rikkumise korral kohaldatakse artiklit 166.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>3.</w:t>
            </w:r>
            <w:r w:rsidRPr="00703A45">
              <w:tab/>
              <w:t>Parlamendikomisjonide koosolekud on </w:t>
            </w:r>
            <w:r w:rsidRPr="00703A45">
              <w:rPr>
                <w:b/>
                <w:i/>
              </w:rPr>
              <w:t>üldjuhul</w:t>
            </w:r>
            <w:r w:rsidRPr="00703A45">
              <w:t xml:space="preserve"> aval</w:t>
            </w:r>
            <w:r w:rsidRPr="00703A45">
              <w:t>ikud. Hiljemalt koosoleku päevakorra vastuvõtmise ajal võivad komisjonid </w:t>
            </w:r>
            <w:r w:rsidRPr="00703A45">
              <w:rPr>
                <w:b/>
                <w:i/>
              </w:rPr>
              <w:t xml:space="preserve">oma täiskoosseisu nimelise hääletuse alusel </w:t>
            </w:r>
            <w:r w:rsidRPr="00703A45">
              <w:t>otsustada jaotada koosoleku päevakorra avalikul ja kinnisel koosolekul käsitletavateks punktideks. Kui parlamendikomisjoni koosolek on kinn</w:t>
            </w:r>
            <w:r w:rsidRPr="00703A45">
              <w:t>ine, </w:t>
            </w:r>
            <w:r w:rsidRPr="00703A45">
              <w:rPr>
                <w:b/>
                <w:i/>
              </w:rPr>
              <w:t>peab</w:t>
            </w:r>
            <w:r w:rsidRPr="00703A45">
              <w:t xml:space="preserve"> komisjon kooskõlas Euroopa Parlamendi ja nõukogu määruse (EÜ) nr 1049/2001 artikli 4 lõigetega 1–4 </w:t>
            </w:r>
            <w:r w:rsidRPr="00703A45">
              <w:rPr>
                <w:b/>
                <w:i/>
              </w:rPr>
              <w:t>tegema</w:t>
            </w:r>
            <w:r w:rsidRPr="00703A45">
              <w:t xml:space="preserve"> üldsusele kättesaadavaks koosoleku dokumendid ja protokolli. Konfidentsiaalsusnõuete rikkumise korral kohaldatakse artiklit 166.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</w:t>
      </w:r>
      <w:r w:rsidRPr="00703A45">
        <w:rPr>
          <w:rStyle w:val="HideTWBExt"/>
          <w:lang w:val="et-EE"/>
        </w:rPr>
        <w:t>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337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337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Adinolfi, Fabio Massimo Castaldo, David Borrelli</w:t>
      </w:r>
      <w:r>
        <w:t xml:space="preserve">, </w:t>
      </w:r>
      <w:r w:rsidRPr="00703A45">
        <w:t>Rolandas Paksas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</w:t>
      </w:r>
      <w:r w:rsidRPr="00703A45">
        <w:rPr>
          <w:rStyle w:val="HideTWBInt"/>
        </w:rPr>
        <w:t>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1. peatükk – artikkel 117 – lõige 2 – lõik 2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 xml:space="preserve">Hääletus on </w:t>
            </w:r>
            <w:r w:rsidRPr="00703A45">
              <w:rPr>
                <w:b/>
                <w:i/>
              </w:rPr>
              <w:t>salajane</w:t>
            </w:r>
            <w:r w:rsidRPr="00703A45">
              <w:t>.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 xml:space="preserve">Hääletus on </w:t>
            </w:r>
            <w:r w:rsidRPr="00703A45">
              <w:rPr>
                <w:b/>
                <w:i/>
              </w:rPr>
              <w:t>nimeline</w:t>
            </w:r>
            <w:r w:rsidRPr="00703A45">
              <w:t>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</w:t>
      </w:r>
      <w:r w:rsidRPr="00703A45">
        <w:rPr>
          <w:rStyle w:val="HideTWBInt"/>
          <w:lang w:val="et-EE"/>
        </w:rPr>
        <w:t>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338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338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Adinolfi, Fabio Massimo Castaldo, David Borrelli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r w:rsidRPr="00703A45">
        <w:rPr>
          <w:rStyle w:val="HideTWBExt"/>
        </w:rPr>
        <w:t>&lt;/RepeatBlo</w:t>
      </w:r>
      <w:r w:rsidRPr="00703A45">
        <w:rPr>
          <w:rStyle w:val="HideTWBExt"/>
        </w:rPr>
        <w:t>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 xml:space="preserve">3. peatükk – artikkel 130 – </w:t>
      </w:r>
      <w:r w:rsidRPr="00703A45">
        <w:t>lõige 2 a (uus)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EA095E">
            <w:pPr>
              <w:pStyle w:val="Normal6"/>
            </w:pP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rPr>
                <w:b/>
                <w:i/>
              </w:rPr>
              <w:t>2 a.</w:t>
            </w:r>
            <w:r w:rsidRPr="00703A45">
              <w:tab/>
            </w:r>
            <w:r w:rsidRPr="00703A45">
              <w:rPr>
                <w:b/>
                <w:i/>
              </w:rPr>
              <w:t>Loetelu vastuvõetamatutest küsimustest, millel puudub selgelt alus või mis on eksitavad, avaldatakse koos lühiselgitusega iga kuu parlamendi veebisaidil.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</w:t>
      </w:r>
      <w:r w:rsidRPr="00703A45">
        <w:rPr>
          <w:rStyle w:val="HideTWBExt"/>
          <w:lang w:val="et-EE"/>
        </w:rPr>
        <w:t>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339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339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Adinolfi, Fabio Massimo Castaldo, David Borrelli</w:t>
      </w:r>
      <w:r>
        <w:t xml:space="preserve">, </w:t>
      </w:r>
      <w:r w:rsidRPr="00703A45">
        <w:t>Rolandas Paksas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</w:t>
      </w:r>
      <w:r w:rsidRPr="00703A45">
        <w:rPr>
          <w:rStyle w:val="HideTWBExt"/>
        </w:rPr>
        <w:t>/AuNomDe&gt;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</w:t>
      </w:r>
      <w:r w:rsidRPr="00703A45">
        <w:t>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3. peatükk – artikkel 130 – lõige 3 – lõik 1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 xml:space="preserve">Küsimused esitatakse elektrooniliselt. Iga parlamendiliige võib esitada kuni </w:t>
            </w:r>
            <w:r w:rsidRPr="00703A45">
              <w:rPr>
                <w:b/>
                <w:i/>
              </w:rPr>
              <w:t>viis</w:t>
            </w:r>
            <w:r w:rsidRPr="00703A45">
              <w:t xml:space="preserve"> küsimust kuus.</w:t>
            </w:r>
            <w:r w:rsidRPr="00703A45">
              <w:rPr>
                <w:b/>
                <w:i/>
              </w:rPr>
              <w:t xml:space="preserve"> 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 xml:space="preserve">Küsimused esitatakse elektrooniliselt. </w:t>
            </w:r>
            <w:r w:rsidRPr="00703A45">
              <w:t>Iga parlamendiliige võib esitada kuni </w:t>
            </w:r>
            <w:r w:rsidRPr="00703A45">
              <w:rPr>
                <w:b/>
                <w:i/>
              </w:rPr>
              <w:t>10</w:t>
            </w:r>
            <w:r w:rsidRPr="00703A45">
              <w:t xml:space="preserve"> küsimust kuus.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340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340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</w:t>
      </w:r>
      <w:r w:rsidRPr="00703A45">
        <w:t>fi, Fabio Massimo Castaldo, David Borrelli</w:t>
      </w:r>
      <w:r>
        <w:t xml:space="preserve">, </w:t>
      </w:r>
      <w:r w:rsidRPr="00703A45">
        <w:t>Rolandas Paksas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 xml:space="preserve">Euroopa </w:t>
      </w:r>
      <w:r w:rsidRPr="00703A45">
        <w:t>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5. peatükk – artikkel 136 – lõige 2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>2.</w:t>
            </w:r>
            <w:r w:rsidRPr="00703A45">
              <w:tab/>
              <w:t xml:space="preserve">Edasise menetlemise luba antakse iga juhtumi puhul </w:t>
            </w:r>
            <w:r w:rsidRPr="00703A45">
              <w:t>presidendi põhjendatud otsusega vastavalt lõikele 1. Kirjalikud deklaratsioonid avaldatakse ametlikes keeltes parlamendi veebisaidil ja jagatakse elektrooniliselt kõikidele parlamendiliikmetele. Need kantakse koos allakirjutanute nimedega elektroonilisse r</w:t>
            </w:r>
            <w:r w:rsidRPr="00703A45">
              <w:t>egistrisse. Register on avalik ning sellega saab tutvuda parlamendi veebisaidil.</w:t>
            </w:r>
            <w:r w:rsidRPr="00703A45">
              <w:rPr>
                <w:b/>
                <w:i/>
              </w:rPr>
              <w:t xml:space="preserve"> President säilitab ka kirjalike deklaratsioonide ja neile antud allkirjade paberkoopiad.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>2.</w:t>
            </w:r>
            <w:r w:rsidRPr="00703A45">
              <w:tab/>
              <w:t xml:space="preserve">Edasise menetlemise luba antakse iga juhtumi puhul presidendi põhjendatud otsusega </w:t>
            </w:r>
            <w:r w:rsidRPr="00703A45">
              <w:t>vastavalt lõikele 1. Kirjalikud deklaratsioonid avaldatakse ametlikes keeltes parlamendi veebisaidil ja jagatakse elektrooniliselt kõikidele parlamendiliikmetele. Need kantakse koos allakirjutanute nimedega elektroonilisse registrisse. Register on avalik n</w:t>
            </w:r>
            <w:r w:rsidRPr="00703A45">
              <w:t>ing sellega saab tutvuda parlamendi veebisaidil.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341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341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 xml:space="preserve">Isabella Adinolfi, </w:t>
      </w:r>
      <w:r w:rsidRPr="00703A45">
        <w:t>Fabio Massimo Castaldo, David Borrelli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</w:t>
      </w:r>
      <w:r w:rsidRPr="00703A45">
        <w:rPr>
          <w:rStyle w:val="HideTWBExt"/>
        </w:rPr>
        <w:t>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4. peatükk – artikkel 165 – lõige 4 a (uus)</w:t>
      </w:r>
      <w:r w:rsidRPr="00703A4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EA095E">
            <w:pPr>
              <w:pStyle w:val="Normal6"/>
            </w:pP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rPr>
                <w:b/>
                <w:i/>
              </w:rPr>
              <w:t>4 a.</w:t>
            </w:r>
            <w:r w:rsidRPr="00703A45">
              <w:tab/>
            </w:r>
            <w:r w:rsidRPr="00703A45">
              <w:rPr>
                <w:b/>
                <w:i/>
              </w:rPr>
              <w:t>Kui parlamendiliige kõneleb või käitub arutelu käigus laimavalt, rassistlikult või</w:t>
            </w:r>
            <w:r w:rsidRPr="00703A45">
              <w:rPr>
                <w:b/>
                <w:i/>
              </w:rPr>
              <w:t xml:space="preserve"> ksenofoobselt, avaldab parlament märgukirja, milles ta mõistab sellise teo ametlikult hukka ja mis tuleb alati avaldada alati parlamendi veebisaidi vastavas rubriigis.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Interstitial1"/>
        <w:rPr>
          <w:lang w:val="et-EE"/>
        </w:rPr>
      </w:pPr>
      <w:r w:rsidRPr="00703A45">
        <w:rPr>
          <w:rStyle w:val="HideTWBExt"/>
          <w:lang w:val="et-EE"/>
        </w:rPr>
        <w:t>&lt;/Amend&gt;</w:t>
      </w:r>
      <w:r w:rsidRPr="00703A45">
        <w:rPr>
          <w:lang w:val="et-EE"/>
        </w:rPr>
        <w:br w:type="page"/>
      </w:r>
      <w:r w:rsidRPr="00703A45">
        <w:rPr>
          <w:rStyle w:val="HideTWBExt"/>
          <w:lang w:val="et-EE"/>
        </w:rPr>
        <w:lastRenderedPageBreak/>
        <w:t>&lt;Amend&gt;&lt;Date&gt;</w:t>
      </w:r>
      <w:r w:rsidRPr="00703A45">
        <w:rPr>
          <w:rStyle w:val="HideTWBInt"/>
          <w:lang w:val="et-EE"/>
        </w:rPr>
        <w:t>{07/12/2016}</w:t>
      </w:r>
      <w:r w:rsidRPr="00703A45">
        <w:rPr>
          <w:lang w:val="et-EE"/>
        </w:rPr>
        <w:t>7.12.2016</w:t>
      </w:r>
      <w:r w:rsidRPr="00703A45">
        <w:rPr>
          <w:rStyle w:val="HideTWBExt"/>
          <w:lang w:val="et-EE"/>
        </w:rPr>
        <w:t>&lt;/Date&gt;</w:t>
      </w:r>
      <w:r w:rsidRPr="00703A45">
        <w:rPr>
          <w:lang w:val="et-EE"/>
        </w:rPr>
        <w:tab/>
      </w:r>
      <w:r w:rsidRPr="00703A45">
        <w:rPr>
          <w:rStyle w:val="HideTWBExt"/>
          <w:lang w:val="et-EE"/>
        </w:rPr>
        <w:t>&lt;</w:t>
      </w:r>
      <w:r w:rsidRPr="00703A45">
        <w:rPr>
          <w:rStyle w:val="HideTWBExt"/>
          <w:lang w:val="et-EE"/>
        </w:rPr>
        <w:t>ANo&gt;</w:t>
      </w:r>
      <w:r w:rsidRPr="00703A45">
        <w:rPr>
          <w:lang w:val="et-EE"/>
        </w:rPr>
        <w:t>A8-0344</w:t>
      </w:r>
      <w:r w:rsidRPr="00703A45">
        <w:rPr>
          <w:rStyle w:val="HideTWBExt"/>
          <w:lang w:val="et-EE"/>
        </w:rPr>
        <w:t>&lt;/ANo&gt;</w:t>
      </w:r>
      <w:r w:rsidRPr="00703A45">
        <w:rPr>
          <w:lang w:val="et-EE"/>
        </w:rPr>
        <w:t>/</w:t>
      </w:r>
      <w:r w:rsidRPr="00703A45">
        <w:rPr>
          <w:rStyle w:val="HideTWBExt"/>
          <w:lang w:val="et-EE"/>
        </w:rPr>
        <w:t>&lt;NumAm&gt;</w:t>
      </w:r>
      <w:r w:rsidRPr="00703A45">
        <w:rPr>
          <w:lang w:val="et-EE"/>
        </w:rPr>
        <w:t>342</w:t>
      </w:r>
      <w:r w:rsidRPr="00703A45">
        <w:rPr>
          <w:rStyle w:val="HideTWBExt"/>
          <w:lang w:val="et-EE"/>
        </w:rPr>
        <w:t>&lt;/NumAm&gt;</w:t>
      </w:r>
    </w:p>
    <w:p w:rsidR="00EA095E" w:rsidRPr="00703A45" w:rsidRDefault="00810365">
      <w:pPr>
        <w:pStyle w:val="AMNumberTabs"/>
      </w:pPr>
      <w:r w:rsidRPr="00703A45">
        <w:t>Muudatusettepanek</w:t>
      </w:r>
      <w:r w:rsidRPr="00703A45">
        <w:tab/>
      </w:r>
      <w:r w:rsidRPr="00703A45">
        <w:tab/>
      </w:r>
      <w:r w:rsidRPr="00703A45">
        <w:rPr>
          <w:rStyle w:val="HideTWBExt"/>
        </w:rPr>
        <w:t>&lt;NumAm&gt;</w:t>
      </w:r>
      <w:r w:rsidRPr="00703A45">
        <w:t>342</w:t>
      </w:r>
      <w:r w:rsidRPr="00703A45">
        <w:rPr>
          <w:rStyle w:val="HideTWBExt"/>
        </w:rPr>
        <w:t>&lt;/NumAm&gt;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&lt;RepeatBlock-By&gt;&lt;Members&gt;</w:t>
      </w:r>
      <w:r w:rsidRPr="00703A45">
        <w:t>Isabella Adinolfi, Fabio Massimo Castaldo, David Borrelli</w:t>
      </w:r>
      <w:r w:rsidRPr="00703A45">
        <w:rPr>
          <w:rStyle w:val="HideTWBExt"/>
        </w:rPr>
        <w:t>&lt;/Members&gt;</w:t>
      </w:r>
    </w:p>
    <w:p w:rsidR="00EA095E" w:rsidRPr="00703A45" w:rsidRDefault="00810365">
      <w:r w:rsidRPr="00703A45">
        <w:rPr>
          <w:rStyle w:val="HideTWBExt"/>
        </w:rPr>
        <w:t>&lt;AuNomDe&gt;</w:t>
      </w:r>
      <w:r w:rsidRPr="00703A45">
        <w:rPr>
          <w:rStyle w:val="HideTWBInt"/>
        </w:rPr>
        <w:t>{EFDD}</w:t>
      </w:r>
      <w:r w:rsidRPr="00703A45">
        <w:t>fraktsiooni EFDD nimel</w:t>
      </w:r>
      <w:r w:rsidRPr="00703A45">
        <w:rPr>
          <w:rStyle w:val="HideTWBExt"/>
        </w:rPr>
        <w:t>&lt;/AuNomDe&gt;</w:t>
      </w:r>
    </w:p>
    <w:p w:rsidR="00EA095E" w:rsidRPr="00703A45" w:rsidRDefault="00810365">
      <w:r w:rsidRPr="00703A45">
        <w:rPr>
          <w:rStyle w:val="HideTWBExt"/>
        </w:rPr>
        <w:t>&lt;/RepeatBlock-By&gt;</w:t>
      </w:r>
    </w:p>
    <w:p w:rsidR="00EA095E" w:rsidRPr="00703A45" w:rsidRDefault="00810365">
      <w:pPr>
        <w:pStyle w:val="ProjRap"/>
        <w:rPr>
          <w:lang w:val="et-EE"/>
        </w:rPr>
      </w:pPr>
      <w:r w:rsidRPr="00703A45">
        <w:rPr>
          <w:rStyle w:val="HideTWBExt"/>
          <w:lang w:val="et-EE"/>
        </w:rPr>
        <w:t>&lt;TitreType&gt;</w:t>
      </w:r>
      <w:r w:rsidRPr="00703A45">
        <w:rPr>
          <w:lang w:val="et-EE"/>
        </w:rPr>
        <w:t>Raport</w:t>
      </w:r>
      <w:r w:rsidRPr="00703A45">
        <w:rPr>
          <w:rStyle w:val="HideTWBExt"/>
          <w:lang w:val="et-EE"/>
        </w:rPr>
        <w:t>&lt;/Tit</w:t>
      </w:r>
      <w:r w:rsidRPr="00703A45">
        <w:rPr>
          <w:rStyle w:val="HideTWBExt"/>
          <w:lang w:val="et-EE"/>
        </w:rPr>
        <w:t>reType&gt;</w:t>
      </w:r>
      <w:r w:rsidRPr="00703A45">
        <w:rPr>
          <w:lang w:val="et-EE"/>
        </w:rPr>
        <w:tab/>
        <w:t>A8-0344/2016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&lt;Rapporteur&gt;</w:t>
      </w:r>
      <w:r w:rsidRPr="00703A45">
        <w:t>Richard Corbett</w:t>
      </w:r>
      <w:r w:rsidRPr="00703A45">
        <w:rPr>
          <w:rStyle w:val="HideTWBExt"/>
        </w:rPr>
        <w:t>&lt;/Rapporteur&gt;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&lt;Titre&gt;</w:t>
      </w:r>
      <w:r w:rsidRPr="00703A45">
        <w:t>Euroopa Parlamendi kodukorra üldine läbivaatamine</w:t>
      </w:r>
      <w:r w:rsidRPr="00703A45">
        <w:rPr>
          <w:rStyle w:val="HideTWBExt"/>
        </w:rPr>
        <w:t>&lt;/Titre&gt;</w:t>
      </w:r>
    </w:p>
    <w:p w:rsidR="00EA095E" w:rsidRPr="00703A45" w:rsidRDefault="00810365">
      <w:pPr>
        <w:pStyle w:val="Normal12"/>
      </w:pPr>
      <w:r w:rsidRPr="00703A45">
        <w:rPr>
          <w:rStyle w:val="HideTWBExt"/>
        </w:rPr>
        <w:t>&lt;DocRef&gt;</w:t>
      </w:r>
      <w:r w:rsidRPr="00703A45">
        <w:t>2016/2114(REG)</w:t>
      </w:r>
      <w:r w:rsidRPr="00703A45">
        <w:rPr>
          <w:rStyle w:val="HideTWBExt"/>
        </w:rPr>
        <w:t>&lt;/DocRef&gt;</w:t>
      </w:r>
    </w:p>
    <w:p w:rsidR="00EA095E" w:rsidRPr="00703A45" w:rsidRDefault="00EA095E">
      <w:pPr>
        <w:pStyle w:val="Normal12"/>
      </w:pP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&lt;DocAmend&gt;</w:t>
      </w:r>
      <w:r w:rsidRPr="00703A45">
        <w:t>Kodukord</w:t>
      </w:r>
      <w:r w:rsidRPr="00703A45">
        <w:rPr>
          <w:rStyle w:val="HideTWBExt"/>
        </w:rPr>
        <w:t>&lt;/DocAmend&gt;</w:t>
      </w:r>
    </w:p>
    <w:p w:rsidR="00EA095E" w:rsidRPr="00703A45" w:rsidRDefault="00810365">
      <w:pPr>
        <w:pStyle w:val="NormalBold"/>
      </w:pPr>
      <w:r w:rsidRPr="00703A45">
        <w:rPr>
          <w:rStyle w:val="HideTWBExt"/>
        </w:rPr>
        <w:t>&lt;Article&gt;</w:t>
      </w:r>
      <w:r w:rsidRPr="00703A45">
        <w:t>4. peatükk – artikkel 166 – lõige 3 – lõik 1 – punkt d</w:t>
      </w:r>
      <w:r w:rsidRPr="00703A45">
        <w:rPr>
          <w:rStyle w:val="HideTWBExt"/>
        </w:rPr>
        <w:t>&lt;/</w:t>
      </w:r>
      <w:r w:rsidRPr="00703A45">
        <w:rPr>
          <w:rStyle w:val="HideTWBExt"/>
        </w:rPr>
        <w:t>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A095E" w:rsidRPr="00703A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A095E" w:rsidRPr="00703A45" w:rsidRDefault="00EA095E"/>
        </w:tc>
      </w:tr>
      <w:tr w:rsidR="00EA095E" w:rsidRPr="00703A45">
        <w:trPr>
          <w:trHeight w:val="240"/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Kehtiv tekst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ColumnHeading"/>
            </w:pPr>
            <w:r w:rsidRPr="00703A45">
              <w:t>Muudatusettepanek</w:t>
            </w:r>
          </w:p>
        </w:tc>
      </w:tr>
      <w:tr w:rsidR="00EA095E" w:rsidRPr="00703A45">
        <w:trPr>
          <w:jc w:val="center"/>
        </w:trPr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>d)</w:t>
            </w:r>
            <w:r w:rsidRPr="00703A45">
              <w:tab/>
              <w:t>ettepaneku esitamine esimeeste konverentsile vastavalt artiklile 21 katkestada või lõpetada parlamendiliikme tegevus ühel või mitmel ametikohal parlamendis.</w:t>
            </w:r>
          </w:p>
        </w:tc>
        <w:tc>
          <w:tcPr>
            <w:tcW w:w="4876" w:type="dxa"/>
          </w:tcPr>
          <w:p w:rsidR="00EA095E" w:rsidRPr="00703A45" w:rsidRDefault="00810365">
            <w:pPr>
              <w:pStyle w:val="Normal6"/>
            </w:pPr>
            <w:r w:rsidRPr="00703A45">
              <w:t>d)</w:t>
            </w:r>
            <w:r w:rsidRPr="00703A45">
              <w:tab/>
              <w:t>ettepaneku esitamine esimeeste konverentsile vasta</w:t>
            </w:r>
            <w:r w:rsidRPr="00703A45">
              <w:t>valt artiklile 21 katkestada või lõpetada parlamendiliikme tegevus ühel või mitmel ametikohal parlamendis</w:t>
            </w:r>
            <w:r w:rsidRPr="00703A45">
              <w:rPr>
                <w:b/>
                <w:i/>
              </w:rPr>
              <w:t>, sh raportööri või variraportööri ametis</w:t>
            </w:r>
            <w:r w:rsidRPr="00703A45">
              <w:t>.</w:t>
            </w:r>
          </w:p>
        </w:tc>
      </w:tr>
    </w:tbl>
    <w:p w:rsidR="00EA095E" w:rsidRPr="00703A45" w:rsidRDefault="00810365">
      <w:pPr>
        <w:pStyle w:val="Olang"/>
        <w:rPr>
          <w:lang w:val="et-EE"/>
        </w:rPr>
      </w:pPr>
      <w:r w:rsidRPr="00703A45">
        <w:rPr>
          <w:lang w:val="et-EE"/>
        </w:rPr>
        <w:t xml:space="preserve">Or. </w:t>
      </w:r>
      <w:r w:rsidRPr="00703A45">
        <w:rPr>
          <w:rStyle w:val="HideTWBExt"/>
          <w:lang w:val="et-EE"/>
        </w:rPr>
        <w:t>&lt;Original&gt;</w:t>
      </w:r>
      <w:r w:rsidRPr="00703A45">
        <w:rPr>
          <w:rStyle w:val="HideTWBInt"/>
          <w:lang w:val="et-EE"/>
        </w:rPr>
        <w:t>{EN}</w:t>
      </w:r>
      <w:r w:rsidRPr="00703A45">
        <w:rPr>
          <w:lang w:val="et-EE"/>
        </w:rPr>
        <w:t>en</w:t>
      </w:r>
      <w:r w:rsidRPr="00703A45">
        <w:rPr>
          <w:rStyle w:val="HideTWBExt"/>
          <w:lang w:val="et-EE"/>
        </w:rPr>
        <w:t>&lt;/Original&gt;</w:t>
      </w:r>
    </w:p>
    <w:p w:rsidR="00EA095E" w:rsidRPr="00703A45" w:rsidRDefault="00810365">
      <w:pPr>
        <w:pStyle w:val="Olang"/>
        <w:rPr>
          <w:lang w:val="et-EE"/>
        </w:rPr>
      </w:pPr>
      <w:r w:rsidRPr="00703A45">
        <w:rPr>
          <w:rStyle w:val="HideTWBExt"/>
          <w:lang w:val="et-EE"/>
        </w:rPr>
        <w:t>&lt;/Amend&gt;&lt;/RepeatBlock-Amend&gt;</w:t>
      </w:r>
    </w:p>
    <w:sectPr w:rsidR="00EA095E" w:rsidRPr="00703A45" w:rsidSect="003A2B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703A45" w:rsidRDefault="00810365">
      <w:r w:rsidRPr="00703A45">
        <w:separator/>
      </w:r>
    </w:p>
  </w:endnote>
  <w:endnote w:type="continuationSeparator" w:id="0">
    <w:p w:rsidR="00000000" w:rsidRPr="00703A45" w:rsidRDefault="00810365">
      <w:r w:rsidRPr="00703A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5E" w:rsidRPr="00703A45" w:rsidRDefault="00810365">
    <w:pPr>
      <w:pStyle w:val="Footer"/>
    </w:pPr>
    <w:r w:rsidRPr="00703A45">
      <w:rPr>
        <w:rStyle w:val="HideTWBExt"/>
      </w:rPr>
      <w:t>&lt;PathFdR&gt;</w:t>
    </w:r>
    <w:r w:rsidRPr="00703A45">
      <w:t>AM\1112142ET.docx</w:t>
    </w:r>
    <w:r w:rsidRPr="00703A45">
      <w:rPr>
        <w:rStyle w:val="HideTWBExt"/>
      </w:rPr>
      <w:t>&lt;/PathFdR&gt;</w:t>
    </w:r>
    <w:r w:rsidRPr="00703A45">
      <w:tab/>
    </w:r>
    <w:r w:rsidRPr="00703A45">
      <w:tab/>
      <w:t>PE</w:t>
    </w:r>
    <w:r w:rsidRPr="00703A45">
      <w:rPr>
        <w:rStyle w:val="HideTWBExt"/>
      </w:rPr>
      <w:t>&lt;NoPE&gt;</w:t>
    </w:r>
    <w:r w:rsidRPr="00703A45">
      <w:t>596.594</w:t>
    </w:r>
    <w:r w:rsidRPr="00703A45">
      <w:rPr>
        <w:rStyle w:val="HideTWBExt"/>
      </w:rPr>
      <w:t>&lt;/NoPE&gt;&lt;Version&gt;</w:t>
    </w:r>
    <w:r w:rsidRPr="00703A45">
      <w:t>v01-00</w:t>
    </w:r>
    <w:r w:rsidRPr="00703A45">
      <w:rPr>
        <w:rStyle w:val="HideTWBExt"/>
      </w:rPr>
      <w:t>&lt;/Version&gt;</w:t>
    </w:r>
  </w:p>
  <w:p w:rsidR="00EA095E" w:rsidRPr="00703A45" w:rsidRDefault="00810365">
    <w:pPr>
      <w:pStyle w:val="Footer2"/>
    </w:pPr>
    <w:r w:rsidRPr="00703A45">
      <w:t>ET</w:t>
    </w:r>
    <w:r w:rsidRPr="00703A45">
      <w:tab/>
    </w:r>
    <w:r w:rsidRPr="00703A45">
      <w:rPr>
        <w:rStyle w:val="Footer2Middle"/>
      </w:rPr>
      <w:t>Ühinenud mitmekesisuses</w:t>
    </w:r>
    <w:r w:rsidRPr="00703A45">
      <w:tab/>
      <w:t>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CE" w:rsidRPr="00703A45" w:rsidRDefault="003A2BCE" w:rsidP="003A2BCE">
    <w:pPr>
      <w:pStyle w:val="Footer"/>
    </w:pPr>
    <w:r w:rsidRPr="00703A45">
      <w:rPr>
        <w:rStyle w:val="HideTWBExt"/>
      </w:rPr>
      <w:t>&lt;PathFdR&gt;</w:t>
    </w:r>
    <w:r w:rsidRPr="00703A45">
      <w:t>AM\1112142ET.docx</w:t>
    </w:r>
    <w:r w:rsidRPr="00703A45">
      <w:rPr>
        <w:rStyle w:val="HideTWBExt"/>
      </w:rPr>
      <w:t>&lt;/PathFdR&gt;</w:t>
    </w:r>
    <w:r w:rsidRPr="00703A45">
      <w:tab/>
    </w:r>
    <w:r w:rsidRPr="00703A45">
      <w:tab/>
      <w:t>PE</w:t>
    </w:r>
    <w:r w:rsidRPr="00703A45">
      <w:rPr>
        <w:rStyle w:val="HideTWBExt"/>
      </w:rPr>
      <w:t>&lt;NoPE&gt;</w:t>
    </w:r>
    <w:r w:rsidRPr="00703A45">
      <w:t>596.594</w:t>
    </w:r>
    <w:r w:rsidRPr="00703A45">
      <w:rPr>
        <w:rStyle w:val="HideTWBExt"/>
      </w:rPr>
      <w:t>&lt;/NoPE&gt;&lt;Version&gt;</w:t>
    </w:r>
    <w:r w:rsidRPr="00703A45">
      <w:t>v01-00</w:t>
    </w:r>
    <w:r w:rsidRPr="00703A45">
      <w:rPr>
        <w:rStyle w:val="HideTWBExt"/>
      </w:rPr>
      <w:t>&lt;/Version&gt;</w:t>
    </w:r>
  </w:p>
  <w:p w:rsidR="00EA095E" w:rsidRPr="00703A45" w:rsidRDefault="003A2BCE" w:rsidP="003A2BCE">
    <w:pPr>
      <w:pStyle w:val="Footer2"/>
      <w:tabs>
        <w:tab w:val="center" w:pos="4535"/>
        <w:tab w:val="right" w:pos="9921"/>
      </w:tabs>
    </w:pPr>
    <w:r w:rsidRPr="00703A45">
      <w:t>ET</w:t>
    </w:r>
    <w:r w:rsidRPr="00703A45">
      <w:tab/>
    </w:r>
    <w:r w:rsidRPr="00703A45">
      <w:rPr>
        <w:b w:val="0"/>
        <w:i/>
        <w:color w:val="C0C0C0"/>
        <w:sz w:val="22"/>
      </w:rPr>
      <w:t>Ühinenud mitmekesisuses</w:t>
    </w:r>
    <w:r w:rsidRPr="00703A45">
      <w:tab/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5E" w:rsidRPr="00703A45" w:rsidRDefault="00810365">
    <w:pPr>
      <w:pStyle w:val="Footer"/>
    </w:pPr>
    <w:r w:rsidRPr="00703A45">
      <w:rPr>
        <w:rStyle w:val="HideTWBExt"/>
      </w:rPr>
      <w:t>&lt;PathFdR&gt;</w:t>
    </w:r>
    <w:r w:rsidRPr="00703A45">
      <w:t>AM\1112142ET.docx</w:t>
    </w:r>
    <w:r w:rsidRPr="00703A45">
      <w:rPr>
        <w:rStyle w:val="HideTWBExt"/>
      </w:rPr>
      <w:t>&lt;/PathFdR&gt;</w:t>
    </w:r>
    <w:r w:rsidRPr="00703A45">
      <w:tab/>
    </w:r>
    <w:r w:rsidRPr="00703A45">
      <w:tab/>
      <w:t>PE</w:t>
    </w:r>
    <w:r w:rsidRPr="00703A45">
      <w:rPr>
        <w:rStyle w:val="HideTWBExt"/>
      </w:rPr>
      <w:t>&lt;NoPE&gt;</w:t>
    </w:r>
    <w:r w:rsidRPr="00703A45">
      <w:t>596.594</w:t>
    </w:r>
    <w:r w:rsidRPr="00703A45">
      <w:rPr>
        <w:rStyle w:val="HideTWBExt"/>
      </w:rPr>
      <w:t>&lt;/NoPE&gt;&lt;Version&gt;</w:t>
    </w:r>
    <w:r w:rsidRPr="00703A45">
      <w:t>v01-00</w:t>
    </w:r>
    <w:r w:rsidRPr="00703A45">
      <w:rPr>
        <w:rStyle w:val="HideTWBExt"/>
      </w:rPr>
      <w:t>&lt;/Version&gt;</w:t>
    </w:r>
  </w:p>
  <w:p w:rsidR="00EA095E" w:rsidRPr="00703A45" w:rsidRDefault="00810365">
    <w:pPr>
      <w:pStyle w:val="Footer2"/>
    </w:pPr>
    <w:r w:rsidRPr="00703A45">
      <w:t>ET</w:t>
    </w:r>
    <w:r w:rsidRPr="00703A45">
      <w:tab/>
    </w:r>
    <w:r w:rsidRPr="00703A45">
      <w:rPr>
        <w:rStyle w:val="Footer2Middle"/>
      </w:rPr>
      <w:t>Ühinenud mitmekesisuses</w:t>
    </w:r>
    <w:r w:rsidRPr="00703A45">
      <w:tab/>
      <w:t>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703A45" w:rsidRDefault="00810365">
      <w:r w:rsidRPr="00703A45">
        <w:separator/>
      </w:r>
    </w:p>
  </w:footnote>
  <w:footnote w:type="continuationSeparator" w:id="0">
    <w:p w:rsidR="00000000" w:rsidRPr="00703A45" w:rsidRDefault="00810365">
      <w:r w:rsidRPr="00703A4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65" w:rsidRDefault="00810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65" w:rsidRDefault="00810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65" w:rsidRDefault="00810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strSubDir" w:val="1112"/>
    <w:docVar w:name="TXTLANGUE" w:val="ET"/>
    <w:docVar w:name="TXTLANGUEMIN" w:val="et"/>
    <w:docVar w:name="TXTNRPE" w:val="596.594"/>
    <w:docVar w:name="TXTPEorAP" w:val="PE"/>
    <w:docVar w:name="TXTROUTE" w:val="AM\1112142ET.docx"/>
    <w:docVar w:name="TXTVERSION" w:val="01-00"/>
  </w:docVars>
  <w:rsids>
    <w:rsidRoot w:val="00EA095E"/>
    <w:rsid w:val="003A2BCE"/>
    <w:rsid w:val="00703A45"/>
    <w:rsid w:val="00810365"/>
    <w:rsid w:val="00E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76137-5258-4DBE-B349-BB4EB1C1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  <w:lang w:val="fr-FR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4E0487E0.dotm</Template>
  <TotalTime>3</TotalTime>
  <Pages>10</Pages>
  <Words>841</Words>
  <Characters>9606</Characters>
  <Application>Microsoft Office Word</Application>
  <DocSecurity>0</DocSecurity>
  <Lines>457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AM_Ple_Rules</vt:lpstr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AM_Ple_Rules</dc:title>
  <dc:creator>e-Parliament@europarl.europa.eu</dc:creator>
  <cp:lastModifiedBy>LISTMANN Anu</cp:lastModifiedBy>
  <cp:revision>2</cp:revision>
  <dcterms:created xsi:type="dcterms:W3CDTF">2016-12-09T14:46:00Z</dcterms:created>
  <dcterms:modified xsi:type="dcterms:W3CDTF">2016-12-09T14:46:00Z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1112142</vt:lpwstr>
  </property>
  <property fmtid="{D5CDD505-2E9C-101B-9397-08002B2CF9AE}" pid="4" name="&lt;FooterPath&gt;">
    <vt:lpwstr>AM\1112142ET.doc</vt:lpwstr>
  </property>
  <property fmtid="{D5CDD505-2E9C-101B-9397-08002B2CF9AE}" pid="5" name="&lt;Model&gt;">
    <vt:lpwstr>AM_Ple_Rules</vt:lpwstr>
  </property>
  <property fmtid="{D5CDD505-2E9C-101B-9397-08002B2CF9AE}" pid="6" name="&lt;Type&gt;">
    <vt:lpwstr>AM</vt:lpwstr>
  </property>
  <property fmtid="{D5CDD505-2E9C-101B-9397-08002B2CF9AE}" pid="7" name="DMXMLUID">
    <vt:lpwstr>20161209-152724-019046-691147</vt:lpwstr>
  </property>
  <property fmtid="{D5CDD505-2E9C-101B-9397-08002B2CF9AE}" pid="8" name="PE Number">
    <vt:lpwstr>596.594</vt:lpwstr>
  </property>
  <property fmtid="{D5CDD505-2E9C-101B-9397-08002B2CF9AE}" pid="9" name="UID">
    <vt:lpwstr>eu.europa.europarl-DIN1-2016-0000083830_01.00-et-01.00_text-xml</vt:lpwstr>
  </property>
  <property fmtid="{D5CDD505-2E9C-101B-9397-08002B2CF9AE}" pid="10" name="LastEdited with">
    <vt:lpwstr>8.5.0 Build [20151002]</vt:lpwstr>
  </property>
  <property fmtid="{D5CDD505-2E9C-101B-9397-08002B2CF9AE}" pid="11" name="FooterPath">
    <vt:lpwstr>AM\1112142ET.docx</vt:lpwstr>
  </property>
  <property fmtid="{D5CDD505-2E9C-101B-9397-08002B2CF9AE}" pid="12" name="Bookout">
    <vt:lpwstr>OK - 2016/12/9 15:46</vt:lpwstr>
  </property>
</Properties>
</file>