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Pr="009C13B6" w:rsidRDefault="001B135A">
      <w:pPr>
        <w:pStyle w:val="Interstitial1"/>
      </w:pPr>
      <w:r w:rsidRPr="009C13B6">
        <w:rPr>
          <w:rStyle w:val="HideTWBExt"/>
        </w:rPr>
        <w:t>&lt;RepeatBlock-Amend&gt;&lt;Amend&gt;&lt;Date&gt;</w:t>
      </w:r>
      <w:r w:rsidRPr="009C13B6">
        <w:rPr>
          <w:rStyle w:val="HideTWBInt"/>
          <w:color w:val="auto"/>
        </w:rPr>
        <w:t>{09/02/2017}</w:t>
      </w:r>
      <w:r w:rsidRPr="009C13B6">
        <w:rPr>
          <w:color w:val="auto"/>
        </w:rPr>
        <w:t>9.2.2017</w:t>
      </w:r>
      <w:r w:rsidRPr="009C13B6">
        <w:rPr>
          <w:rStyle w:val="HideTWBExt"/>
        </w:rPr>
        <w:t>&lt;/Date&gt;</w:t>
      </w:r>
      <w:r w:rsidRPr="009C13B6">
        <w:tab/>
      </w:r>
      <w:r w:rsidRPr="009C13B6">
        <w:rPr>
          <w:rStyle w:val="HideTWBExt"/>
        </w:rPr>
        <w:t>&lt;ANo&gt;</w:t>
      </w:r>
      <w:r w:rsidRPr="009C13B6">
        <w:rPr>
          <w:color w:val="auto"/>
        </w:rPr>
        <w:t>A8-0003</w:t>
      </w:r>
      <w:r w:rsidRPr="009C13B6">
        <w:rPr>
          <w:rStyle w:val="HideTWBExt"/>
        </w:rPr>
        <w:t>&lt;/ANo&gt;</w:t>
      </w:r>
      <w:r w:rsidRPr="009C13B6">
        <w:rPr>
          <w:color w:val="auto"/>
        </w:rPr>
        <w:t>/</w:t>
      </w:r>
      <w:r w:rsidRPr="009C13B6">
        <w:rPr>
          <w:rStyle w:val="HideTWBExt"/>
        </w:rPr>
        <w:t>&lt;NumAm&gt;</w:t>
      </w:r>
      <w:r w:rsidRPr="009C13B6">
        <w:rPr>
          <w:color w:val="auto"/>
        </w:rPr>
        <w:t>163</w:t>
      </w:r>
      <w:r w:rsidRPr="009C13B6">
        <w:rPr>
          <w:rStyle w:val="HideTWBExt"/>
        </w:rPr>
        <w:t>&lt;/NumAm&gt;</w:t>
      </w:r>
    </w:p>
    <w:p w:rsidR="00DE3F06" w:rsidRPr="009C13B6" w:rsidRDefault="001B135A">
      <w:pPr>
        <w:pStyle w:val="AMNumberTabs"/>
      </w:pPr>
      <w:r w:rsidRPr="009C13B6">
        <w:rPr>
          <w:color w:val="auto"/>
        </w:rPr>
        <w:t>Amendement</w:t>
      </w:r>
      <w:r w:rsidRPr="009C13B6">
        <w:tab/>
      </w:r>
      <w:r w:rsidRPr="009C13B6">
        <w:tab/>
      </w:r>
      <w:r w:rsidRPr="009C13B6">
        <w:rPr>
          <w:rStyle w:val="HideTWBExt"/>
        </w:rPr>
        <w:t>&lt;NumAm&gt;</w:t>
      </w:r>
      <w:r w:rsidRPr="009C13B6">
        <w:rPr>
          <w:color w:val="auto"/>
        </w:rPr>
        <w:t>163</w:t>
      </w:r>
      <w:r w:rsidRPr="009C13B6">
        <w:rPr>
          <w:rStyle w:val="HideTWBExt"/>
        </w:rPr>
        <w:t>&lt;/NumAm&gt;</w:t>
      </w:r>
    </w:p>
    <w:p w:rsidR="00DE3F06" w:rsidRPr="009C13B6" w:rsidRDefault="001B135A">
      <w:pPr>
        <w:pStyle w:val="NormalBold"/>
      </w:pPr>
      <w:r w:rsidRPr="009C13B6">
        <w:rPr>
          <w:rStyle w:val="HideTWBExt"/>
        </w:rPr>
        <w:t>&lt;RepeatBlock-By&gt;&lt;Members&gt;</w:t>
      </w:r>
      <w:r w:rsidRPr="009C13B6">
        <w:rPr>
          <w:color w:val="auto"/>
        </w:rPr>
        <w:t>Andrzej Grzyb, Jerzy Buzek, Janusz Lewandowski, Elżbieta Katarzyna Łukacijewska, Jarosław Wałęsa, Jacek Saryusz-Wolski, Bogdan Brunon Wenta, Krzysztof Hetman, Jarosław Kalinowski, Czesław Adam Siekierski, Bogdan Andrzej Zdrojewski, Michał Boni, Jan Olbrycht, Agnieszka Kozłowska-Rajewicz, Dariusz Rosati, Julia Pitera, Danuta Maria Hübner, Marek Plura, Barbara Kudrycka, Elisabetta Gardini, György Hölvényi, Andor Deli, György Schöpflin, Andrea Bocskor, Pál Csáky, Norbert Erdős, László Tőkés, Kinga Gál, Ildikó Gáll-Pelcz, Ádám Kósa, József Szájer, Csaba Sógor, Marijana Petir, Theodor Dumitru Stolojan, Cristian Dan Preda, Miroslav Mikolášik, Ivan Štefanec, Michaela Šojdrová, Pavel Svoboda, Krišjānis Kariņš, Marian-Jean Marinescu, Adina-Ioana Vălean, Danuta Jazłowiecka, Christian Ehler, Massimiliano Salini, Vladimir Urutchev, Pilar del Castillo Vera, Pilar Ayuso, Traian Ungureanu, Cristian-Silviu Buşoi, Iuliu Winkler, Ramona Nicole Mănescu, Anna Záborská</w:t>
      </w:r>
      <w:r w:rsidRPr="009C13B6">
        <w:rPr>
          <w:rStyle w:val="HideTWBExt"/>
        </w:rPr>
        <w:t>&lt;/Members&gt;</w:t>
      </w:r>
    </w:p>
    <w:p w:rsidR="00DE3F06" w:rsidRPr="009C13B6" w:rsidRDefault="001B135A">
      <w:pPr>
        <w:pStyle w:val="NormalBold"/>
      </w:pPr>
      <w:r w:rsidRPr="009C13B6">
        <w:rPr>
          <w:rStyle w:val="HideTWBExt"/>
        </w:rPr>
        <w:t>&lt;/RepeatBlock-By&gt;</w:t>
      </w:r>
    </w:p>
    <w:p w:rsidR="00DE3F06" w:rsidRPr="009C13B6" w:rsidRDefault="001B135A">
      <w:pPr>
        <w:pStyle w:val="ProjRap"/>
      </w:pPr>
      <w:r w:rsidRPr="009C13B6">
        <w:rPr>
          <w:rStyle w:val="HideTWBExt"/>
        </w:rPr>
        <w:t>&lt;TitreType&gt;</w:t>
      </w:r>
      <w:r w:rsidRPr="009C13B6">
        <w:t>Verslag</w:t>
      </w:r>
      <w:r w:rsidRPr="009C13B6">
        <w:rPr>
          <w:rStyle w:val="HideTWBExt"/>
        </w:rPr>
        <w:t>&lt;/TitreType&gt;</w:t>
      </w:r>
      <w:r w:rsidRPr="009C13B6">
        <w:tab/>
        <w:t>A8-0003/2017</w:t>
      </w:r>
    </w:p>
    <w:p w:rsidR="00DE3F06" w:rsidRPr="009C13B6" w:rsidRDefault="001B135A">
      <w:pPr>
        <w:pStyle w:val="NormalBold"/>
      </w:pPr>
      <w:r w:rsidRPr="009C13B6">
        <w:rPr>
          <w:rStyle w:val="HideTWBExt"/>
        </w:rPr>
        <w:t>&lt;Rapporteur&gt;</w:t>
      </w:r>
      <w:r w:rsidRPr="009C13B6">
        <w:rPr>
          <w:color w:val="auto"/>
        </w:rPr>
        <w:t>Ian Duncan</w:t>
      </w:r>
      <w:r w:rsidRPr="009C13B6">
        <w:rPr>
          <w:rStyle w:val="HideTWBExt"/>
        </w:rPr>
        <w:t>&lt;/Rapporteur&gt;</w:t>
      </w:r>
    </w:p>
    <w:p w:rsidR="00DE3F06" w:rsidRPr="009C13B6" w:rsidRDefault="001B135A">
      <w:pPr>
        <w:pStyle w:val="Normal12"/>
      </w:pPr>
      <w:r w:rsidRPr="009C13B6">
        <w:rPr>
          <w:rStyle w:val="HideTWBExt"/>
        </w:rPr>
        <w:t>&lt;Titre&gt;</w:t>
      </w:r>
      <w:r w:rsidRPr="009C13B6">
        <w:t xml:space="preserve">Kosteneffectieve emissiereducties en koolstofarme investeringen </w:t>
      </w:r>
      <w:r w:rsidRPr="009C13B6">
        <w:rPr>
          <w:rStyle w:val="HideTWBExt"/>
        </w:rPr>
        <w:t>&lt;/Titre&gt;</w:t>
      </w:r>
    </w:p>
    <w:p w:rsidR="00DE3F06" w:rsidRPr="009C13B6" w:rsidRDefault="001B135A">
      <w:pPr>
        <w:pStyle w:val="Normal12"/>
      </w:pPr>
      <w:r w:rsidRPr="009C13B6">
        <w:rPr>
          <w:rStyle w:val="HideTWBExt"/>
        </w:rPr>
        <w:t>&lt;DocRef&gt;</w:t>
      </w:r>
      <w:r w:rsidRPr="009C13B6">
        <w:rPr>
          <w:color w:val="auto"/>
        </w:rPr>
        <w:t>(COM(2015)0337 - C8-0190/2015 - 2015/0148(COD))</w:t>
      </w:r>
      <w:r w:rsidRPr="009C13B6">
        <w:rPr>
          <w:rStyle w:val="HideTWBExt"/>
        </w:rPr>
        <w:t>&lt;/DocRef&gt;</w:t>
      </w:r>
    </w:p>
    <w:p w:rsidR="00DE3F06" w:rsidRPr="009C13B6" w:rsidRDefault="00DE3F06">
      <w:pPr>
        <w:pStyle w:val="Normal12"/>
      </w:pPr>
    </w:p>
    <w:p w:rsidR="00DE3F06" w:rsidRPr="009C13B6" w:rsidRDefault="001B135A">
      <w:pPr>
        <w:pStyle w:val="NormalBold"/>
      </w:pPr>
      <w:r w:rsidRPr="009C13B6">
        <w:rPr>
          <w:rStyle w:val="HideTWBExt"/>
        </w:rPr>
        <w:t>&lt;DocAmend&gt;</w:t>
      </w:r>
      <w:r w:rsidRPr="009C13B6">
        <w:rPr>
          <w:color w:val="auto"/>
        </w:rPr>
        <w:t>Voorstel voor een richtlijn</w:t>
      </w:r>
      <w:r w:rsidRPr="009C13B6">
        <w:rPr>
          <w:rStyle w:val="HideTWBExt"/>
        </w:rPr>
        <w:t>&lt;/DocAmend&gt;</w:t>
      </w:r>
    </w:p>
    <w:p w:rsidR="00DE3F06" w:rsidRPr="009C13B6" w:rsidRDefault="001B135A">
      <w:pPr>
        <w:pStyle w:val="NormalBold"/>
      </w:pPr>
      <w:r w:rsidRPr="009C13B6">
        <w:rPr>
          <w:rStyle w:val="HideTWBExt"/>
        </w:rPr>
        <w:t>&lt;Article&gt;</w:t>
      </w:r>
      <w:r w:rsidRPr="009C13B6">
        <w:rPr>
          <w:color w:val="auto"/>
        </w:rPr>
        <w:t>Artikel 1 – alinea 1 – punt 4 – letter a</w:t>
      </w:r>
      <w:r w:rsidRPr="009C13B6">
        <w:rPr>
          <w:rStyle w:val="HideTWBExt"/>
        </w:rPr>
        <w:t>&lt;/Article&gt;</w:t>
      </w:r>
    </w:p>
    <w:p w:rsidR="00DE3F06" w:rsidRPr="009C13B6" w:rsidRDefault="001B135A">
      <w:r w:rsidRPr="009C13B6">
        <w:rPr>
          <w:rStyle w:val="HideTWBExt"/>
        </w:rPr>
        <w:t>&lt;DocAmend2&gt;</w:t>
      </w:r>
      <w:r w:rsidRPr="009C13B6">
        <w:t>Richtlijn 2003/87/EG</w:t>
      </w:r>
      <w:r w:rsidRPr="009C13B6">
        <w:rPr>
          <w:rStyle w:val="HideTWBExt"/>
        </w:rPr>
        <w:t>&lt;/DocAmend2&gt;</w:t>
      </w:r>
    </w:p>
    <w:p w:rsidR="00DE3F06" w:rsidRPr="009C13B6" w:rsidRDefault="001B135A">
      <w:r w:rsidRPr="009C13B6">
        <w:rPr>
          <w:rStyle w:val="HideTWBExt"/>
        </w:rPr>
        <w:t>&lt;Article2&gt;</w:t>
      </w:r>
      <w:r w:rsidRPr="009C13B6">
        <w:t>Artikel 10 – lid 1</w:t>
      </w:r>
      <w:r w:rsidRPr="009C13B6">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F06" w:rsidRPr="009C13B6">
        <w:trPr>
          <w:trHeight w:hRule="exact" w:val="240"/>
          <w:jc w:val="center"/>
        </w:trPr>
        <w:tc>
          <w:tcPr>
            <w:tcW w:w="9752" w:type="dxa"/>
            <w:gridSpan w:val="2"/>
          </w:tcPr>
          <w:p w:rsidR="00DE3F06" w:rsidRPr="009C13B6" w:rsidRDefault="00DE3F06"/>
        </w:tc>
      </w:tr>
      <w:tr w:rsidR="00DE3F06" w:rsidRPr="009C13B6">
        <w:trPr>
          <w:trHeight w:val="240"/>
          <w:jc w:val="center"/>
        </w:trPr>
        <w:tc>
          <w:tcPr>
            <w:tcW w:w="4876" w:type="dxa"/>
          </w:tcPr>
          <w:p w:rsidR="00DE3F06" w:rsidRPr="009C13B6" w:rsidRDefault="001B135A">
            <w:pPr>
              <w:pStyle w:val="ColumnHeading"/>
              <w:rPr>
                <w:color w:val="auto"/>
              </w:rPr>
            </w:pPr>
            <w:r w:rsidRPr="009C13B6">
              <w:rPr>
                <w:color w:val="auto"/>
              </w:rPr>
              <w:t>Door de Commissie voorgestelde tekst</w:t>
            </w:r>
          </w:p>
        </w:tc>
        <w:tc>
          <w:tcPr>
            <w:tcW w:w="4876" w:type="dxa"/>
          </w:tcPr>
          <w:p w:rsidR="00DE3F06" w:rsidRPr="009C13B6" w:rsidRDefault="001B135A">
            <w:pPr>
              <w:pStyle w:val="ColumnHeading"/>
              <w:rPr>
                <w:color w:val="auto"/>
              </w:rPr>
            </w:pPr>
            <w:r w:rsidRPr="009C13B6">
              <w:rPr>
                <w:color w:val="auto"/>
              </w:rPr>
              <w:t>Amendement</w:t>
            </w:r>
          </w:p>
        </w:tc>
      </w:tr>
      <w:tr w:rsidR="00DE3F06" w:rsidRPr="009C13B6">
        <w:trPr>
          <w:jc w:val="center"/>
        </w:trPr>
        <w:tc>
          <w:tcPr>
            <w:tcW w:w="4876" w:type="dxa"/>
          </w:tcPr>
          <w:p w:rsidR="00DE3F06" w:rsidRPr="009C13B6" w:rsidRDefault="001B135A">
            <w:pPr>
              <w:pStyle w:val="Normal6"/>
              <w:rPr>
                <w:color w:val="auto"/>
              </w:rPr>
            </w:pPr>
            <w:r w:rsidRPr="009C13B6">
              <w:rPr>
                <w:color w:val="auto"/>
              </w:rPr>
              <w:t>a)</w:t>
            </w:r>
            <w:r w:rsidRPr="009C13B6">
              <w:tab/>
            </w:r>
            <w:r w:rsidRPr="009C13B6">
              <w:rPr>
                <w:color w:val="auto"/>
              </w:rPr>
              <w:t xml:space="preserve">aan lid 1 worden </w:t>
            </w:r>
            <w:r w:rsidRPr="009C13B6">
              <w:rPr>
                <w:b/>
                <w:i/>
                <w:color w:val="auto"/>
              </w:rPr>
              <w:t>drie</w:t>
            </w:r>
            <w:r w:rsidRPr="009C13B6">
              <w:rPr>
                <w:color w:val="auto"/>
              </w:rPr>
              <w:t xml:space="preserve"> nieuwe alinea's toegevoegd:</w:t>
            </w:r>
          </w:p>
        </w:tc>
        <w:tc>
          <w:tcPr>
            <w:tcW w:w="4876" w:type="dxa"/>
          </w:tcPr>
          <w:p w:rsidR="00DE3F06" w:rsidRPr="009C13B6" w:rsidRDefault="001B135A">
            <w:pPr>
              <w:pStyle w:val="Normal6"/>
              <w:rPr>
                <w:color w:val="auto"/>
              </w:rPr>
            </w:pPr>
            <w:r w:rsidRPr="009C13B6">
              <w:rPr>
                <w:color w:val="auto"/>
              </w:rPr>
              <w:t>a)</w:t>
            </w:r>
            <w:r w:rsidRPr="009C13B6">
              <w:tab/>
              <w:t xml:space="preserve">aan lid 1 worden </w:t>
            </w:r>
            <w:r w:rsidRPr="009C13B6">
              <w:rPr>
                <w:b/>
                <w:i/>
              </w:rPr>
              <w:t>vier</w:t>
            </w:r>
            <w:r w:rsidRPr="009C13B6">
              <w:t xml:space="preserve"> nieuwe alinea's toegevoegd:</w:t>
            </w:r>
          </w:p>
        </w:tc>
      </w:tr>
      <w:tr w:rsidR="00DE3F06" w:rsidRPr="009C13B6">
        <w:trPr>
          <w:jc w:val="center"/>
        </w:trPr>
        <w:tc>
          <w:tcPr>
            <w:tcW w:w="4876" w:type="dxa"/>
          </w:tcPr>
          <w:p w:rsidR="00DE3F06" w:rsidRPr="009C13B6" w:rsidRDefault="001B135A">
            <w:pPr>
              <w:pStyle w:val="Normal6"/>
              <w:rPr>
                <w:color w:val="auto"/>
              </w:rPr>
            </w:pPr>
            <w:r w:rsidRPr="009C13B6">
              <w:rPr>
                <w:color w:val="auto"/>
              </w:rPr>
              <w:t>"Met ingang van 2021 bedraagt het aandeel van de door de lidstaten te veilen emissierechten 57 %.</w:t>
            </w:r>
          </w:p>
        </w:tc>
        <w:tc>
          <w:tcPr>
            <w:tcW w:w="4876" w:type="dxa"/>
          </w:tcPr>
          <w:p w:rsidR="00DE3F06" w:rsidRPr="009C13B6" w:rsidRDefault="001B135A">
            <w:pPr>
              <w:pStyle w:val="Normal6"/>
              <w:rPr>
                <w:color w:val="auto"/>
              </w:rPr>
            </w:pPr>
            <w:r w:rsidRPr="009C13B6">
              <w:rPr>
                <w:color w:val="auto"/>
              </w:rPr>
              <w:t xml:space="preserve">"Met ingang van 2021 bedraagt het aandeel van de </w:t>
            </w:r>
            <w:bookmarkStart w:id="0" w:name="_GoBack"/>
            <w:bookmarkEnd w:id="0"/>
            <w:r w:rsidRPr="009C13B6">
              <w:rPr>
                <w:color w:val="auto"/>
              </w:rPr>
              <w:t>door de lidstaten te veilen emissierechten 57 %.</w:t>
            </w:r>
          </w:p>
        </w:tc>
      </w:tr>
      <w:tr w:rsidR="00DE3F06" w:rsidRPr="009C13B6">
        <w:trPr>
          <w:jc w:val="center"/>
        </w:trPr>
        <w:tc>
          <w:tcPr>
            <w:tcW w:w="4876" w:type="dxa"/>
          </w:tcPr>
          <w:p w:rsidR="00DE3F06" w:rsidRPr="009C13B6" w:rsidRDefault="001B135A">
            <w:pPr>
              <w:pStyle w:val="Normal6"/>
              <w:rPr>
                <w:color w:val="auto"/>
              </w:rPr>
            </w:pPr>
            <w:r w:rsidRPr="009C13B6">
              <w:rPr>
                <w:color w:val="auto"/>
              </w:rPr>
              <w:t>Tussen 2021 en 2030 wordt 2 % van de totale hoeveelheid emissierechten geveild om een fonds voor de verbetering van de energie-efficiëntie en de modernisering van de energiesystemen van bepaalde lidstaten in te stellen, zoals vastgesteld in artikel 10 quinquies van deze richtlijn ("het moderniseringsfonds").</w:t>
            </w:r>
          </w:p>
        </w:tc>
        <w:tc>
          <w:tcPr>
            <w:tcW w:w="4876" w:type="dxa"/>
          </w:tcPr>
          <w:p w:rsidR="00DE3F06" w:rsidRPr="009C13B6" w:rsidRDefault="001B135A">
            <w:pPr>
              <w:pStyle w:val="Normal6"/>
              <w:rPr>
                <w:color w:val="auto"/>
              </w:rPr>
            </w:pPr>
            <w:r w:rsidRPr="009C13B6">
              <w:rPr>
                <w:color w:val="auto"/>
              </w:rPr>
              <w:t>Tussen 2021 en 2030 wordt 2 % van de totale hoeveelheid emissierechten geveild om een fonds voor de verbetering van de energie-efficiëntie en de modernisering van de energiesystemen van bepaalde lidstaten in te stellen, zoals vastgesteld in artikel 10 quinquies van deze richtlijn ("het moderniseringsfonds").</w:t>
            </w:r>
          </w:p>
        </w:tc>
      </w:tr>
      <w:tr w:rsidR="00DE3F06" w:rsidRPr="009C13B6">
        <w:trPr>
          <w:jc w:val="center"/>
        </w:trPr>
        <w:tc>
          <w:tcPr>
            <w:tcW w:w="4876" w:type="dxa"/>
          </w:tcPr>
          <w:p w:rsidR="00DE3F06" w:rsidRPr="009C13B6" w:rsidRDefault="001B135A">
            <w:pPr>
              <w:pStyle w:val="Normal6"/>
              <w:rPr>
                <w:color w:val="auto"/>
              </w:rPr>
            </w:pPr>
            <w:r w:rsidRPr="009C13B6">
              <w:rPr>
                <w:color w:val="auto"/>
              </w:rPr>
              <w:t>De totale resterende hoeveelheid door de lidstaten te veilen emissierechten wordt overeenkomstig lid 2 verdeeld.</w:t>
            </w:r>
            <w:r w:rsidRPr="009C13B6">
              <w:rPr>
                <w:b/>
                <w:i/>
                <w:color w:val="auto"/>
              </w:rPr>
              <w:t>";</w:t>
            </w:r>
          </w:p>
        </w:tc>
        <w:tc>
          <w:tcPr>
            <w:tcW w:w="4876" w:type="dxa"/>
          </w:tcPr>
          <w:p w:rsidR="00DE3F06" w:rsidRPr="009C13B6" w:rsidRDefault="001B135A">
            <w:pPr>
              <w:pStyle w:val="Normal6"/>
              <w:rPr>
                <w:color w:val="auto"/>
              </w:rPr>
            </w:pPr>
            <w:r w:rsidRPr="009C13B6">
              <w:rPr>
                <w:color w:val="auto"/>
              </w:rPr>
              <w:t>De totale resterende hoeveelheid door de lidstaten te veilen emissierechten wordt overeenkomstig lid 2 verdeeld.</w:t>
            </w:r>
          </w:p>
        </w:tc>
      </w:tr>
      <w:tr w:rsidR="00DE3F06" w:rsidRPr="009C13B6">
        <w:trPr>
          <w:jc w:val="center"/>
        </w:trPr>
        <w:tc>
          <w:tcPr>
            <w:tcW w:w="4876" w:type="dxa"/>
          </w:tcPr>
          <w:p w:rsidR="00DE3F06" w:rsidRPr="009C13B6" w:rsidRDefault="00DE3F06">
            <w:pPr>
              <w:pStyle w:val="Normal6"/>
              <w:rPr>
                <w:color w:val="auto"/>
              </w:rPr>
            </w:pPr>
          </w:p>
        </w:tc>
        <w:tc>
          <w:tcPr>
            <w:tcW w:w="4876" w:type="dxa"/>
          </w:tcPr>
          <w:p w:rsidR="00DE3F06" w:rsidRPr="009C13B6" w:rsidRDefault="001B135A">
            <w:pPr>
              <w:pStyle w:val="Normal6"/>
              <w:rPr>
                <w:color w:val="auto"/>
              </w:rPr>
            </w:pPr>
            <w:r w:rsidRPr="009C13B6">
              <w:rPr>
                <w:b/>
                <w:i/>
              </w:rPr>
              <w:t xml:space="preserve">De 300 miljoen emissierechten die in de marktstabiliteitsreserve zijn </w:t>
            </w:r>
            <w:r w:rsidRPr="009C13B6">
              <w:rPr>
                <w:b/>
                <w:i/>
              </w:rPr>
              <w:lastRenderedPageBreak/>
              <w:t>ondergebracht worden in 2021 geschrapt."</w:t>
            </w:r>
          </w:p>
        </w:tc>
      </w:tr>
    </w:tbl>
    <w:p w:rsidR="00DE3F06" w:rsidRPr="009C13B6" w:rsidRDefault="001B135A" w:rsidP="0073348B">
      <w:pPr>
        <w:pStyle w:val="Olang"/>
      </w:pPr>
      <w:r w:rsidRPr="009C13B6">
        <w:lastRenderedPageBreak/>
        <w:t xml:space="preserve">Or. </w:t>
      </w:r>
      <w:r w:rsidRPr="009C13B6">
        <w:rPr>
          <w:rStyle w:val="HideTWBExt"/>
        </w:rPr>
        <w:t>&lt;Original&gt;</w:t>
      </w:r>
      <w:r w:rsidRPr="009C13B6">
        <w:rPr>
          <w:rStyle w:val="HideTWBInt"/>
        </w:rPr>
        <w:t>{EN}</w:t>
      </w:r>
      <w:r w:rsidRPr="009C13B6">
        <w:t>en</w:t>
      </w:r>
      <w:r w:rsidRPr="009C13B6">
        <w:rPr>
          <w:rStyle w:val="HideTWBExt"/>
        </w:rPr>
        <w:t>&lt;/Original&gt;</w:t>
      </w:r>
    </w:p>
    <w:p w:rsidR="00DE3F06" w:rsidRPr="009C13B6" w:rsidRDefault="001B135A">
      <w:pPr>
        <w:pStyle w:val="JustificationTitle"/>
      </w:pPr>
      <w:r w:rsidRPr="009C13B6">
        <w:rPr>
          <w:rStyle w:val="HideTWBExt"/>
        </w:rPr>
        <w:t>&lt;TitreJust&gt;</w:t>
      </w:r>
      <w:r w:rsidRPr="009C13B6">
        <w:rPr>
          <w:color w:val="auto"/>
        </w:rPr>
        <w:t>Motivering</w:t>
      </w:r>
      <w:r w:rsidRPr="009C13B6">
        <w:rPr>
          <w:rStyle w:val="HideTWBExt"/>
        </w:rPr>
        <w:t>&lt;/TitreJust&gt;</w:t>
      </w:r>
    </w:p>
    <w:p w:rsidR="00DE3F06" w:rsidRPr="009C13B6" w:rsidRDefault="001B135A">
      <w:pPr>
        <w:pStyle w:val="Normal12Italic"/>
      </w:pPr>
      <w:r w:rsidRPr="009C13B6">
        <w:t>Het amendement herstelt het standpunt van ITRE.</w:t>
      </w:r>
    </w:p>
    <w:p w:rsidR="00DE3F06" w:rsidRPr="009C13B6" w:rsidRDefault="001B135A">
      <w:pPr>
        <w:pStyle w:val="Interstitial1"/>
      </w:pPr>
      <w:r w:rsidRPr="009C13B6">
        <w:rPr>
          <w:rStyle w:val="HideTWBExt"/>
        </w:rPr>
        <w:t>&lt;/Amend&gt;</w:t>
      </w:r>
      <w:r w:rsidRPr="009C13B6">
        <w:br w:type="page"/>
      </w:r>
      <w:r w:rsidRPr="009C13B6">
        <w:rPr>
          <w:rStyle w:val="HideTWBExt"/>
        </w:rPr>
        <w:lastRenderedPageBreak/>
        <w:t>&lt;Amend&gt;&lt;Date&gt;</w:t>
      </w:r>
      <w:r w:rsidRPr="009C13B6">
        <w:rPr>
          <w:rStyle w:val="HideTWBInt"/>
          <w:color w:val="auto"/>
        </w:rPr>
        <w:t>{09/02/2017}</w:t>
      </w:r>
      <w:r w:rsidRPr="009C13B6">
        <w:rPr>
          <w:color w:val="auto"/>
        </w:rPr>
        <w:t>9.2.2017</w:t>
      </w:r>
      <w:r w:rsidRPr="009C13B6">
        <w:rPr>
          <w:rStyle w:val="HideTWBExt"/>
        </w:rPr>
        <w:t>&lt;/Date&gt;</w:t>
      </w:r>
      <w:r w:rsidRPr="009C13B6">
        <w:tab/>
      </w:r>
      <w:r w:rsidRPr="009C13B6">
        <w:rPr>
          <w:rStyle w:val="HideTWBExt"/>
        </w:rPr>
        <w:t>&lt;ANo&gt;</w:t>
      </w:r>
      <w:r w:rsidRPr="009C13B6">
        <w:rPr>
          <w:color w:val="auto"/>
        </w:rPr>
        <w:t>A8-0003</w:t>
      </w:r>
      <w:r w:rsidRPr="009C13B6">
        <w:rPr>
          <w:rStyle w:val="HideTWBExt"/>
        </w:rPr>
        <w:t>&lt;/ANo&gt;</w:t>
      </w:r>
      <w:r w:rsidRPr="009C13B6">
        <w:rPr>
          <w:color w:val="auto"/>
        </w:rPr>
        <w:t>/</w:t>
      </w:r>
      <w:r w:rsidRPr="009C13B6">
        <w:rPr>
          <w:rStyle w:val="HideTWBExt"/>
        </w:rPr>
        <w:t>&lt;NumAm&gt;</w:t>
      </w:r>
      <w:r w:rsidRPr="009C13B6">
        <w:rPr>
          <w:color w:val="auto"/>
        </w:rPr>
        <w:t>164</w:t>
      </w:r>
      <w:r w:rsidRPr="009C13B6">
        <w:rPr>
          <w:rStyle w:val="HideTWBExt"/>
        </w:rPr>
        <w:t>&lt;/NumAm&gt;</w:t>
      </w:r>
    </w:p>
    <w:p w:rsidR="00DE3F06" w:rsidRPr="009C13B6" w:rsidRDefault="001B135A">
      <w:pPr>
        <w:pStyle w:val="AMNumberTabs"/>
      </w:pPr>
      <w:r w:rsidRPr="009C13B6">
        <w:rPr>
          <w:color w:val="auto"/>
        </w:rPr>
        <w:t>Amendement</w:t>
      </w:r>
      <w:r w:rsidRPr="009C13B6">
        <w:tab/>
      </w:r>
      <w:r w:rsidRPr="009C13B6">
        <w:tab/>
      </w:r>
      <w:r w:rsidRPr="009C13B6">
        <w:rPr>
          <w:rStyle w:val="HideTWBExt"/>
        </w:rPr>
        <w:t>&lt;NumAm&gt;</w:t>
      </w:r>
      <w:r w:rsidRPr="009C13B6">
        <w:rPr>
          <w:color w:val="auto"/>
        </w:rPr>
        <w:t>164</w:t>
      </w:r>
      <w:r w:rsidRPr="009C13B6">
        <w:rPr>
          <w:rStyle w:val="HideTWBExt"/>
        </w:rPr>
        <w:t>&lt;/NumAm&gt;</w:t>
      </w:r>
    </w:p>
    <w:p w:rsidR="00DE3F06" w:rsidRPr="009C13B6" w:rsidRDefault="001B135A">
      <w:pPr>
        <w:pStyle w:val="NormalBold"/>
      </w:pPr>
      <w:r w:rsidRPr="009C13B6">
        <w:rPr>
          <w:rStyle w:val="HideTWBExt"/>
        </w:rPr>
        <w:t>&lt;RepeatBlock-By&gt;&lt;Members&gt;</w:t>
      </w:r>
      <w:r w:rsidRPr="009C13B6">
        <w:rPr>
          <w:color w:val="auto"/>
        </w:rPr>
        <w:t>Andrzej Grzyb, Jerzy Buzek, Janusz Lewandowski, Elżbieta Katarzyna Łukacijewska, Jarosław Wałęsa, Jacek Saryusz-Wolski, Bogdan Brunon Wenta, Krzysztof Hetman, Jarosław Kalinowski, Czesław Adam Siekierski, Bogdan Andrzej Zdrojewski, Michał Boni, Jan Olbrycht, Agnieszka Kozłowska-Rajewicz, Dariusz Rosati, Julia Pitera, Danuta Maria Hübner, Marek Plura, Barbara Kudrycka, György Hölvényi, Andor Deli, György Schöpflin, Andrea Bocskor, Pál Csáky, Norbert Erdős, László Tőkés, Ildikó Gáll-Pelcz, Kinga Gál, Ádám Kósa, József Szájer, Csaba Sógor, Marijana Petir, Tunne Kelam, Theodor Dumitru Stolojan, Cristian Dan Preda, Miroslav Mikolášik, Ivan Štefanec, Michaela Šojdrová, Pavel Svoboda, Ivica Tolić, Krišjānis Kariņš, Marian-Jean Marinescu, Adina-Ioana Vălean, Danuta Jazłowiecka, Vladimir Urutchev, Seán Kelly, Anna Záborská, Traian Ungureanu, Iuliu Winkler, Cristian-Silviu Buşoi, Ramona Nicole Mănescu, Algirdas Saudargas</w:t>
      </w:r>
      <w:r w:rsidRPr="009C13B6">
        <w:rPr>
          <w:rStyle w:val="HideTWBExt"/>
        </w:rPr>
        <w:t>&lt;/Members&gt;</w:t>
      </w:r>
    </w:p>
    <w:p w:rsidR="00DE3F06" w:rsidRPr="009C13B6" w:rsidRDefault="001B135A">
      <w:pPr>
        <w:pStyle w:val="NormalBold"/>
      </w:pPr>
      <w:r w:rsidRPr="009C13B6">
        <w:rPr>
          <w:rStyle w:val="HideTWBExt"/>
        </w:rPr>
        <w:t>&lt;/RepeatBlock-By&gt;</w:t>
      </w:r>
    </w:p>
    <w:p w:rsidR="00DE3F06" w:rsidRPr="009C13B6" w:rsidRDefault="001B135A">
      <w:pPr>
        <w:pStyle w:val="ProjRap"/>
      </w:pPr>
      <w:r w:rsidRPr="009C13B6">
        <w:rPr>
          <w:rStyle w:val="HideTWBExt"/>
        </w:rPr>
        <w:t>&lt;TitreType&gt;</w:t>
      </w:r>
      <w:r w:rsidRPr="009C13B6">
        <w:t>Verslag</w:t>
      </w:r>
      <w:r w:rsidRPr="009C13B6">
        <w:rPr>
          <w:rStyle w:val="HideTWBExt"/>
        </w:rPr>
        <w:t>&lt;/TitreType&gt;</w:t>
      </w:r>
      <w:r w:rsidRPr="009C13B6">
        <w:tab/>
        <w:t>A8-0003/2017</w:t>
      </w:r>
    </w:p>
    <w:p w:rsidR="00DE3F06" w:rsidRPr="009C13B6" w:rsidRDefault="001B135A">
      <w:pPr>
        <w:pStyle w:val="NormalBold"/>
      </w:pPr>
      <w:r w:rsidRPr="009C13B6">
        <w:rPr>
          <w:rStyle w:val="HideTWBExt"/>
        </w:rPr>
        <w:t>&lt;Rapporteur&gt;</w:t>
      </w:r>
      <w:r w:rsidRPr="009C13B6">
        <w:rPr>
          <w:color w:val="auto"/>
        </w:rPr>
        <w:t>Ian Duncan</w:t>
      </w:r>
      <w:r w:rsidRPr="009C13B6">
        <w:rPr>
          <w:rStyle w:val="HideTWBExt"/>
        </w:rPr>
        <w:t>&lt;/Rapporteur&gt;</w:t>
      </w:r>
    </w:p>
    <w:p w:rsidR="00DE3F06" w:rsidRPr="009C13B6" w:rsidRDefault="001B135A">
      <w:pPr>
        <w:pStyle w:val="Normal12"/>
      </w:pPr>
      <w:r w:rsidRPr="009C13B6">
        <w:rPr>
          <w:rStyle w:val="HideTWBExt"/>
        </w:rPr>
        <w:t>&lt;Titre&gt;</w:t>
      </w:r>
      <w:r w:rsidRPr="009C13B6">
        <w:t xml:space="preserve">Kosteneffectieve emissiereducties en koolstofarme investeringen </w:t>
      </w:r>
      <w:r w:rsidRPr="009C13B6">
        <w:rPr>
          <w:rStyle w:val="HideTWBExt"/>
        </w:rPr>
        <w:t>&lt;/Titre&gt;</w:t>
      </w:r>
    </w:p>
    <w:p w:rsidR="00DE3F06" w:rsidRPr="009C13B6" w:rsidRDefault="001B135A">
      <w:pPr>
        <w:pStyle w:val="Normal12"/>
      </w:pPr>
      <w:r w:rsidRPr="009C13B6">
        <w:rPr>
          <w:rStyle w:val="HideTWBExt"/>
        </w:rPr>
        <w:t>&lt;DocRef&gt;</w:t>
      </w:r>
      <w:r w:rsidRPr="009C13B6">
        <w:rPr>
          <w:color w:val="auto"/>
        </w:rPr>
        <w:t>(COM(2015)0337 - C8-0190/2015 - 2015/0148(COD))</w:t>
      </w:r>
      <w:r w:rsidRPr="009C13B6">
        <w:rPr>
          <w:rStyle w:val="HideTWBExt"/>
        </w:rPr>
        <w:t>&lt;/DocRef&gt;</w:t>
      </w:r>
    </w:p>
    <w:p w:rsidR="00DE3F06" w:rsidRPr="009C13B6" w:rsidRDefault="00DE3F06">
      <w:pPr>
        <w:pStyle w:val="Normal12"/>
      </w:pPr>
    </w:p>
    <w:p w:rsidR="00DE3F06" w:rsidRPr="009C13B6" w:rsidRDefault="001B135A">
      <w:pPr>
        <w:pStyle w:val="NormalBold"/>
      </w:pPr>
      <w:r w:rsidRPr="009C13B6">
        <w:rPr>
          <w:rStyle w:val="HideTWBExt"/>
        </w:rPr>
        <w:t>&lt;DocAmend&gt;</w:t>
      </w:r>
      <w:r w:rsidRPr="009C13B6">
        <w:rPr>
          <w:color w:val="auto"/>
        </w:rPr>
        <w:t>Voorstel voor een richtlijn</w:t>
      </w:r>
      <w:r w:rsidRPr="009C13B6">
        <w:rPr>
          <w:rStyle w:val="HideTWBExt"/>
        </w:rPr>
        <w:t>&lt;/DocAmend&gt;</w:t>
      </w:r>
    </w:p>
    <w:p w:rsidR="00DE3F06" w:rsidRPr="009C13B6" w:rsidRDefault="001B135A">
      <w:pPr>
        <w:pStyle w:val="NormalBold"/>
      </w:pPr>
      <w:r w:rsidRPr="009C13B6">
        <w:rPr>
          <w:rStyle w:val="HideTWBExt"/>
        </w:rPr>
        <w:t>&lt;Article&gt;</w:t>
      </w:r>
      <w:r w:rsidRPr="009C13B6">
        <w:rPr>
          <w:color w:val="auto"/>
        </w:rPr>
        <w:t>Artikel 1 – alinea 1 – punt 7</w:t>
      </w:r>
      <w:r w:rsidRPr="009C13B6">
        <w:rPr>
          <w:rStyle w:val="HideTWBExt"/>
        </w:rPr>
        <w:t>&lt;/Article&gt;</w:t>
      </w:r>
    </w:p>
    <w:p w:rsidR="00DE3F06" w:rsidRPr="009C13B6" w:rsidRDefault="001B135A">
      <w:r w:rsidRPr="009C13B6">
        <w:rPr>
          <w:rStyle w:val="HideTWBExt"/>
        </w:rPr>
        <w:t>&lt;DocAmend2&gt;</w:t>
      </w:r>
      <w:r w:rsidRPr="009C13B6">
        <w:t>Richtlijn 2003/87/EG</w:t>
      </w:r>
      <w:r w:rsidRPr="009C13B6">
        <w:rPr>
          <w:rStyle w:val="HideTWBExt"/>
        </w:rPr>
        <w:t>&lt;/DocAmend2&gt;</w:t>
      </w:r>
    </w:p>
    <w:p w:rsidR="00DE3F06" w:rsidRPr="009C13B6" w:rsidRDefault="001B135A">
      <w:r w:rsidRPr="009C13B6">
        <w:rPr>
          <w:rStyle w:val="HideTWBExt"/>
        </w:rPr>
        <w:t>&lt;Article2&gt;</w:t>
      </w:r>
      <w:r w:rsidRPr="009C13B6">
        <w:t>Artikel 10 quinquies – lid 4</w:t>
      </w:r>
      <w:r w:rsidRPr="009C13B6">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F06" w:rsidRPr="009C13B6">
        <w:trPr>
          <w:trHeight w:hRule="exact" w:val="240"/>
          <w:jc w:val="center"/>
        </w:trPr>
        <w:tc>
          <w:tcPr>
            <w:tcW w:w="9752" w:type="dxa"/>
            <w:gridSpan w:val="2"/>
          </w:tcPr>
          <w:p w:rsidR="00DE3F06" w:rsidRPr="009C13B6" w:rsidRDefault="00DE3F06"/>
        </w:tc>
      </w:tr>
      <w:tr w:rsidR="00DE3F06" w:rsidRPr="009C13B6">
        <w:trPr>
          <w:trHeight w:val="240"/>
          <w:jc w:val="center"/>
        </w:trPr>
        <w:tc>
          <w:tcPr>
            <w:tcW w:w="4876" w:type="dxa"/>
          </w:tcPr>
          <w:p w:rsidR="00DE3F06" w:rsidRPr="009C13B6" w:rsidRDefault="001B135A">
            <w:pPr>
              <w:pStyle w:val="ColumnHeading"/>
              <w:rPr>
                <w:color w:val="auto"/>
              </w:rPr>
            </w:pPr>
            <w:r w:rsidRPr="009C13B6">
              <w:rPr>
                <w:color w:val="auto"/>
              </w:rPr>
              <w:t>Door de Commissie voorgestelde tekst</w:t>
            </w:r>
          </w:p>
        </w:tc>
        <w:tc>
          <w:tcPr>
            <w:tcW w:w="4876" w:type="dxa"/>
          </w:tcPr>
          <w:p w:rsidR="00DE3F06" w:rsidRPr="009C13B6" w:rsidRDefault="001B135A">
            <w:pPr>
              <w:pStyle w:val="ColumnHeading"/>
              <w:rPr>
                <w:color w:val="auto"/>
              </w:rPr>
            </w:pPr>
            <w:r w:rsidRPr="009C13B6">
              <w:rPr>
                <w:color w:val="auto"/>
              </w:rPr>
              <w:t>Amendement</w:t>
            </w:r>
          </w:p>
        </w:tc>
      </w:tr>
      <w:tr w:rsidR="00DE3F06" w:rsidRPr="009C13B6">
        <w:trPr>
          <w:jc w:val="center"/>
        </w:trPr>
        <w:tc>
          <w:tcPr>
            <w:tcW w:w="4876" w:type="dxa"/>
          </w:tcPr>
          <w:p w:rsidR="00DE3F06" w:rsidRPr="009C13B6" w:rsidRDefault="009D3883">
            <w:pPr>
              <w:pStyle w:val="Normal6"/>
              <w:rPr>
                <w:color w:val="auto"/>
              </w:rPr>
            </w:pPr>
            <w:r>
              <w:rPr>
                <w:color w:val="auto"/>
              </w:rPr>
              <w:t xml:space="preserve">4. </w:t>
            </w:r>
            <w:r w:rsidR="001B135A" w:rsidRPr="009C13B6">
              <w:rPr>
                <w:color w:val="auto"/>
              </w:rPr>
              <w:t xml:space="preserve">Het fonds </w:t>
            </w:r>
            <w:r w:rsidR="001B135A" w:rsidRPr="009C13B6">
              <w:rPr>
                <w:b/>
                <w:i/>
                <w:color w:val="auto"/>
              </w:rPr>
              <w:t>wordt bestuurd door</w:t>
            </w:r>
            <w:r w:rsidR="001B135A" w:rsidRPr="009C13B6">
              <w:rPr>
                <w:color w:val="auto"/>
              </w:rPr>
              <w:t xml:space="preserve"> een investeringsraad en een </w:t>
            </w:r>
            <w:r w:rsidR="001B135A" w:rsidRPr="009C13B6">
              <w:rPr>
                <w:b/>
                <w:i/>
                <w:color w:val="auto"/>
              </w:rPr>
              <w:t>beheerscomité</w:t>
            </w:r>
            <w:r w:rsidR="001B135A" w:rsidRPr="009C13B6">
              <w:rPr>
                <w:color w:val="auto"/>
              </w:rPr>
              <w:t xml:space="preserve"> die </w:t>
            </w:r>
            <w:r w:rsidR="001B135A" w:rsidRPr="009C13B6">
              <w:rPr>
                <w:b/>
                <w:i/>
                <w:color w:val="auto"/>
              </w:rPr>
              <w:t>zijn</w:t>
            </w:r>
            <w:r w:rsidR="001B135A" w:rsidRPr="009C13B6">
              <w:rPr>
                <w:color w:val="auto"/>
              </w:rPr>
              <w:t xml:space="preserve"> samengesteld uit vertegenwoordigers van de begunstigde lidstaten, de Commissie, de EIB en </w:t>
            </w:r>
            <w:r w:rsidR="001B135A" w:rsidRPr="009C13B6">
              <w:rPr>
                <w:b/>
                <w:i/>
                <w:color w:val="auto"/>
              </w:rPr>
              <w:t>drie</w:t>
            </w:r>
            <w:r w:rsidR="001B135A" w:rsidRPr="009C13B6">
              <w:rPr>
                <w:color w:val="auto"/>
              </w:rPr>
              <w:t xml:space="preserve"> voor een periode van vijf jaar </w:t>
            </w:r>
            <w:r w:rsidR="001B135A" w:rsidRPr="009C13B6">
              <w:rPr>
                <w:b/>
                <w:i/>
                <w:color w:val="auto"/>
              </w:rPr>
              <w:t>door de</w:t>
            </w:r>
            <w:r w:rsidR="001B135A" w:rsidRPr="009C13B6">
              <w:rPr>
                <w:color w:val="auto"/>
              </w:rPr>
              <w:t xml:space="preserve"> </w:t>
            </w:r>
            <w:r w:rsidR="001B135A" w:rsidRPr="009C13B6">
              <w:rPr>
                <w:b/>
                <w:i/>
                <w:color w:val="auto"/>
              </w:rPr>
              <w:t>andere lidstaten verkozen vertegenwoordigers.</w:t>
            </w:r>
            <w:r w:rsidR="001B135A" w:rsidRPr="009C13B6">
              <w:rPr>
                <w:color w:val="auto"/>
              </w:rPr>
              <w:t xml:space="preserve"> </w:t>
            </w:r>
            <w:r w:rsidR="001B135A" w:rsidRPr="009C13B6">
              <w:rPr>
                <w:b/>
                <w:i/>
                <w:color w:val="auto"/>
              </w:rPr>
              <w:t>De investeringsraad is verantwoordelijk voor de vaststelling op EU-niveau van</w:t>
            </w:r>
            <w:r w:rsidR="001B135A" w:rsidRPr="009C13B6">
              <w:rPr>
                <w:color w:val="auto"/>
              </w:rPr>
              <w:t xml:space="preserve"> </w:t>
            </w:r>
            <w:r w:rsidR="001B135A" w:rsidRPr="009C13B6">
              <w:rPr>
                <w:b/>
                <w:i/>
                <w:color w:val="auto"/>
              </w:rPr>
              <w:t>een investeringsbeleid</w:t>
            </w:r>
            <w:r w:rsidR="001B135A" w:rsidRPr="009C13B6">
              <w:rPr>
                <w:color w:val="auto"/>
              </w:rPr>
              <w:t xml:space="preserve">, </w:t>
            </w:r>
            <w:r w:rsidR="001B135A" w:rsidRPr="009C13B6">
              <w:rPr>
                <w:b/>
                <w:i/>
                <w:color w:val="auto"/>
              </w:rPr>
              <w:t>passende financieringsinstrumenten en selectiecriteria voor investeringen. Het beheerscomité is verantwoordelijk voor het dagelijkse beheer het</w:t>
            </w:r>
            <w:r w:rsidR="001B135A" w:rsidRPr="009C13B6">
              <w:rPr>
                <w:color w:val="auto"/>
              </w:rPr>
              <w:t xml:space="preserve"> </w:t>
            </w:r>
            <w:r w:rsidR="001B135A" w:rsidRPr="009C13B6">
              <w:rPr>
                <w:b/>
                <w:i/>
                <w:color w:val="auto"/>
              </w:rPr>
              <w:t>fonds</w:t>
            </w:r>
            <w:r w:rsidR="001B135A" w:rsidRPr="009C13B6">
              <w:rPr>
                <w:color w:val="auto"/>
              </w:rPr>
              <w:t>.</w:t>
            </w:r>
          </w:p>
        </w:tc>
        <w:tc>
          <w:tcPr>
            <w:tcW w:w="4876" w:type="dxa"/>
          </w:tcPr>
          <w:p w:rsidR="00DE3F06" w:rsidRPr="009C13B6" w:rsidRDefault="009D3883">
            <w:pPr>
              <w:pStyle w:val="Normal6"/>
              <w:rPr>
                <w:color w:val="auto"/>
              </w:rPr>
            </w:pPr>
            <w:r w:rsidRPr="009D3883">
              <w:t>4.</w:t>
            </w:r>
            <w:r>
              <w:rPr>
                <w:b/>
                <w:i/>
              </w:rPr>
              <w:t xml:space="preserve"> </w:t>
            </w:r>
            <w:r w:rsidR="001B135A" w:rsidRPr="009C13B6">
              <w:rPr>
                <w:b/>
                <w:i/>
              </w:rPr>
              <w:t xml:space="preserve">De begunstigde lidstaten zijn verantwoordelijk voor het bestuur van </w:t>
            </w:r>
            <w:r w:rsidR="001B135A" w:rsidRPr="009C13B6">
              <w:t xml:space="preserve">het fonds </w:t>
            </w:r>
            <w:r w:rsidR="001B135A" w:rsidRPr="009C13B6">
              <w:rPr>
                <w:b/>
                <w:i/>
              </w:rPr>
              <w:t>en richten gezamenlijk</w:t>
            </w:r>
            <w:r w:rsidR="001B135A" w:rsidRPr="009C13B6">
              <w:t xml:space="preserve"> een investeringsraad </w:t>
            </w:r>
            <w:r w:rsidR="001B135A" w:rsidRPr="009C13B6">
              <w:rPr>
                <w:b/>
                <w:i/>
              </w:rPr>
              <w:t>op die is samengesteld uit één vertegenwoordiger per begunstigde lidstaat, de Commissie, en</w:t>
            </w:r>
            <w:r w:rsidR="001B135A" w:rsidRPr="009C13B6">
              <w:t xml:space="preserve"> </w:t>
            </w:r>
            <w:r w:rsidR="001B135A" w:rsidRPr="009C13B6">
              <w:rPr>
                <w:b/>
                <w:i/>
              </w:rPr>
              <w:t>drie waarnemers van belanghebbende partijen (federaties van de sector, vakbonden en ngo's).</w:t>
            </w:r>
            <w:r w:rsidR="001B135A" w:rsidRPr="009C13B6">
              <w:rPr>
                <w:b/>
                <w:i/>
                <w:color w:val="auto"/>
              </w:rPr>
              <w:t xml:space="preserve"> De raad is verantwoordelijk voor de vaststelling op Unie-niveau van een investeringsbeleid, in overeenstemming met de vereisten van dit artikel en consistent met het Uniebeleid en neemt besluiten over investeringen.</w:t>
            </w:r>
            <w:r w:rsidR="001B135A" w:rsidRPr="009C13B6">
              <w:rPr>
                <w:color w:val="auto"/>
              </w:rPr>
              <w:br/>
            </w:r>
            <w:r w:rsidR="001B135A" w:rsidRPr="009C13B6">
              <w:rPr>
                <w:b/>
                <w:i/>
                <w:color w:val="auto"/>
              </w:rPr>
              <w:t>Er wordt een adviesraad opgericht die onafhankelijk is van de investeringsraad, en</w:t>
            </w:r>
            <w:r w:rsidR="001B135A" w:rsidRPr="009C13B6">
              <w:rPr>
                <w:color w:val="auto"/>
              </w:rPr>
              <w:t xml:space="preserve"> die </w:t>
            </w:r>
            <w:r w:rsidR="001B135A" w:rsidRPr="009C13B6">
              <w:rPr>
                <w:b/>
                <w:i/>
                <w:color w:val="auto"/>
              </w:rPr>
              <w:t>is</w:t>
            </w:r>
            <w:r w:rsidR="001B135A" w:rsidRPr="009C13B6">
              <w:rPr>
                <w:color w:val="auto"/>
              </w:rPr>
              <w:t xml:space="preserve"> samengesteld uit </w:t>
            </w:r>
            <w:r w:rsidR="001B135A" w:rsidRPr="009C13B6">
              <w:rPr>
                <w:b/>
                <w:i/>
                <w:color w:val="auto"/>
              </w:rPr>
              <w:t xml:space="preserve">deskundigen met veel relevante marktervaring met projectstructurering en </w:t>
            </w:r>
            <w:r w:rsidR="001B135A" w:rsidRPr="009C13B6">
              <w:rPr>
                <w:b/>
                <w:i/>
                <w:color w:val="auto"/>
              </w:rPr>
              <w:lastRenderedPageBreak/>
              <w:t xml:space="preserve">projectfinanciering. De adviesraad is samengesteld uit drie </w:t>
            </w:r>
            <w:r w:rsidR="001B135A" w:rsidRPr="009C13B6">
              <w:rPr>
                <w:color w:val="auto"/>
              </w:rPr>
              <w:t xml:space="preserve">vertegenwoordigers van de begunstigde lidstaten, </w:t>
            </w:r>
            <w:r w:rsidR="001B135A" w:rsidRPr="009C13B6">
              <w:rPr>
                <w:b/>
                <w:i/>
                <w:color w:val="auto"/>
              </w:rPr>
              <w:t xml:space="preserve">drie vertegenwoordigers van de overige lidstaten en deskundigen van </w:t>
            </w:r>
            <w:r w:rsidR="001B135A" w:rsidRPr="009C13B6">
              <w:rPr>
                <w:color w:val="auto"/>
              </w:rPr>
              <w:t xml:space="preserve">de Commissie, de </w:t>
            </w:r>
            <w:r w:rsidR="001B135A" w:rsidRPr="009C13B6">
              <w:rPr>
                <w:b/>
                <w:i/>
                <w:color w:val="auto"/>
              </w:rPr>
              <w:t>Europese Investeringsbank (</w:t>
            </w:r>
            <w:r w:rsidR="001B135A" w:rsidRPr="009C13B6">
              <w:rPr>
                <w:color w:val="auto"/>
              </w:rPr>
              <w:t>EIB</w:t>
            </w:r>
            <w:r w:rsidR="001B135A" w:rsidRPr="009C13B6">
              <w:rPr>
                <w:b/>
                <w:i/>
                <w:color w:val="auto"/>
              </w:rPr>
              <w:t>)</w:t>
            </w:r>
            <w:r w:rsidR="001B135A" w:rsidRPr="009C13B6">
              <w:rPr>
                <w:color w:val="auto"/>
              </w:rPr>
              <w:t xml:space="preserve"> </w:t>
            </w:r>
            <w:r w:rsidR="001B135A" w:rsidRPr="009C13B6">
              <w:rPr>
                <w:b/>
                <w:i/>
                <w:color w:val="auto"/>
              </w:rPr>
              <w:t>en de Europese Bank voor Wederopbouw en Ontwikkeling (EBWO), die</w:t>
            </w:r>
            <w:r w:rsidR="001B135A" w:rsidRPr="009C13B6">
              <w:rPr>
                <w:color w:val="auto"/>
              </w:rPr>
              <w:t xml:space="preserve"> voor een periode van vijf jaar </w:t>
            </w:r>
            <w:r w:rsidR="001B135A" w:rsidRPr="009C13B6">
              <w:rPr>
                <w:b/>
                <w:i/>
                <w:color w:val="auto"/>
              </w:rPr>
              <w:t>worden gekozen.</w:t>
            </w:r>
            <w:r w:rsidR="001B135A" w:rsidRPr="009C13B6">
              <w:rPr>
                <w:color w:val="auto"/>
              </w:rPr>
              <w:t xml:space="preserve"> </w:t>
            </w:r>
            <w:r w:rsidR="001B135A" w:rsidRPr="009C13B6">
              <w:rPr>
                <w:b/>
                <w:i/>
                <w:color w:val="auto"/>
              </w:rPr>
              <w:t>De adviesraad geeft advies over specifieke projecten met betrekking tot het verzamelen van</w:t>
            </w:r>
            <w:r w:rsidR="001B135A" w:rsidRPr="009C13B6">
              <w:rPr>
                <w:color w:val="auto"/>
              </w:rPr>
              <w:t xml:space="preserve"> </w:t>
            </w:r>
            <w:r w:rsidR="001B135A" w:rsidRPr="009C13B6">
              <w:rPr>
                <w:b/>
                <w:i/>
                <w:color w:val="auto"/>
              </w:rPr>
              <w:t>publieke en private financiële middelen</w:t>
            </w:r>
            <w:r w:rsidR="001B135A" w:rsidRPr="009C13B6">
              <w:rPr>
                <w:color w:val="auto"/>
              </w:rPr>
              <w:t xml:space="preserve">, </w:t>
            </w:r>
            <w:r w:rsidR="001B135A" w:rsidRPr="009C13B6">
              <w:rPr>
                <w:b/>
                <w:i/>
                <w:color w:val="auto"/>
              </w:rPr>
              <w:t>de vraag of projecten voldoen aan de investeringsvereisten en de behoefte aan assistentie bij de ontwikkeling van</w:t>
            </w:r>
            <w:r w:rsidR="001B135A" w:rsidRPr="009C13B6">
              <w:rPr>
                <w:color w:val="auto"/>
              </w:rPr>
              <w:t xml:space="preserve"> </w:t>
            </w:r>
            <w:r w:rsidR="001B135A" w:rsidRPr="009C13B6">
              <w:rPr>
                <w:b/>
                <w:i/>
                <w:color w:val="auto"/>
              </w:rPr>
              <w:t>projecten</w:t>
            </w:r>
            <w:r w:rsidR="001B135A" w:rsidRPr="009C13B6">
              <w:rPr>
                <w:color w:val="auto"/>
              </w:rPr>
              <w:t>.</w:t>
            </w:r>
          </w:p>
        </w:tc>
      </w:tr>
      <w:tr w:rsidR="00DE3F06" w:rsidRPr="009C13B6">
        <w:trPr>
          <w:jc w:val="center"/>
        </w:trPr>
        <w:tc>
          <w:tcPr>
            <w:tcW w:w="4876" w:type="dxa"/>
          </w:tcPr>
          <w:p w:rsidR="00DE3F06" w:rsidRPr="009C13B6" w:rsidRDefault="001B135A">
            <w:pPr>
              <w:pStyle w:val="Normal6"/>
              <w:rPr>
                <w:color w:val="auto"/>
              </w:rPr>
            </w:pPr>
            <w:r w:rsidRPr="009C13B6">
              <w:rPr>
                <w:color w:val="auto"/>
              </w:rPr>
              <w:lastRenderedPageBreak/>
              <w:t xml:space="preserve">De investeringsraad </w:t>
            </w:r>
            <w:r w:rsidRPr="009C13B6">
              <w:rPr>
                <w:b/>
                <w:i/>
                <w:color w:val="auto"/>
              </w:rPr>
              <w:t>verkiest een vertegenwoordiger van de</w:t>
            </w:r>
            <w:r w:rsidRPr="009C13B6">
              <w:rPr>
                <w:color w:val="auto"/>
              </w:rPr>
              <w:t xml:space="preserve"> </w:t>
            </w:r>
            <w:r w:rsidRPr="009C13B6">
              <w:rPr>
                <w:b/>
                <w:i/>
                <w:color w:val="auto"/>
              </w:rPr>
              <w:t>Commissie tot zijn voorzitter</w:t>
            </w:r>
            <w:r w:rsidRPr="009C13B6">
              <w:rPr>
                <w:color w:val="auto"/>
              </w:rPr>
              <w:t xml:space="preserve">. De investeringsraad streeft ernaar besluiten bij consensus te nemen. </w:t>
            </w:r>
            <w:r w:rsidRPr="009C13B6">
              <w:rPr>
                <w:b/>
                <w:i/>
                <w:color w:val="auto"/>
              </w:rPr>
              <w:t>Indien de</w:t>
            </w:r>
            <w:r w:rsidRPr="009C13B6">
              <w:rPr>
                <w:color w:val="auto"/>
              </w:rPr>
              <w:t xml:space="preserve"> </w:t>
            </w:r>
            <w:r w:rsidRPr="009C13B6">
              <w:rPr>
                <w:b/>
                <w:i/>
                <w:color w:val="auto"/>
              </w:rPr>
              <w:t>investeringsraad niet binnen een door de voorzitter vastgestelde termijn bij consensus kan besluiten,</w:t>
            </w:r>
            <w:r w:rsidRPr="009C13B6">
              <w:rPr>
                <w:color w:val="auto"/>
              </w:rPr>
              <w:t xml:space="preserve"> neemt </w:t>
            </w:r>
            <w:r w:rsidRPr="009C13B6">
              <w:rPr>
                <w:b/>
                <w:i/>
                <w:color w:val="auto"/>
              </w:rPr>
              <w:t>de investeringsraad een besluit</w:t>
            </w:r>
            <w:r w:rsidRPr="009C13B6">
              <w:rPr>
                <w:color w:val="auto"/>
              </w:rPr>
              <w:t xml:space="preserve"> bij gewone meerderheid.</w:t>
            </w:r>
          </w:p>
        </w:tc>
        <w:tc>
          <w:tcPr>
            <w:tcW w:w="4876" w:type="dxa"/>
          </w:tcPr>
          <w:p w:rsidR="00DE3F06" w:rsidRPr="009C13B6" w:rsidRDefault="001B135A">
            <w:pPr>
              <w:pStyle w:val="Normal6"/>
              <w:rPr>
                <w:color w:val="auto"/>
              </w:rPr>
            </w:pPr>
            <w:r w:rsidRPr="009C13B6">
              <w:rPr>
                <w:b/>
                <w:i/>
              </w:rPr>
              <w:t xml:space="preserve">Het voorzitterschap van </w:t>
            </w:r>
            <w:r w:rsidRPr="009C13B6">
              <w:t xml:space="preserve">de investeringsraad </w:t>
            </w:r>
            <w:r w:rsidRPr="009C13B6">
              <w:rPr>
                <w:b/>
                <w:i/>
              </w:rPr>
              <w:t>wordt op basis van een systeem van jaarlijkse roulering verkozen uit de leden van de</w:t>
            </w:r>
            <w:r w:rsidRPr="009C13B6">
              <w:t xml:space="preserve"> </w:t>
            </w:r>
            <w:r w:rsidRPr="009C13B6">
              <w:rPr>
                <w:b/>
                <w:i/>
              </w:rPr>
              <w:t>adviesraad</w:t>
            </w:r>
            <w:r w:rsidRPr="009C13B6">
              <w:t>.</w:t>
            </w:r>
            <w:r w:rsidRPr="009C13B6">
              <w:rPr>
                <w:color w:val="auto"/>
              </w:rPr>
              <w:t xml:space="preserve"> De investeringsraad streeft ernaar besluiten bij consensus te nemen. </w:t>
            </w:r>
            <w:r w:rsidRPr="009C13B6">
              <w:rPr>
                <w:b/>
                <w:i/>
                <w:color w:val="auto"/>
              </w:rPr>
              <w:t>De adviesraad</w:t>
            </w:r>
            <w:r w:rsidRPr="009C13B6">
              <w:rPr>
                <w:color w:val="auto"/>
              </w:rPr>
              <w:t xml:space="preserve"> neemt </w:t>
            </w:r>
            <w:r w:rsidRPr="009C13B6">
              <w:rPr>
                <w:b/>
                <w:i/>
                <w:color w:val="auto"/>
              </w:rPr>
              <w:t>zijn advies aan</w:t>
            </w:r>
            <w:r w:rsidRPr="009C13B6">
              <w:rPr>
                <w:color w:val="auto"/>
              </w:rPr>
              <w:t xml:space="preserve"> bij gewone meerderheid.</w:t>
            </w:r>
          </w:p>
        </w:tc>
      </w:tr>
      <w:tr w:rsidR="00DE3F06" w:rsidRPr="009C13B6">
        <w:trPr>
          <w:jc w:val="center"/>
        </w:trPr>
        <w:tc>
          <w:tcPr>
            <w:tcW w:w="4876" w:type="dxa"/>
          </w:tcPr>
          <w:p w:rsidR="00DE3F06" w:rsidRPr="009C13B6" w:rsidRDefault="001B135A">
            <w:pPr>
              <w:pStyle w:val="Normal6"/>
              <w:rPr>
                <w:color w:val="auto"/>
              </w:rPr>
            </w:pPr>
            <w:r w:rsidRPr="009C13B6">
              <w:rPr>
                <w:b/>
                <w:i/>
                <w:color w:val="auto"/>
              </w:rPr>
              <w:t>Het beheerscomité bestaat uit door</w:t>
            </w:r>
            <w:r w:rsidRPr="009C13B6">
              <w:rPr>
                <w:color w:val="auto"/>
              </w:rPr>
              <w:t xml:space="preserve"> de investeringsraad </w:t>
            </w:r>
            <w:r w:rsidRPr="009C13B6">
              <w:rPr>
                <w:b/>
                <w:i/>
                <w:color w:val="auto"/>
              </w:rPr>
              <w:t>benoemde vertegenwoordigers. De besluiten van</w:t>
            </w:r>
            <w:r w:rsidRPr="009C13B6">
              <w:rPr>
                <w:color w:val="auto"/>
              </w:rPr>
              <w:t xml:space="preserve"> </w:t>
            </w:r>
            <w:r w:rsidRPr="009C13B6">
              <w:rPr>
                <w:b/>
                <w:i/>
                <w:color w:val="auto"/>
              </w:rPr>
              <w:t>het beheerscomité</w:t>
            </w:r>
            <w:r w:rsidRPr="009C13B6">
              <w:rPr>
                <w:color w:val="auto"/>
              </w:rPr>
              <w:t xml:space="preserve"> </w:t>
            </w:r>
            <w:r w:rsidRPr="009C13B6">
              <w:rPr>
                <w:b/>
                <w:i/>
                <w:color w:val="auto"/>
              </w:rPr>
              <w:t>worden bij gewone meerderheid genomen</w:t>
            </w:r>
            <w:r w:rsidRPr="009C13B6">
              <w:rPr>
                <w:color w:val="auto"/>
              </w:rPr>
              <w:t>.</w:t>
            </w:r>
          </w:p>
        </w:tc>
        <w:tc>
          <w:tcPr>
            <w:tcW w:w="4876" w:type="dxa"/>
          </w:tcPr>
          <w:p w:rsidR="00DE3F06" w:rsidRPr="009C13B6" w:rsidRDefault="001B135A">
            <w:pPr>
              <w:pStyle w:val="Normal6"/>
              <w:rPr>
                <w:color w:val="auto"/>
              </w:rPr>
            </w:pPr>
            <w:r w:rsidRPr="009C13B6">
              <w:rPr>
                <w:b/>
                <w:i/>
                <w:color w:val="auto"/>
              </w:rPr>
              <w:t>De investeringsraad en de adviesraad opereren op een open en transparante wijze. De notulen van beide raadsvergaderingen worden openbaar gemaakt. De samenstelling van</w:t>
            </w:r>
            <w:r w:rsidRPr="009C13B6">
              <w:rPr>
                <w:color w:val="auto"/>
              </w:rPr>
              <w:t xml:space="preserve"> de investeringsraad </w:t>
            </w:r>
            <w:r w:rsidRPr="009C13B6">
              <w:rPr>
                <w:b/>
                <w:i/>
                <w:color w:val="auto"/>
              </w:rPr>
              <w:t>en de adviesraad wordt openbaar gemaakt en de cv's en de</w:t>
            </w:r>
            <w:r w:rsidRPr="009C13B6">
              <w:rPr>
                <w:color w:val="auto"/>
              </w:rPr>
              <w:t xml:space="preserve"> </w:t>
            </w:r>
            <w:r w:rsidRPr="009C13B6">
              <w:rPr>
                <w:b/>
                <w:i/>
                <w:color w:val="auto"/>
              </w:rPr>
              <w:t>belangenverklaringen van</w:t>
            </w:r>
            <w:r w:rsidRPr="009C13B6">
              <w:rPr>
                <w:color w:val="auto"/>
              </w:rPr>
              <w:t xml:space="preserve"> </w:t>
            </w:r>
            <w:r w:rsidRPr="009C13B6">
              <w:rPr>
                <w:b/>
                <w:i/>
                <w:color w:val="auto"/>
              </w:rPr>
              <w:t>de leden worden</w:t>
            </w:r>
            <w:r w:rsidRPr="009C13B6">
              <w:rPr>
                <w:color w:val="auto"/>
              </w:rPr>
              <w:t xml:space="preserve"> </w:t>
            </w:r>
            <w:r w:rsidRPr="009C13B6">
              <w:rPr>
                <w:b/>
                <w:i/>
                <w:color w:val="auto"/>
              </w:rPr>
              <w:t>openbaar gemaakt en regelmatig geactualiseerd. De investeringsraad en de adviesraad gaan doorlopend na of er geen belangenconflicten zijn. De investeringsraad legt tweemaal per jaar een lijst voor aan het Europees Parlement, de Raad en de Commissie met alle geleverde adviezen over projecten</w:t>
            </w:r>
            <w:r w:rsidRPr="009C13B6">
              <w:rPr>
                <w:color w:val="auto"/>
              </w:rPr>
              <w:t>.</w:t>
            </w:r>
          </w:p>
        </w:tc>
      </w:tr>
      <w:tr w:rsidR="00DE3F06" w:rsidRPr="009C13B6">
        <w:trPr>
          <w:jc w:val="center"/>
        </w:trPr>
        <w:tc>
          <w:tcPr>
            <w:tcW w:w="4876" w:type="dxa"/>
          </w:tcPr>
          <w:p w:rsidR="00DE3F06" w:rsidRPr="009C13B6" w:rsidRDefault="001B135A">
            <w:pPr>
              <w:pStyle w:val="Normal6"/>
              <w:rPr>
                <w:color w:val="auto"/>
              </w:rPr>
            </w:pPr>
            <w:r w:rsidRPr="009C13B6">
              <w:rPr>
                <w:color w:val="auto"/>
              </w:rPr>
              <w:t xml:space="preserve">Indien de EIB aanbeveelt om een investering niet te financieren en </w:t>
            </w:r>
            <w:r w:rsidRPr="009C13B6">
              <w:rPr>
                <w:b/>
                <w:i/>
                <w:color w:val="auto"/>
              </w:rPr>
              <w:t>die</w:t>
            </w:r>
            <w:r w:rsidRPr="009C13B6">
              <w:rPr>
                <w:color w:val="auto"/>
              </w:rPr>
              <w:t xml:space="preserve"> aanbeveling met redenen onderbouwt, wordt een </w:t>
            </w:r>
            <w:r w:rsidRPr="009C13B6">
              <w:rPr>
                <w:b/>
                <w:i/>
                <w:color w:val="auto"/>
              </w:rPr>
              <w:t>besluit</w:t>
            </w:r>
            <w:r w:rsidRPr="009C13B6">
              <w:rPr>
                <w:color w:val="auto"/>
              </w:rPr>
              <w:t xml:space="preserve"> slechts aangenomen indien een meerderheid van twee derde van alle leden voorstemmen. De lidstaat waarin de investering plaatsvindt en de EIB hebben in dat geval geen stemrecht. </w:t>
            </w:r>
            <w:r w:rsidRPr="009C13B6">
              <w:rPr>
                <w:b/>
                <w:i/>
                <w:color w:val="auto"/>
              </w:rPr>
              <w:t>De twee voorgaande zinnen zijn niet van toepassing op kleine projecten die gefinancierd zijn met leningen van een nationale stimuleringsbank of met subsidies die bijdragen tot de uitvoering van een nationaal programma met specifieke doelstellingen die in overeenstemming zijn met de doelstellingen van het moderniseringsfonds, op voorwaarde dat niet meer dan 10 % van het in bijlage II ter vastgestelde aandeel van de lidstaten in het kader van het programma wordt gebruikt.</w:t>
            </w:r>
          </w:p>
        </w:tc>
        <w:tc>
          <w:tcPr>
            <w:tcW w:w="4876" w:type="dxa"/>
          </w:tcPr>
          <w:p w:rsidR="00DE3F06" w:rsidRPr="009C13B6" w:rsidRDefault="001B135A">
            <w:pPr>
              <w:pStyle w:val="Normal6"/>
              <w:rPr>
                <w:color w:val="auto"/>
              </w:rPr>
            </w:pPr>
            <w:r w:rsidRPr="009C13B6">
              <w:rPr>
                <w:color w:val="auto"/>
              </w:rPr>
              <w:t xml:space="preserve">Indien de EIB aanbeveelt om een investering niet te financieren en </w:t>
            </w:r>
            <w:r w:rsidRPr="009C13B6">
              <w:rPr>
                <w:b/>
                <w:i/>
                <w:color w:val="auto"/>
              </w:rPr>
              <w:t>deze</w:t>
            </w:r>
            <w:r w:rsidRPr="009C13B6">
              <w:rPr>
                <w:color w:val="auto"/>
              </w:rPr>
              <w:t xml:space="preserve"> aanbeveling met redenen onderbouwt</w:t>
            </w:r>
            <w:r w:rsidRPr="009C13B6">
              <w:rPr>
                <w:b/>
                <w:i/>
                <w:color w:val="auto"/>
              </w:rPr>
              <w:t xml:space="preserve"> in overeenstemming met het investeringsbeleid dat door de investeringsraad is goedgekeurd en de selectiecriteria als bedoeld in lid 1</w:t>
            </w:r>
            <w:r w:rsidRPr="009C13B6">
              <w:rPr>
                <w:color w:val="auto"/>
              </w:rPr>
              <w:t xml:space="preserve">, wordt een </w:t>
            </w:r>
            <w:r w:rsidRPr="009C13B6">
              <w:rPr>
                <w:b/>
                <w:i/>
                <w:color w:val="auto"/>
              </w:rPr>
              <w:t>positief advies</w:t>
            </w:r>
            <w:r w:rsidRPr="009C13B6">
              <w:rPr>
                <w:color w:val="auto"/>
              </w:rPr>
              <w:t xml:space="preserve"> slechts aangenomen indien een meerderheid van twee derde van alle leden voorstemmen. De lidstaat waarin de investering plaatsvindt en de EIB hebben in dat geval geen stemrecht.</w:t>
            </w:r>
          </w:p>
        </w:tc>
      </w:tr>
    </w:tbl>
    <w:p w:rsidR="00DE3F06" w:rsidRPr="009C13B6" w:rsidRDefault="001B135A" w:rsidP="0073348B">
      <w:pPr>
        <w:pStyle w:val="Olang"/>
      </w:pPr>
      <w:r w:rsidRPr="009C13B6">
        <w:t xml:space="preserve">Or. </w:t>
      </w:r>
      <w:r w:rsidRPr="009C13B6">
        <w:rPr>
          <w:rStyle w:val="HideTWBExt"/>
        </w:rPr>
        <w:t>&lt;Original&gt;</w:t>
      </w:r>
      <w:r w:rsidRPr="009C13B6">
        <w:rPr>
          <w:rStyle w:val="HideTWBInt"/>
        </w:rPr>
        <w:t>{EN}</w:t>
      </w:r>
      <w:r w:rsidRPr="009C13B6">
        <w:t>en</w:t>
      </w:r>
      <w:r w:rsidRPr="009C13B6">
        <w:rPr>
          <w:rStyle w:val="HideTWBExt"/>
        </w:rPr>
        <w:t>&lt;/Original&gt;</w:t>
      </w:r>
    </w:p>
    <w:p w:rsidR="00DE3F06" w:rsidRPr="009C13B6" w:rsidRDefault="001B135A">
      <w:pPr>
        <w:pStyle w:val="JustificationTitle"/>
      </w:pPr>
      <w:r w:rsidRPr="009C13B6">
        <w:rPr>
          <w:rStyle w:val="HideTWBExt"/>
        </w:rPr>
        <w:t>&lt;TitreJust&gt;</w:t>
      </w:r>
      <w:r w:rsidRPr="009C13B6">
        <w:rPr>
          <w:color w:val="auto"/>
        </w:rPr>
        <w:t>Motivering</w:t>
      </w:r>
      <w:r w:rsidRPr="009C13B6">
        <w:rPr>
          <w:rStyle w:val="HideTWBExt"/>
        </w:rPr>
        <w:t>&lt;/TitreJust&gt;</w:t>
      </w:r>
    </w:p>
    <w:p w:rsidR="00DE3F06" w:rsidRPr="009C13B6" w:rsidRDefault="001B135A">
      <w:pPr>
        <w:pStyle w:val="Normal12Italic"/>
      </w:pPr>
      <w:r w:rsidRPr="009C13B6">
        <w:t>Het amendement herstelt het standpunt van ITRE.</w:t>
      </w:r>
    </w:p>
    <w:p w:rsidR="00DE3F06" w:rsidRPr="009C13B6" w:rsidRDefault="001B135A">
      <w:pPr>
        <w:pStyle w:val="Normal12Italic"/>
      </w:pPr>
      <w:r w:rsidRPr="009C13B6">
        <w:rPr>
          <w:rStyle w:val="HideTWBExt"/>
        </w:rPr>
        <w:t>&lt;/Amend&gt;&lt;/RepeatBlock-Amend&gt;</w:t>
      </w:r>
    </w:p>
    <w:sectPr w:rsidR="00DE3F06" w:rsidRPr="009C13B6" w:rsidSect="009C13B6">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B93" w:rsidRPr="009C13B6" w:rsidRDefault="001B135A">
      <w:r w:rsidRPr="009C13B6">
        <w:separator/>
      </w:r>
    </w:p>
  </w:endnote>
  <w:endnote w:type="continuationSeparator" w:id="0">
    <w:p w:rsidR="003F0B93" w:rsidRPr="009C13B6" w:rsidRDefault="001B135A">
      <w:r w:rsidRPr="009C13B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F06" w:rsidRPr="009C13B6" w:rsidRDefault="001B135A">
    <w:pPr>
      <w:pStyle w:val="Footer"/>
    </w:pPr>
    <w:r w:rsidRPr="009C13B6">
      <w:t>&lt;PathFdR&gt;AM\P8_AMA(2017)0003(163-164)EN.docx&lt;/PathFdR&gt;</w:t>
    </w:r>
    <w:r w:rsidRPr="009C13B6">
      <w:tab/>
    </w:r>
    <w:r w:rsidRPr="009C13B6">
      <w:tab/>
      <w:t>PE&lt;NoPE&gt;598.453&lt;/NoPE&gt;&lt;Version&gt;v01-00&lt;/Version&gt;</w:t>
    </w:r>
  </w:p>
  <w:p w:rsidR="00DE3F06" w:rsidRPr="009C13B6" w:rsidRDefault="001B135A">
    <w:pPr>
      <w:pStyle w:val="Footer2"/>
    </w:pPr>
    <w:r w:rsidRPr="009C13B6">
      <w:t>EN</w:t>
    </w:r>
    <w:r w:rsidRPr="009C13B6">
      <w:tab/>
      <w:t>United in diversity</w:t>
    </w:r>
    <w:r w:rsidRPr="009C13B6">
      <w:tab/>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3B6" w:rsidRPr="009C13B6" w:rsidRDefault="009C13B6" w:rsidP="009C13B6">
    <w:pPr>
      <w:pStyle w:val="Footer"/>
    </w:pPr>
    <w:r w:rsidRPr="009C13B6">
      <w:rPr>
        <w:rStyle w:val="HideTWBExt"/>
      </w:rPr>
      <w:t>&lt;PathFdR&gt;</w:t>
    </w:r>
    <w:r w:rsidRPr="009C13B6">
      <w:t>AM\1116997NL.docx</w:t>
    </w:r>
    <w:r w:rsidRPr="009C13B6">
      <w:rPr>
        <w:rStyle w:val="HideTWBExt"/>
      </w:rPr>
      <w:t>&lt;/PathFdR&gt;</w:t>
    </w:r>
    <w:r w:rsidRPr="009C13B6">
      <w:tab/>
    </w:r>
    <w:r w:rsidRPr="009C13B6">
      <w:tab/>
      <w:t>PE</w:t>
    </w:r>
    <w:r w:rsidRPr="009C13B6">
      <w:rPr>
        <w:rStyle w:val="HideTWBExt"/>
      </w:rPr>
      <w:t>&lt;NoPE&gt;</w:t>
    </w:r>
    <w:r w:rsidRPr="009C13B6">
      <w:t>598.453</w:t>
    </w:r>
    <w:r w:rsidRPr="009C13B6">
      <w:rPr>
        <w:rStyle w:val="HideTWBExt"/>
      </w:rPr>
      <w:t>&lt;/NoPE&gt;&lt;Version&gt;</w:t>
    </w:r>
    <w:r w:rsidRPr="009C13B6">
      <w:t>v01-00</w:t>
    </w:r>
    <w:r w:rsidRPr="009C13B6">
      <w:rPr>
        <w:rStyle w:val="HideTWBExt"/>
      </w:rPr>
      <w:t>&lt;/Version&gt;</w:t>
    </w:r>
  </w:p>
  <w:p w:rsidR="00DE3F06" w:rsidRPr="009C13B6" w:rsidRDefault="009C13B6" w:rsidP="009C13B6">
    <w:pPr>
      <w:pStyle w:val="Footer2"/>
      <w:tabs>
        <w:tab w:val="center" w:pos="4535"/>
        <w:tab w:val="right" w:pos="9921"/>
      </w:tabs>
    </w:pPr>
    <w:r w:rsidRPr="009C13B6">
      <w:t>NL</w:t>
    </w:r>
    <w:r w:rsidRPr="009C13B6">
      <w:tab/>
    </w:r>
    <w:r w:rsidRPr="009C13B6">
      <w:rPr>
        <w:b w:val="0"/>
        <w:i/>
        <w:color w:val="C0C0C0"/>
        <w:sz w:val="22"/>
      </w:rPr>
      <w:t>In verscheidenheid verenigd</w:t>
    </w:r>
    <w:r w:rsidRPr="009C13B6">
      <w:tab/>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F06" w:rsidRPr="009C13B6" w:rsidRDefault="001B135A">
    <w:pPr>
      <w:pStyle w:val="Footer"/>
    </w:pPr>
    <w:r w:rsidRPr="009C13B6">
      <w:t>&lt;PathFdR&gt;AM\P8_AMA(2017)0003(163-164)EN.docx&lt;/PathFdR&gt;</w:t>
    </w:r>
    <w:r w:rsidRPr="009C13B6">
      <w:tab/>
    </w:r>
    <w:r w:rsidRPr="009C13B6">
      <w:tab/>
      <w:t>PE&lt;NoPE&gt;598.453&lt;/NoPE&gt;&lt;Version&gt;v01-00&lt;/Version&gt;</w:t>
    </w:r>
  </w:p>
  <w:p w:rsidR="00DE3F06" w:rsidRPr="009C13B6" w:rsidRDefault="001B135A">
    <w:pPr>
      <w:pStyle w:val="Footer2"/>
    </w:pPr>
    <w:r w:rsidRPr="009C13B6">
      <w:t>EN</w:t>
    </w:r>
    <w:r w:rsidRPr="009C13B6">
      <w:tab/>
      <w:t>United in diversity</w:t>
    </w:r>
    <w:r w:rsidRPr="009C13B6">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B93" w:rsidRPr="009C13B6" w:rsidRDefault="001B135A">
      <w:r w:rsidRPr="009C13B6">
        <w:separator/>
      </w:r>
    </w:p>
  </w:footnote>
  <w:footnote w:type="continuationSeparator" w:id="0">
    <w:p w:rsidR="003F0B93" w:rsidRPr="009C13B6" w:rsidRDefault="001B135A">
      <w:r w:rsidRPr="009C13B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883" w:rsidRDefault="009D38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883" w:rsidRDefault="009D38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883" w:rsidRDefault="009D38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pyToNetwork" w:val="-1"/>
    <w:docVar w:name="LastEditedSection" w:val=" 1"/>
    <w:docVar w:name="strDocTypeID" w:val="AM_Ple_LegReport"/>
    <w:docVar w:name="TXTLANGUE" w:val="NL"/>
    <w:docVar w:name="TXTLANGUEMIN" w:val="nl"/>
    <w:docVar w:name="TXTNRPE" w:val="598.453"/>
    <w:docVar w:name="TXTPEorAP" w:val="PE"/>
    <w:docVar w:name="TXTROUTE" w:val="AM\1116997NL.docx"/>
    <w:docVar w:name="TXTVERSION" w:val="01-00"/>
  </w:docVars>
  <w:rsids>
    <w:rsidRoot w:val="00DE3F06"/>
    <w:rsid w:val="001B135A"/>
    <w:rsid w:val="00206A43"/>
    <w:rsid w:val="0029492F"/>
    <w:rsid w:val="003D56E2"/>
    <w:rsid w:val="003F0B93"/>
    <w:rsid w:val="00721E54"/>
    <w:rsid w:val="0073348B"/>
    <w:rsid w:val="009C13B6"/>
    <w:rsid w:val="009D3883"/>
    <w:rsid w:val="00D221C9"/>
    <w:rsid w:val="00DB0E91"/>
    <w:rsid w:val="00DE3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A42A92-9C6D-4A57-8386-7AF61BD3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E24A24"/>
    <w:pPr>
      <w:tabs>
        <w:tab w:val="right" w:pos="9072"/>
      </w:tabs>
      <w:ind w:right="-284"/>
    </w:pPr>
    <w:rPr>
      <w:color w:val="000000"/>
      <w:sz w:val="22"/>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pPr>
      <w:tabs>
        <w:tab w:val="right" w:pos="9072"/>
      </w:tabs>
      <w:ind w:right="-284"/>
    </w:pPr>
    <w:rPr>
      <w:i/>
      <w:color w:val="000000"/>
      <w:sz w:val="22"/>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pPr>
      <w:spacing w:after="240"/>
      <w:jc w:val="right"/>
    </w:pPr>
    <w:rPr>
      <w:rFonts w:ascii="Arial" w:eastAsia="Arial" w:hAnsi="Arial" w:cs="Arial"/>
      <w:b/>
      <w:caps/>
      <w:color w:val="000000"/>
      <w:sz w:val="22"/>
    </w:rPr>
  </w:style>
  <w:style w:type="paragraph" w:customStyle="1" w:styleId="StyleNormal6TimesNewRomanBoldItalic">
    <w:name w:val="Style Normal6 + TimesNewRoman Bold Italic"/>
    <w:pPr>
      <w:spacing w:after="120"/>
    </w:pPr>
    <w:rPr>
      <w:b/>
      <w:i/>
      <w:color w:val="000000"/>
      <w:sz w:val="24"/>
      <w:szCs w:val="24"/>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35788283.dotm</Template>
  <TotalTime>0</TotalTime>
  <Pages>5</Pages>
  <Words>1128</Words>
  <Characters>7196</Characters>
  <Application>Microsoft Office Word</Application>
  <DocSecurity>0</DocSecurity>
  <Lines>219</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ROVERS Rosette</cp:lastModifiedBy>
  <cp:revision>2</cp:revision>
  <dcterms:created xsi:type="dcterms:W3CDTF">2017-02-09T15:22:00Z</dcterms:created>
  <dcterms:modified xsi:type="dcterms:W3CDTF">2017-02-09T15:22:00Z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1116997</vt:lpwstr>
  </property>
  <property fmtid="{D5CDD505-2E9C-101B-9397-08002B2CF9AE}" pid="3" name="&lt;FooterPath&gt;">
    <vt:lpwstr>AM\P8_AMA(2017)0003(163-164)EN.doc</vt:lpwstr>
  </property>
  <property fmtid="{D5CDD505-2E9C-101B-9397-08002B2CF9AE}" pid="4" name="&lt;Model&gt;">
    <vt:lpwstr>AM_Ple_LegReport</vt:lpwstr>
  </property>
  <property fmtid="{D5CDD505-2E9C-101B-9397-08002B2CF9AE}" pid="5" name="&lt;Type&gt;">
    <vt:lpwstr>AM</vt:lpwstr>
  </property>
  <property fmtid="{D5CDD505-2E9C-101B-9397-08002B2CF9AE}" pid="6" name="DMXMLUID">
    <vt:lpwstr>20170209-112521-386375-155095</vt:lpwstr>
  </property>
  <property fmtid="{D5CDD505-2E9C-101B-9397-08002B2CF9AE}" pid="7" name="PE Number">
    <vt:lpwstr>598.453</vt:lpwstr>
  </property>
  <property fmtid="{D5CDD505-2E9C-101B-9397-08002B2CF9AE}" pid="8" name="UID">
    <vt:lpwstr>eu.europa.europarl-DIN1-2017-0000016189_01.00-en-01.00_text-xml</vt:lpwstr>
  </property>
  <property fmtid="{D5CDD505-2E9C-101B-9397-08002B2CF9AE}" pid="9" name="SDLStudio">
    <vt:lpwstr/>
  </property>
  <property fmtid="{D5CDD505-2E9C-101B-9397-08002B2CF9AE}" pid="10" name="&lt;Extension&gt;">
    <vt:lpwstr>NL</vt:lpwstr>
  </property>
  <property fmtid="{D5CDD505-2E9C-101B-9397-08002B2CF9AE}" pid="11" name="LastEdited with">
    <vt:lpwstr>8.5.0 Build [20151002]</vt:lpwstr>
  </property>
  <property fmtid="{D5CDD505-2E9C-101B-9397-08002B2CF9AE}" pid="12" name="FooterPath">
    <vt:lpwstr>AM\1116997NL.docx</vt:lpwstr>
  </property>
  <property fmtid="{D5CDD505-2E9C-101B-9397-08002B2CF9AE}" pid="13" name="SubscribeElise">
    <vt:lpwstr/>
  </property>
  <property fmtid="{D5CDD505-2E9C-101B-9397-08002B2CF9AE}" pid="14" name="Bookout">
    <vt:lpwstr>OK - 2017/02/09 16:22</vt:lpwstr>
  </property>
</Properties>
</file>