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D0" w:rsidRDefault="002B6FD0" w:rsidP="002B6FD0">
      <w:pPr>
        <w:tabs>
          <w:tab w:val="right" w:pos="9184"/>
        </w:tabs>
      </w:pPr>
    </w:p>
    <w:p w:rsidR="002B6FD0" w:rsidRDefault="002B6FD0" w:rsidP="002B6FD0">
      <w:pPr>
        <w:tabs>
          <w:tab w:val="right" w:pos="9184"/>
        </w:tabs>
      </w:pPr>
    </w:p>
    <w:p w:rsidR="002B6FD0" w:rsidRDefault="002B6FD0" w:rsidP="002B6FD0">
      <w:pPr>
        <w:tabs>
          <w:tab w:val="right" w:pos="9184"/>
        </w:tabs>
      </w:pPr>
    </w:p>
    <w:p w:rsidR="002B6FD0" w:rsidRDefault="002B6FD0" w:rsidP="002B6FD0">
      <w:pPr>
        <w:tabs>
          <w:tab w:val="right" w:pos="9184"/>
        </w:tabs>
      </w:pPr>
    </w:p>
    <w:p w:rsidR="002B6FD0" w:rsidRPr="00E90E1A" w:rsidRDefault="002B6FD0" w:rsidP="002B6FD0">
      <w:pPr>
        <w:tabs>
          <w:tab w:val="right" w:pos="9184"/>
        </w:tabs>
      </w:pPr>
      <w:r w:rsidRPr="00E90E1A">
        <w:rPr>
          <w:rStyle w:val="HideTWBExt"/>
        </w:rPr>
        <w:t>&lt;Date&gt;</w:t>
      </w:r>
      <w:r w:rsidRPr="00E90E1A">
        <w:t>9.3.2017</w:t>
      </w:r>
      <w:r w:rsidRPr="00E90E1A">
        <w:rPr>
          <w:rStyle w:val="HideTWBExt"/>
        </w:rPr>
        <w:t>&lt;/Date&gt;</w:t>
      </w:r>
      <w:r w:rsidRPr="00E90E1A">
        <w:tab/>
        <w:t xml:space="preserve">A8-0013/ </w:t>
      </w:r>
      <w:r w:rsidRPr="00E90E1A">
        <w:rPr>
          <w:rStyle w:val="HideTWBExt"/>
        </w:rPr>
        <w:t>&lt;NumOfAM&gt;</w:t>
      </w:r>
      <w:r w:rsidRPr="00E90E1A">
        <w:t>001-033</w:t>
      </w:r>
      <w:bookmarkStart w:id="0" w:name="_GoBack"/>
      <w:bookmarkEnd w:id="0"/>
      <w:r w:rsidRPr="00E90E1A">
        <w:rPr>
          <w:rStyle w:val="HideTWBExt"/>
        </w:rPr>
        <w:t>&lt;/NumOfAM&gt;</w:t>
      </w:r>
    </w:p>
    <w:p w:rsidR="002B6FD0" w:rsidRPr="00E90E1A" w:rsidRDefault="002B6FD0" w:rsidP="002B6FD0">
      <w:pPr>
        <w:tabs>
          <w:tab w:val="right" w:pos="9184"/>
        </w:tabs>
      </w:pPr>
    </w:p>
    <w:p w:rsidR="002B6FD0" w:rsidRPr="00E90E1A" w:rsidRDefault="002B6FD0" w:rsidP="002B6FD0">
      <w:pPr>
        <w:tabs>
          <w:tab w:val="right" w:pos="9184"/>
        </w:tabs>
      </w:pPr>
    </w:p>
    <w:p w:rsidR="002B6FD0" w:rsidRPr="00E90E1A" w:rsidRDefault="002B6FD0" w:rsidP="002B6FD0">
      <w:pPr>
        <w:tabs>
          <w:tab w:val="right" w:pos="9184"/>
        </w:tabs>
      </w:pPr>
      <w:r w:rsidRPr="00E90E1A">
        <w:rPr>
          <w:b/>
        </w:rPr>
        <w:t xml:space="preserve">PREDLOGI SPREMEMB 001-033 </w:t>
      </w:r>
    </w:p>
    <w:p w:rsidR="002B6FD0" w:rsidRPr="00E90E1A" w:rsidRDefault="002B6FD0" w:rsidP="002B6FD0">
      <w:pPr>
        <w:tabs>
          <w:tab w:val="right" w:pos="9184"/>
        </w:tabs>
      </w:pPr>
      <w:r w:rsidRPr="00E90E1A">
        <w:t xml:space="preserve">vlagatelj: </w:t>
      </w:r>
      <w:r w:rsidRPr="00E90E1A">
        <w:rPr>
          <w:rStyle w:val="HideTWBExt"/>
        </w:rPr>
        <w:t>&lt;Committee&gt;</w:t>
      </w:r>
      <w:r w:rsidRPr="00E90E1A">
        <w:t>Odbor za okolje, javno zdravje in varnost hrane</w:t>
      </w:r>
      <w:r w:rsidRPr="00E90E1A">
        <w:rPr>
          <w:rStyle w:val="HideTWBExt"/>
        </w:rPr>
        <w:t>&lt;/Committee&gt;</w:t>
      </w:r>
    </w:p>
    <w:p w:rsidR="002B6FD0" w:rsidRPr="00E90E1A" w:rsidRDefault="002B6FD0" w:rsidP="002B6FD0">
      <w:pPr>
        <w:tabs>
          <w:tab w:val="right" w:pos="9184"/>
        </w:tabs>
      </w:pPr>
    </w:p>
    <w:p w:rsidR="002B6FD0" w:rsidRPr="00E90E1A" w:rsidRDefault="002B6FD0" w:rsidP="002B6FD0">
      <w:pPr>
        <w:tabs>
          <w:tab w:val="right" w:pos="9184"/>
        </w:tabs>
        <w:rPr>
          <w:b/>
        </w:rPr>
      </w:pPr>
      <w:r w:rsidRPr="00E90E1A">
        <w:rPr>
          <w:b/>
        </w:rPr>
        <w:t>Poročilo</w:t>
      </w:r>
    </w:p>
    <w:p w:rsidR="002B6FD0" w:rsidRPr="00E90E1A" w:rsidRDefault="002B6FD0" w:rsidP="002B6FD0">
      <w:pPr>
        <w:tabs>
          <w:tab w:val="right" w:pos="9184"/>
        </w:tabs>
        <w:rPr>
          <w:b/>
        </w:rPr>
      </w:pPr>
      <w:r w:rsidRPr="00E90E1A">
        <w:rPr>
          <w:rStyle w:val="HideTWBExt"/>
        </w:rPr>
        <w:t>&lt;Chairman&gt;</w:t>
      </w:r>
      <w:r w:rsidRPr="00E90E1A">
        <w:rPr>
          <w:b/>
        </w:rPr>
        <w:t>Simona Bonafè</w:t>
      </w:r>
      <w:r w:rsidRPr="00E90E1A">
        <w:rPr>
          <w:rStyle w:val="HideTWBExt"/>
        </w:rPr>
        <w:t>&lt;/Chairman&gt;</w:t>
      </w:r>
      <w:r w:rsidRPr="00E90E1A">
        <w:rPr>
          <w:b/>
        </w:rPr>
        <w:tab/>
      </w:r>
      <w:r w:rsidRPr="00E90E1A">
        <w:rPr>
          <w:rStyle w:val="HideTWBExt"/>
        </w:rPr>
        <w:t>&lt;A5Nr&gt;</w:t>
      </w:r>
      <w:r w:rsidRPr="00E90E1A">
        <w:rPr>
          <w:b/>
        </w:rPr>
        <w:t>A8-0013/2017</w:t>
      </w:r>
      <w:r w:rsidRPr="00E90E1A">
        <w:rPr>
          <w:rStyle w:val="HideTWBExt"/>
        </w:rPr>
        <w:t>&lt;/A5Nr&gt;</w:t>
      </w:r>
    </w:p>
    <w:p w:rsidR="002B6FD0" w:rsidRPr="00E90E1A" w:rsidRDefault="002B6FD0" w:rsidP="002B6FD0">
      <w:pPr>
        <w:tabs>
          <w:tab w:val="right" w:pos="9184"/>
        </w:tabs>
      </w:pPr>
      <w:r w:rsidRPr="00E90E1A">
        <w:rPr>
          <w:rStyle w:val="HideTWBExt"/>
        </w:rPr>
        <w:t>&lt;ShortTitel&gt;</w:t>
      </w:r>
      <w:r w:rsidRPr="00E90E1A">
        <w:t>Izrabljena vozila, odpadne baterije in akumulatorji ter odpadna električna in elektronska oprema</w:t>
      </w:r>
      <w:r w:rsidRPr="00E90E1A">
        <w:rPr>
          <w:rStyle w:val="HideTWBExt"/>
        </w:rPr>
        <w:t>&lt;/ShortTitel&gt;</w:t>
      </w:r>
    </w:p>
    <w:p w:rsidR="002B6FD0" w:rsidRPr="00E90E1A" w:rsidRDefault="002B6FD0" w:rsidP="002B6FD0">
      <w:pPr>
        <w:tabs>
          <w:tab w:val="right" w:pos="9184"/>
        </w:tabs>
      </w:pPr>
    </w:p>
    <w:p w:rsidR="002B6FD0" w:rsidRPr="00E90E1A" w:rsidRDefault="002B6FD0" w:rsidP="002B6FD0">
      <w:pPr>
        <w:tabs>
          <w:tab w:val="right" w:pos="9184"/>
        </w:tabs>
      </w:pPr>
      <w:r w:rsidRPr="00E90E1A">
        <w:rPr>
          <w:rStyle w:val="HideTWBExt"/>
        </w:rPr>
        <w:t>&lt;Procedure&gt;</w:t>
      </w:r>
      <w:r w:rsidRPr="00E90E1A">
        <w:t>Predlog direktive</w:t>
      </w:r>
      <w:r w:rsidRPr="00E90E1A">
        <w:rPr>
          <w:rStyle w:val="HideTWBExt"/>
        </w:rPr>
        <w:t>&lt;/Procedure&gt;</w:t>
      </w:r>
      <w:r w:rsidRPr="00E90E1A">
        <w:t xml:space="preserve"> </w:t>
      </w:r>
      <w:r w:rsidRPr="00E90E1A">
        <w:rPr>
          <w:rStyle w:val="HideTWBExt"/>
        </w:rPr>
        <w:t>&lt;ReferenceNo&gt;</w:t>
      </w:r>
      <w:r w:rsidRPr="00E90E1A">
        <w:t>(COM(2015)0593 – C8-0383/2015 – 2015/0272(COD))</w:t>
      </w:r>
      <w:r w:rsidRPr="00E90E1A">
        <w:rPr>
          <w:rStyle w:val="HideTWBExt"/>
        </w:rPr>
        <w:t>&lt;/ReferenceNo&gt;</w:t>
      </w:r>
    </w:p>
    <w:p w:rsidR="002B6FD0" w:rsidRPr="00E90E1A" w:rsidRDefault="002B6FD0" w:rsidP="002B6FD0">
      <w:pPr>
        <w:tabs>
          <w:tab w:val="right" w:pos="9184"/>
        </w:tabs>
      </w:pPr>
    </w:p>
    <w:p w:rsidR="002B6FD0" w:rsidRPr="00E90E1A" w:rsidRDefault="002B6FD0" w:rsidP="002B6FD0">
      <w:pPr>
        <w:tabs>
          <w:tab w:val="right" w:pos="9184"/>
        </w:tabs>
      </w:pPr>
    </w:p>
    <w:p w:rsidR="002B6FD0" w:rsidRPr="00E90E1A" w:rsidRDefault="002B6FD0" w:rsidP="002B6FD0">
      <w:pPr>
        <w:tabs>
          <w:tab w:val="right" w:pos="9184"/>
        </w:tabs>
      </w:pPr>
    </w:p>
    <w:p w:rsidR="002B6FD0" w:rsidRPr="00E90E1A" w:rsidRDefault="002B6FD0" w:rsidP="002B6FD0">
      <w:pPr>
        <w:tabs>
          <w:tab w:val="right" w:pos="9184"/>
        </w:tabs>
        <w:jc w:val="center"/>
      </w:pPr>
      <w:r w:rsidRPr="00E90E1A">
        <w:t>_____________________________________________________________</w:t>
      </w:r>
    </w:p>
    <w:p w:rsidR="002B6FD0" w:rsidRPr="00E90E1A" w:rsidRDefault="002B6FD0" w:rsidP="002B6FD0">
      <w:pPr>
        <w:tabs>
          <w:tab w:val="right" w:pos="9184"/>
        </w:tabs>
        <w:jc w:val="center"/>
      </w:pPr>
    </w:p>
    <w:p w:rsidR="00B11E04" w:rsidRPr="00E90E1A" w:rsidRDefault="00B11E04" w:rsidP="002B6FD0">
      <w:pPr>
        <w:pStyle w:val="AMNumberTabs"/>
      </w:pPr>
      <w:r w:rsidRPr="00E90E1A">
        <w:t>Predlog spremembe</w:t>
      </w:r>
      <w:r w:rsidRPr="00E90E1A">
        <w:tab/>
      </w:r>
      <w:r w:rsidRPr="00E90E1A">
        <w:tab/>
        <w:t>1</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hideMark/>
          </w:tcPr>
          <w:p w:rsidR="00B11E04" w:rsidRPr="00E90E1A" w:rsidRDefault="00B11E04" w:rsidP="00396944">
            <w:pPr>
              <w:pStyle w:val="Normal6"/>
            </w:pPr>
            <w:r w:rsidRPr="00E90E1A">
              <w:t>(1)</w:t>
            </w:r>
            <w:r w:rsidRPr="00E90E1A">
              <w:tab/>
              <w:t xml:space="preserve">Ravnanje z odpadki v Uniji bi bilo treba izboljšati zaradi varstva, ohranjanja in izboljšanja kakovosti okolja, varovanja zdravja ljudi, skrbne in </w:t>
            </w:r>
            <w:r w:rsidRPr="00E90E1A">
              <w:rPr>
                <w:b/>
                <w:i/>
              </w:rPr>
              <w:t>preudarne</w:t>
            </w:r>
            <w:r w:rsidRPr="00E90E1A">
              <w:t xml:space="preserve"> rabe naravnih virov ter spodbujanja </w:t>
            </w:r>
            <w:r w:rsidRPr="00E90E1A">
              <w:rPr>
                <w:b/>
                <w:i/>
              </w:rPr>
              <w:t>bolj</w:t>
            </w:r>
            <w:r w:rsidRPr="00E90E1A">
              <w:t xml:space="preserve"> krožnega gospodarstva.</w:t>
            </w:r>
          </w:p>
        </w:tc>
        <w:tc>
          <w:tcPr>
            <w:tcW w:w="4876" w:type="dxa"/>
            <w:hideMark/>
          </w:tcPr>
          <w:p w:rsidR="00B11E04" w:rsidRPr="00E90E1A" w:rsidRDefault="00B11E04" w:rsidP="00396944">
            <w:pPr>
              <w:pStyle w:val="Normal6"/>
              <w:rPr>
                <w:szCs w:val="24"/>
              </w:rPr>
            </w:pPr>
            <w:r w:rsidRPr="00E90E1A">
              <w:t>(1)</w:t>
            </w:r>
            <w:r w:rsidRPr="00E90E1A">
              <w:tab/>
              <w:t xml:space="preserve">Ravnanje z odpadki v Uniji bi bilo treba izboljšati zaradi varstva, ohranjanja in izboljšanja kakovosti okolja, varovanja zdravja ljudi, skrbne in </w:t>
            </w:r>
            <w:r w:rsidRPr="00E90E1A">
              <w:rPr>
                <w:b/>
                <w:i/>
              </w:rPr>
              <w:t>učinkovite</w:t>
            </w:r>
            <w:r w:rsidRPr="00E90E1A">
              <w:t xml:space="preserve"> rabe naravnih virov ter spodbujanja </w:t>
            </w:r>
            <w:r w:rsidRPr="00E90E1A">
              <w:rPr>
                <w:b/>
                <w:i/>
              </w:rPr>
              <w:t>načel</w:t>
            </w:r>
            <w:r w:rsidRPr="00E90E1A">
              <w:t xml:space="preserve"> krožnega gospodarstva.</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2</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(1a)</w:t>
            </w:r>
            <w:r w:rsidRPr="00E90E1A">
              <w:tab/>
            </w:r>
            <w:r w:rsidRPr="00E90E1A">
              <w:rPr>
                <w:b/>
                <w:i/>
              </w:rPr>
              <w:t xml:space="preserve">Za čisto, učinkovito in trajnostno krožno gospodarstvo je treba v fazi zasnove iz izdelkov odstraniti nevarne snovi, zato bi moralo krožno gospodarstvo priznavati izrecne določbe sedmega </w:t>
            </w:r>
            <w:r w:rsidRPr="00E90E1A">
              <w:rPr>
                <w:b/>
                <w:i/>
              </w:rPr>
              <w:lastRenderedPageBreak/>
              <w:t>okoljskega akcijskega programa, ki pozivajo k vzpostavitvi ciklov nestrupenih materialov, da bi lahko reciklirane odpadke uporabljali kot pomemben, zanesljiv vir surovin za Unijo.</w:t>
            </w:r>
          </w:p>
        </w:tc>
      </w:tr>
    </w:tbl>
    <w:p w:rsidR="00B11E04" w:rsidRPr="00E90E1A" w:rsidRDefault="00B11E04" w:rsidP="00B11E04">
      <w:pPr>
        <w:pStyle w:val="JustificationTitle"/>
      </w:pPr>
      <w:r w:rsidRPr="00E90E1A">
        <w:lastRenderedPageBreak/>
        <w:t>Obrazložitev</w:t>
      </w:r>
    </w:p>
    <w:p w:rsidR="00B11E04" w:rsidRPr="00E90E1A" w:rsidRDefault="00B11E04" w:rsidP="00B11E04">
      <w:pPr>
        <w:pStyle w:val="Normal12Italic"/>
      </w:pPr>
      <w:r w:rsidRPr="00E90E1A">
        <w:t>EU bi se morala osredotočiti na to, da ustvari čisto krožno gospodarstvo, in preprečiti potencialno veliko tveganje, da se v prihodnje izgubi zaupanje javnosti in trga v reciklirane materiale, kar bo imelo dolgotrajne posledice. Glavna ovira za tiste, ki reciklirajo, je vsebnost nevarnih snovi v materialu. EU bi se morala osredotočiti na to, da se te nevarne snovi izločajo iz izdelkov in odpadkov, ne pa da se z izvzetjem nekaterih vrst poslov ali izdelkov iz varnostnih zahtev ogrožata javno zdravje in okolje in se onemogoča, da bi te kontaminirane materiale v prihodnje opredelili.</w:t>
      </w:r>
    </w:p>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3</w:t>
      </w:r>
    </w:p>
    <w:p w:rsidR="00B11E04" w:rsidRPr="00E90E1A" w:rsidRDefault="00B11E04" w:rsidP="00B11E04">
      <w:pPr>
        <w:pStyle w:val="AMNumberTabs"/>
        <w:keepNext/>
      </w:pPr>
      <w:r w:rsidRPr="00E90E1A">
        <w:t>Predlog direktive</w:t>
      </w:r>
    </w:p>
    <w:p w:rsidR="00B11E04" w:rsidRPr="00E90E1A" w:rsidRDefault="00B11E04" w:rsidP="00B11E04">
      <w:pPr>
        <w:pStyle w:val="NormalBold"/>
      </w:pPr>
      <w:r w:rsidRPr="00E90E1A">
        <w:t>Uvodna izjava 1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(1b)</w:t>
            </w:r>
            <w:r w:rsidRPr="00E90E1A">
              <w:tab/>
            </w:r>
            <w:r w:rsidRPr="00E90E1A">
              <w:rPr>
                <w:b/>
                <w:i/>
              </w:rPr>
              <w:t>Zagotoviti je treba učinkovito in nizko porabo energije in sekundarnih surovin, prednost pa bi morale imeti raziskave in razvoj za uresničitev tega cilja. Komisija bi morala razmisliti tudi o predložitvi predloga o razvrstitvi odpadkov, da bi podprla vzpostavitev trga sekundarnih surovin v Uniji.</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4</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1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(1c)</w:t>
            </w:r>
            <w:r w:rsidRPr="00E90E1A">
              <w:tab/>
            </w:r>
            <w:r w:rsidRPr="00E90E1A">
              <w:rPr>
                <w:b/>
                <w:i/>
              </w:rPr>
              <w:t>Ko se reciklirani materiali vrnejo v gospodarski cikel, ker nimajo več statusa odpadka in za to izpolnjujejo posebna merila ali postanejo del novega izdelka, morajo biti v celoti v skladu z zakonodajo Unije o kemikalijah.</w:t>
            </w:r>
          </w:p>
        </w:tc>
      </w:tr>
    </w:tbl>
    <w:p w:rsidR="00B11E04" w:rsidRPr="00E90E1A" w:rsidRDefault="00B11E04" w:rsidP="00B11E04">
      <w:pPr>
        <w:pStyle w:val="JustificationTitle"/>
      </w:pPr>
      <w:r w:rsidRPr="00E90E1A">
        <w:lastRenderedPageBreak/>
        <w:t>Obrazložitev</w:t>
      </w:r>
    </w:p>
    <w:p w:rsidR="00B11E04" w:rsidRPr="00E90E1A" w:rsidRDefault="00B11E04" w:rsidP="00B11E04">
      <w:pPr>
        <w:pStyle w:val="Normal12Italic"/>
      </w:pPr>
      <w:r w:rsidRPr="00E90E1A">
        <w:t>Kot določa člen 2(2) uredbe o registraciji, evalvaciji, avtorizaciji in omejevanju kemikalij, se ta uredba ne uporablja za odpadke:„Odpadki, kakor je opredeljeno v Direktivi 2006/12/ES Evropskega parlamenta in Sveta, ne pomenijo snovi, pripravka ali izdelka v smislu člena 3 te uredbe.“</w:t>
      </w:r>
    </w:p>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5</w:t>
      </w:r>
    </w:p>
    <w:p w:rsidR="00B11E04" w:rsidRPr="00E90E1A" w:rsidRDefault="00B11E04" w:rsidP="00B11E04">
      <w:pPr>
        <w:pStyle w:val="AMNumberTabs"/>
        <w:keepNext/>
      </w:pPr>
      <w:r w:rsidRPr="00E90E1A">
        <w:t>Predlog direktive</w:t>
      </w:r>
    </w:p>
    <w:p w:rsidR="00B11E04" w:rsidRPr="00E90E1A" w:rsidRDefault="00B11E04" w:rsidP="00B11E04">
      <w:pPr>
        <w:pStyle w:val="NormalBold"/>
      </w:pPr>
      <w:r w:rsidRPr="00E90E1A">
        <w:t>Uvodna izjava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(2a)</w:t>
            </w:r>
            <w:r w:rsidRPr="00E90E1A">
              <w:tab/>
            </w:r>
            <w:r w:rsidRPr="00E90E1A">
              <w:rPr>
                <w:b/>
                <w:i/>
              </w:rPr>
              <w:t>Industrijski sektor se je v zadnjih letih znatno spremenil zaradi tehnološkega napredka in vse bolj globaliziranih blagovnih tokov. Ti dejavniki prinašajo nove izzive za okolju prijazno upravljanje in ravnanje z odpadki, ki bi ga bilo treba obravnavati s kombinacijo povečanih raziskovalnih prizadevanj in usmerjenih regulativnih orodij. Vse pomembnejše vprašanje je načrtovana zastarelost, ki je že sama po sebi v nasprotju s cilji krožnega gospodarstva, zato bi moral biti cilj, da se jo odpravi s skupnim prizadevanjem vseh najpomembnejših deležnikov, industrije, strank in regulativnih organov.</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6</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r w:rsidRPr="00E90E1A">
              <w:t>(3)</w:t>
            </w:r>
            <w:r w:rsidRPr="00E90E1A">
              <w:tab/>
            </w:r>
            <w:r w:rsidRPr="00E90E1A">
              <w:rPr>
                <w:b/>
                <w:i/>
              </w:rPr>
              <w:t>Statistični podatki</w:t>
            </w:r>
            <w:r w:rsidRPr="00E90E1A">
              <w:t xml:space="preserve">, ki jih predložijo države članice, so za Komisijo bistveni element za oceno skladnosti vseh držav članic z zakonodajo o odpadkih. Kakovost, zanesljivost in primerljivost </w:t>
            </w:r>
            <w:r w:rsidRPr="00E90E1A">
              <w:rPr>
                <w:b/>
                <w:i/>
              </w:rPr>
              <w:t>statističnih</w:t>
            </w:r>
            <w:r w:rsidRPr="00E90E1A">
              <w:t xml:space="preserve"> podatkov bi bilo treba izboljšati z uvedbo enotne vstopne točke za vse podatke o odpadkih, črtanjem zastarelih zahtev za poročanje, primerjalno analizo nacionalnih </w:t>
            </w:r>
            <w:r w:rsidRPr="00E90E1A">
              <w:lastRenderedPageBreak/>
              <w:t>metodologij za poročanje in uvedbo poročil o preverjanju kakovosti podatkov.</w:t>
            </w:r>
          </w:p>
        </w:tc>
        <w:tc>
          <w:tcPr>
            <w:tcW w:w="4876" w:type="dxa"/>
            <w:hideMark/>
          </w:tcPr>
          <w:p w:rsidR="00B11E04" w:rsidRPr="00E90E1A" w:rsidRDefault="00B11E04" w:rsidP="00396944">
            <w:pPr>
              <w:pStyle w:val="Normal6"/>
              <w:rPr>
                <w:szCs w:val="24"/>
              </w:rPr>
            </w:pPr>
            <w:r w:rsidRPr="00E90E1A">
              <w:lastRenderedPageBreak/>
              <w:t>(3)</w:t>
            </w:r>
            <w:r w:rsidRPr="00E90E1A">
              <w:tab/>
            </w:r>
            <w:r w:rsidRPr="00E90E1A">
              <w:rPr>
                <w:b/>
                <w:i/>
              </w:rPr>
              <w:t>Podatki in informacije</w:t>
            </w:r>
            <w:r w:rsidRPr="00E90E1A">
              <w:t xml:space="preserve">, ki jih predložijo države članice, so za Komisijo bistveni element za oceno skladnosti vseh držav članic z zakonodajo o odpadkih. Kakovost, zanesljivost in primerljivost </w:t>
            </w:r>
            <w:r w:rsidRPr="00E90E1A">
              <w:rPr>
                <w:b/>
                <w:i/>
              </w:rPr>
              <w:t>predloženih</w:t>
            </w:r>
            <w:r w:rsidRPr="00E90E1A">
              <w:rPr>
                <w:b/>
              </w:rPr>
              <w:t xml:space="preserve"> </w:t>
            </w:r>
            <w:r w:rsidRPr="00E90E1A">
              <w:t xml:space="preserve">podatkov bi bilo treba izboljšati z uvedbo </w:t>
            </w:r>
            <w:r w:rsidRPr="00E90E1A">
              <w:rPr>
                <w:b/>
                <w:i/>
              </w:rPr>
              <w:t xml:space="preserve">skupne metodologije za zbiranje in obdelavo podatkov iz zanesljivih virov ter z uvedbo </w:t>
            </w:r>
            <w:r w:rsidRPr="00E90E1A">
              <w:t xml:space="preserve">enotne </w:t>
            </w:r>
            <w:r w:rsidRPr="00E90E1A">
              <w:lastRenderedPageBreak/>
              <w:t xml:space="preserve">vstopne točke za vse podatke o odpadkih, črtanjem zastarelih zahtev za poročanje, primerjalno analizo nacionalnih metodologij za poročanje in uvedbo poročil o preverjanju kakovosti podatkov. </w:t>
            </w:r>
            <w:r w:rsidRPr="00E90E1A">
              <w:rPr>
                <w:b/>
                <w:i/>
              </w:rPr>
              <w:t>Zanesljivo sporočanje podatkov v zvezi z ravnanjem z odpadki je ključno za učinkovito izvajanje in zagotavljanje primerljivosti podatkov med državami članicami. Zato bi morale države članice pri poročanju o uresničevanju ciljev iz teh direktiv uporabljati skupno metodologijo, ki jo razvije Komisija v sodelovanju z nacionalnimi statističnimi uradi držav članic in nacionalnimi organi, ki so pristojni za ravnanje z odpadki.</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7</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(3a)</w:t>
            </w:r>
            <w:r w:rsidRPr="00E90E1A">
              <w:tab/>
            </w:r>
            <w:r w:rsidRPr="00E90E1A">
              <w:rPr>
                <w:b/>
                <w:i/>
              </w:rPr>
              <w:t>Države članice bi morale zagotoviti, da bo ločeno zbrana odpadna električna in elektronska oprema (OEEO) tudi ustrezno obdelana. Da se zagotovijo enaki konkurenčni pogoji ter skladnost z zakonodajo o odpadkih in konceptom krožnega gospodarstva, bi morala Komisija razviti skupne standarde za obdelavo OEEO, kot je določeno v Direktivi 2012/19/EU.</w:t>
            </w:r>
          </w:p>
        </w:tc>
      </w:tr>
    </w:tbl>
    <w:p w:rsidR="00B11E04" w:rsidRPr="00E90E1A" w:rsidRDefault="00B11E04" w:rsidP="00B11E04">
      <w:pPr>
        <w:pStyle w:val="AMNumberTabs"/>
      </w:pPr>
    </w:p>
    <w:p w:rsidR="00B11E04" w:rsidRPr="00E90E1A" w:rsidRDefault="00B11E04" w:rsidP="00B11E04">
      <w:pPr>
        <w:pStyle w:val="AMNumberTabs"/>
      </w:pPr>
      <w:r w:rsidRPr="00E90E1A">
        <w:t>Predlog spremembe</w:t>
      </w:r>
      <w:r w:rsidRPr="00E90E1A">
        <w:tab/>
      </w:r>
      <w:r w:rsidRPr="00E90E1A">
        <w:tab/>
        <w:t>8</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trHeight w:val="240"/>
          <w:jc w:val="center"/>
        </w:trPr>
        <w:tc>
          <w:tcPr>
            <w:tcW w:w="9752" w:type="dxa"/>
            <w:gridSpan w:val="2"/>
          </w:tcPr>
          <w:p w:rsidR="00B11E04" w:rsidRPr="00E90E1A" w:rsidRDefault="00B11E04" w:rsidP="00396944">
            <w:pPr>
              <w:rPr>
                <w:szCs w:val="24"/>
              </w:rPr>
            </w:pPr>
          </w:p>
        </w:tc>
      </w:tr>
      <w:tr w:rsidR="00B11E04" w:rsidRPr="00E90E1A" w:rsidTr="00396944">
        <w:trPr>
          <w:trHeight w:val="240"/>
          <w:jc w:val="center"/>
        </w:trPr>
        <w:tc>
          <w:tcPr>
            <w:tcW w:w="4876" w:type="dxa"/>
            <w:hideMark/>
          </w:tcPr>
          <w:p w:rsidR="00B11E04" w:rsidRPr="00E90E1A" w:rsidRDefault="00B11E04" w:rsidP="00396944">
            <w:pPr>
              <w:pStyle w:val="ColumnHeading"/>
            </w:pPr>
            <w:r w:rsidRPr="00E90E1A">
              <w:t>Besedilo, ki ga predlaga Komisija</w:t>
            </w:r>
          </w:p>
        </w:tc>
        <w:tc>
          <w:tcPr>
            <w:tcW w:w="4876" w:type="dxa"/>
            <w:hideMark/>
          </w:tcPr>
          <w:p w:rsidR="00B11E04" w:rsidRPr="00E90E1A" w:rsidRDefault="00B11E04" w:rsidP="00396944">
            <w:pPr>
              <w:pStyle w:val="ColumnHeading"/>
            </w:pPr>
            <w:r w:rsidRPr="00E90E1A">
              <w:t>Predlog spremembe</w:t>
            </w:r>
          </w:p>
        </w:tc>
      </w:tr>
      <w:tr w:rsidR="00B11E04" w:rsidRPr="00E90E1A" w:rsidTr="00396944">
        <w:trPr>
          <w:jc w:val="center"/>
        </w:trPr>
        <w:tc>
          <w:tcPr>
            <w:tcW w:w="4876" w:type="dxa"/>
            <w:hideMark/>
          </w:tcPr>
          <w:p w:rsidR="00B11E04" w:rsidRPr="00E90E1A" w:rsidRDefault="00B11E04" w:rsidP="00396944">
            <w:pPr>
              <w:pStyle w:val="Normal6"/>
            </w:pPr>
            <w:r w:rsidRPr="00E90E1A">
              <w:t>(4)</w:t>
            </w:r>
            <w:r w:rsidRPr="00E90E1A">
              <w:tab/>
              <w:t xml:space="preserve">Zanesljivo sporočanje statističnih podatkov v zvezi z ravnanjem z odpadki je ključno za učinkovito izvajanje in zagotavljanje primerljivosti podatkov med </w:t>
            </w:r>
            <w:r w:rsidRPr="00E90E1A">
              <w:lastRenderedPageBreak/>
              <w:t xml:space="preserve">državami članicami. Zato bi bilo treba od držav članic zahtevati, da pri pripravi poročil o izpolnjevanju ciljev iz teh direktiv uporabljajo </w:t>
            </w:r>
            <w:r w:rsidRPr="00E90E1A">
              <w:rPr>
                <w:b/>
                <w:i/>
              </w:rPr>
              <w:t>najnovejšo</w:t>
            </w:r>
            <w:r w:rsidRPr="00E90E1A">
              <w:t xml:space="preserve"> metodologijo, ki jo </w:t>
            </w:r>
            <w:r w:rsidRPr="00E90E1A">
              <w:rPr>
                <w:b/>
                <w:i/>
              </w:rPr>
              <w:t>razvijejo</w:t>
            </w:r>
            <w:r w:rsidRPr="00E90E1A">
              <w:t xml:space="preserve"> Komisija </w:t>
            </w:r>
            <w:r w:rsidRPr="00E90E1A">
              <w:rPr>
                <w:b/>
                <w:i/>
              </w:rPr>
              <w:t>in nacionalni statistični</w:t>
            </w:r>
            <w:r w:rsidRPr="00E90E1A">
              <w:t xml:space="preserve"> uradi držav članic.</w:t>
            </w:r>
          </w:p>
        </w:tc>
        <w:tc>
          <w:tcPr>
            <w:tcW w:w="4876" w:type="dxa"/>
            <w:hideMark/>
          </w:tcPr>
          <w:p w:rsidR="00B11E04" w:rsidRPr="00E90E1A" w:rsidRDefault="00B11E04" w:rsidP="00396944">
            <w:pPr>
              <w:pStyle w:val="Normal6"/>
            </w:pPr>
            <w:r w:rsidRPr="00E90E1A">
              <w:lastRenderedPageBreak/>
              <w:t>(4)</w:t>
            </w:r>
            <w:r w:rsidRPr="00E90E1A">
              <w:tab/>
              <w:t xml:space="preserve">Zanesljivo sporočanje statističnih podatkov v zvezi z ravnanjem z odpadki je ključno za učinkovito izvajanje in zagotavljanje primerljivosti podatkov med </w:t>
            </w:r>
            <w:r w:rsidRPr="00E90E1A">
              <w:lastRenderedPageBreak/>
              <w:t xml:space="preserve">državami članicami. Zato bi bilo treba od držav članic zahtevati, da pri pripravi poročil o izpolnjevanju ciljev iz teh direktiv uporabljajo </w:t>
            </w:r>
            <w:r w:rsidRPr="00E90E1A">
              <w:rPr>
                <w:b/>
                <w:i/>
              </w:rPr>
              <w:t>skupno</w:t>
            </w:r>
            <w:r w:rsidRPr="00E90E1A">
              <w:t xml:space="preserve"> metodologijo</w:t>
            </w:r>
            <w:r w:rsidRPr="00E90E1A">
              <w:rPr>
                <w:b/>
                <w:i/>
              </w:rPr>
              <w:t xml:space="preserve"> za zbiranje in obdelavo podatkov</w:t>
            </w:r>
            <w:r w:rsidRPr="00E90E1A">
              <w:t xml:space="preserve">, ki jo </w:t>
            </w:r>
            <w:r w:rsidRPr="00E90E1A">
              <w:rPr>
                <w:b/>
                <w:i/>
              </w:rPr>
              <w:t>razvije</w:t>
            </w:r>
            <w:r w:rsidRPr="00E90E1A">
              <w:t xml:space="preserve"> Komisija </w:t>
            </w:r>
            <w:r w:rsidRPr="00E90E1A">
              <w:rPr>
                <w:b/>
                <w:i/>
              </w:rPr>
              <w:t>v sodelovanju z nacionalnimi statističnimi</w:t>
            </w:r>
            <w:r w:rsidRPr="00E90E1A">
              <w:t xml:space="preserve"> uradi držav članic.</w:t>
            </w:r>
          </w:p>
        </w:tc>
      </w:tr>
    </w:tbl>
    <w:p w:rsidR="00B11E04" w:rsidRPr="00E90E1A" w:rsidRDefault="00B11E04" w:rsidP="00B11E04">
      <w:pPr>
        <w:pStyle w:val="JustificationTitle"/>
      </w:pPr>
      <w:r w:rsidRPr="00E90E1A">
        <w:lastRenderedPageBreak/>
        <w:t>Obrazložitev</w:t>
      </w:r>
    </w:p>
    <w:p w:rsidR="00B11E04" w:rsidRPr="00E90E1A" w:rsidRDefault="00B11E04" w:rsidP="00B11E04">
      <w:pPr>
        <w:pStyle w:val="Normal12Italic"/>
      </w:pPr>
      <w:r w:rsidRPr="00E90E1A">
        <w:t>Da bi izboljšali kakovost in zanesljivost podatkov v vsej EU, bi morala Komisija poleg običajnih metod izračuna, ki obstajajo za tri zadevne direktive, razviti skupno metodologijo za zbiranje podatkov in njihovo obdelavo.</w:t>
      </w:r>
    </w:p>
    <w:p w:rsidR="00B11E04" w:rsidRPr="00E90E1A" w:rsidRDefault="00B11E04" w:rsidP="00B11E04">
      <w:pPr>
        <w:pStyle w:val="AMNumberTabs"/>
      </w:pPr>
    </w:p>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9</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(4a)</w:t>
            </w:r>
            <w:r w:rsidRPr="00E90E1A">
              <w:tab/>
            </w:r>
            <w:r w:rsidRPr="00E90E1A">
              <w:rPr>
                <w:b/>
                <w:i/>
              </w:rPr>
              <w:t>Da bi pripomogla k uresničevanju ciljev iz te direktive in spodbujanju prehoda na krožno gospodarstvo, bi morala Komisija spodbujati usklajevanje in izmenjavo informacij in dobrih praks med državami članicami in med različnimi gospodarskimi sektorji. To izmenjavo bi bilo mogoče pospešiti s komunikacijskimi platformami, ki bi pripomogle k ozaveščanju o novih industrijskih rešitvah, omogočile boljši pregled nad razpoložljivimi zmogljivostmi in prispevale k povezovanju industrije odpadkov in drugih sektorjev ter tako podprle industrijsko simbiozo.</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10</w:t>
      </w:r>
    </w:p>
    <w:p w:rsidR="00B11E04" w:rsidRPr="00E90E1A" w:rsidRDefault="00B11E04" w:rsidP="00B11E04">
      <w:pPr>
        <w:pStyle w:val="NormalBold12b"/>
        <w:keepNext/>
      </w:pPr>
      <w:r w:rsidRPr="00E90E1A">
        <w:t>Predlog direktive</w:t>
      </w:r>
    </w:p>
    <w:p w:rsidR="00B11E04" w:rsidRPr="00E90E1A" w:rsidRDefault="00B11E04" w:rsidP="00B11E04">
      <w:pPr>
        <w:pStyle w:val="NormalBold"/>
      </w:pPr>
      <w:r w:rsidRPr="00E90E1A">
        <w:t>Uvodna izjava 4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(4b)</w:t>
            </w:r>
            <w:r w:rsidRPr="00E90E1A">
              <w:tab/>
            </w:r>
            <w:r w:rsidRPr="00E90E1A">
              <w:rPr>
                <w:b/>
                <w:i/>
              </w:rPr>
              <w:t>Hierarhija ravnanja z odpadki iz Direktive 2008/98/ES ima prednost pri zakonodaji Unije o preprečevanju odpadkov in ravnanju z njimi. Hierarhija se zato uporablja za izrabljena vozila, baterije in akumulatorje, odpadne baterije in akumulatorje ter odpadno električno in elektronsko opremo.</w:t>
            </w:r>
            <w:r w:rsidRPr="00E90E1A">
              <w:t xml:space="preserve"> </w:t>
            </w:r>
            <w:r w:rsidRPr="00E90E1A">
              <w:rPr>
                <w:b/>
                <w:i/>
              </w:rPr>
              <w:t>Države članice bi morale pri uresničevanju cilja te direktive sprejeti potrebne ukrepe za upoštevanje prednostnih vidikov hierarhije ravnanja z odpadki in zagotoviti njihovo praktično izvajanje.</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11</w:t>
      </w:r>
    </w:p>
    <w:p w:rsidR="00B11E04" w:rsidRPr="00E90E1A" w:rsidRDefault="00B11E04" w:rsidP="00B11E04">
      <w:pPr>
        <w:pStyle w:val="NormalBold12b"/>
        <w:keepNext/>
      </w:pPr>
      <w:r w:rsidRPr="00E90E1A">
        <w:t>Predlog direktive</w:t>
      </w:r>
    </w:p>
    <w:p w:rsidR="00B11E04" w:rsidRPr="00E90E1A" w:rsidRDefault="00B11E04" w:rsidP="00B11E04">
      <w:pPr>
        <w:pStyle w:val="NormalBold"/>
      </w:pPr>
      <w:r w:rsidRPr="00E90E1A">
        <w:t>Uvodna izjava 5 a (novo)</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(5a)</w:t>
            </w:r>
            <w:r w:rsidRPr="00E90E1A">
              <w:tab/>
            </w:r>
            <w:r w:rsidRPr="00E90E1A">
              <w:rPr>
                <w:b/>
                <w:i/>
              </w:rPr>
              <w:t>Ker v skladu s krožnim gospodarstvom vse bolj naraščajo potrebe po obdelavi in recikliranju odpadkov znotraj Unije, bi morali še posebej skrbno zagotoviti, da je pošiljanje odpadkov v skladu z načeli in zahtevami okoljske zakonodaje Unije, zlasti z načelom bližine, prednosti predelave in samozadostnosti. Komisija bi morala preučiti, ali bi bilo za upravni postopek za pošiljke odpadkov zaželeno uvesti točko „vse na enem mestu“, da bi zmanjšali upravne obremenitve. Države članice bi morale sprejeti potrebne ukrepe za preprečevanje nezakonitega pošiljanja odpadkov.</w:t>
            </w:r>
          </w:p>
        </w:tc>
      </w:tr>
    </w:tbl>
    <w:p w:rsidR="00B11E04" w:rsidRPr="00E90E1A" w:rsidRDefault="00B11E04" w:rsidP="00B11E04"/>
    <w:p w:rsidR="00B11E04" w:rsidRPr="00E90E1A" w:rsidRDefault="00B11E04" w:rsidP="00E90E1A">
      <w:pPr>
        <w:pStyle w:val="AMNumberTabs"/>
        <w:tabs>
          <w:tab w:val="clear" w:pos="3374"/>
          <w:tab w:val="clear" w:pos="3430"/>
          <w:tab w:val="left" w:pos="2410"/>
        </w:tabs>
      </w:pPr>
      <w:r w:rsidRPr="00E90E1A">
        <w:t>Predlog spremembe</w:t>
      </w:r>
      <w:r w:rsidRPr="00E90E1A">
        <w:tab/>
        <w:t>12</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Uvodna izjava 7a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E90E1A">
        <w:trPr>
          <w:trHeight w:val="240"/>
          <w:jc w:val="center"/>
        </w:trPr>
        <w:tc>
          <w:tcPr>
            <w:tcW w:w="9752" w:type="dxa"/>
            <w:gridSpan w:val="2"/>
          </w:tcPr>
          <w:p w:rsidR="00B11E04" w:rsidRPr="00E90E1A" w:rsidRDefault="00B11E04" w:rsidP="00396944">
            <w:pPr>
              <w:rPr>
                <w:szCs w:val="24"/>
              </w:rPr>
            </w:pPr>
          </w:p>
        </w:tc>
      </w:tr>
      <w:tr w:rsidR="00B11E04" w:rsidRPr="00E90E1A" w:rsidTr="00E90E1A">
        <w:trPr>
          <w:trHeight w:val="240"/>
          <w:jc w:val="center"/>
        </w:trPr>
        <w:tc>
          <w:tcPr>
            <w:tcW w:w="4876" w:type="dxa"/>
            <w:hideMark/>
          </w:tcPr>
          <w:p w:rsidR="00B11E04" w:rsidRPr="00E90E1A" w:rsidRDefault="00B11E04" w:rsidP="00396944">
            <w:pPr>
              <w:pStyle w:val="ColumnHeading"/>
            </w:pPr>
            <w:r w:rsidRPr="00E90E1A">
              <w:t>Besedilo, ki ga predlaga Komisija</w:t>
            </w:r>
          </w:p>
        </w:tc>
        <w:tc>
          <w:tcPr>
            <w:tcW w:w="4876" w:type="dxa"/>
            <w:hideMark/>
          </w:tcPr>
          <w:p w:rsidR="00B11E04" w:rsidRPr="00E90E1A" w:rsidRDefault="00B11E04" w:rsidP="00396944">
            <w:pPr>
              <w:pStyle w:val="ColumnHeading"/>
            </w:pPr>
            <w:r w:rsidRPr="00E90E1A">
              <w:t>Predlog spremembe</w:t>
            </w:r>
          </w:p>
        </w:tc>
      </w:tr>
      <w:tr w:rsidR="00B11E04" w:rsidRPr="00E90E1A" w:rsidTr="00E90E1A">
        <w:trPr>
          <w:jc w:val="center"/>
        </w:trPr>
        <w:tc>
          <w:tcPr>
            <w:tcW w:w="4876" w:type="dxa"/>
          </w:tcPr>
          <w:p w:rsidR="00B11E04" w:rsidRPr="00E90E1A" w:rsidRDefault="00B11E04" w:rsidP="00396944">
            <w:pPr>
              <w:pStyle w:val="Normal6"/>
            </w:pPr>
          </w:p>
        </w:tc>
        <w:tc>
          <w:tcPr>
            <w:tcW w:w="4876" w:type="dxa"/>
            <w:hideMark/>
          </w:tcPr>
          <w:p w:rsidR="00AB664E" w:rsidRPr="00E90E1A" w:rsidRDefault="00B11E04" w:rsidP="009E4AE9">
            <w:pPr>
              <w:pStyle w:val="Normal6"/>
              <w:rPr>
                <w:b/>
                <w:i/>
              </w:rPr>
            </w:pPr>
            <w:r w:rsidRPr="00E90E1A">
              <w:rPr>
                <w:b/>
                <w:i/>
              </w:rPr>
              <w:t>(7a)</w:t>
            </w:r>
            <w:r w:rsidRPr="00E90E1A">
              <w:tab/>
            </w:r>
            <w:r w:rsidR="00AB664E" w:rsidRPr="00E90E1A">
              <w:rPr>
                <w:b/>
                <w:bCs/>
                <w:i/>
              </w:rPr>
              <w:t xml:space="preserve">Da se dopolnijo nekatere nebistvene določbe Direktive 2000/53/ES in Direktive 2012/19/EU, bi bilo treba na Komisijo prenesti pooblastilo, da v skladu s členom 290 Pogodbe o delovanju Evropske unije sprejme akte v zvezi </w:t>
            </w:r>
            <w:r w:rsidR="003E3BEA" w:rsidRPr="00E90E1A">
              <w:rPr>
                <w:b/>
                <w:i/>
              </w:rPr>
              <w:t>s</w:t>
            </w:r>
            <w:r w:rsidR="00AB664E" w:rsidRPr="00E90E1A">
              <w:rPr>
                <w:b/>
                <w:i/>
              </w:rPr>
              <w:t xml:space="preserve"> skupn</w:t>
            </w:r>
            <w:r w:rsidR="003E3BEA" w:rsidRPr="00E90E1A">
              <w:rPr>
                <w:b/>
                <w:i/>
              </w:rPr>
              <w:t>o</w:t>
            </w:r>
            <w:r w:rsidR="00AB664E" w:rsidRPr="00E90E1A">
              <w:rPr>
                <w:b/>
                <w:i/>
              </w:rPr>
              <w:t xml:space="preserve"> metodologij</w:t>
            </w:r>
            <w:r w:rsidR="003E3BEA" w:rsidRPr="00E90E1A">
              <w:rPr>
                <w:b/>
                <w:i/>
              </w:rPr>
              <w:t>o</w:t>
            </w:r>
            <w:r w:rsidR="00AB664E" w:rsidRPr="00E90E1A">
              <w:rPr>
                <w:b/>
                <w:i/>
              </w:rPr>
              <w:t xml:space="preserve"> za zbiranje in obdelavo podatkov ter oblik</w:t>
            </w:r>
            <w:r w:rsidR="003E3BEA" w:rsidRPr="00E90E1A">
              <w:rPr>
                <w:b/>
                <w:i/>
              </w:rPr>
              <w:t>o</w:t>
            </w:r>
            <w:r w:rsidR="00AB664E" w:rsidRPr="00E90E1A">
              <w:rPr>
                <w:b/>
                <w:i/>
              </w:rPr>
              <w:t xml:space="preserve"> za podatke, ki se sporočijo v zvezi z uresničevanjem ciljev ponovne uporabe in predelave za izrabljena vozila </w:t>
            </w:r>
            <w:r w:rsidR="003E3BEA" w:rsidRPr="00E90E1A">
              <w:rPr>
                <w:b/>
                <w:i/>
              </w:rPr>
              <w:t>na podlagi</w:t>
            </w:r>
            <w:r w:rsidR="00AB664E" w:rsidRPr="00E90E1A">
              <w:rPr>
                <w:b/>
                <w:i/>
              </w:rPr>
              <w:t xml:space="preserve"> Direktive </w:t>
            </w:r>
            <w:r w:rsidR="003E3BEA" w:rsidRPr="00E90E1A">
              <w:rPr>
                <w:b/>
                <w:bCs/>
                <w:i/>
              </w:rPr>
              <w:t>2000/53/ES</w:t>
            </w:r>
            <w:r w:rsidR="00AB664E" w:rsidRPr="00E90E1A">
              <w:rPr>
                <w:b/>
                <w:i/>
              </w:rPr>
              <w:t xml:space="preserve"> </w:t>
            </w:r>
            <w:r w:rsidR="003E3BEA" w:rsidRPr="00E90E1A">
              <w:rPr>
                <w:b/>
                <w:i/>
              </w:rPr>
              <w:t>in z</w:t>
            </w:r>
            <w:r w:rsidR="00AB664E" w:rsidRPr="00E90E1A">
              <w:rPr>
                <w:b/>
                <w:i/>
              </w:rPr>
              <w:t xml:space="preserve"> metodologij</w:t>
            </w:r>
            <w:r w:rsidR="003E3BEA" w:rsidRPr="00E90E1A">
              <w:rPr>
                <w:b/>
                <w:i/>
              </w:rPr>
              <w:t>o</w:t>
            </w:r>
            <w:r w:rsidR="00AB664E" w:rsidRPr="00E90E1A">
              <w:rPr>
                <w:b/>
                <w:i/>
              </w:rPr>
              <w:t xml:space="preserve"> za zbiranje in obdelavo podatkov ter oblik</w:t>
            </w:r>
            <w:r w:rsidR="003E3BEA" w:rsidRPr="00E90E1A">
              <w:rPr>
                <w:b/>
                <w:i/>
              </w:rPr>
              <w:t xml:space="preserve">o </w:t>
            </w:r>
            <w:r w:rsidR="00AB664E" w:rsidRPr="00E90E1A">
              <w:rPr>
                <w:b/>
                <w:i/>
              </w:rPr>
              <w:t>za podatke, ki se sporočijo v zvezi z uresničevanjem ciljev, določenih za zbiranje in predelavo električne in elektronske opreme</w:t>
            </w:r>
            <w:r w:rsidR="003E3BEA" w:rsidRPr="00E90E1A">
              <w:rPr>
                <w:b/>
                <w:i/>
              </w:rPr>
              <w:t xml:space="preserve"> na podlagi Direktive 2012/19/EU</w:t>
            </w:r>
            <w:r w:rsidR="00AB664E" w:rsidRPr="00E90E1A">
              <w:rPr>
                <w:b/>
                <w:bCs/>
                <w:i/>
              </w:rPr>
              <w:t>. Zlasti je pomembno, da se Komisija pri svojem pripravljalnem delu ustrezno posvetuje, vključno na ravni strokovnjakov</w:t>
            </w:r>
            <w:r w:rsidR="00AB664E" w:rsidRPr="00E90E1A">
              <w:rPr>
                <w:b/>
                <w:i/>
              </w:rPr>
              <w:t>,</w:t>
            </w:r>
            <w:r w:rsidR="00AB664E" w:rsidRPr="00E90E1A">
              <w:rPr>
                <w:b/>
                <w:bCs/>
                <w:i/>
              </w:rPr>
              <w:t xml:space="preserve"> </w:t>
            </w:r>
            <w:r w:rsidR="00AB664E" w:rsidRPr="00E90E1A">
              <w:rPr>
                <w:b/>
                <w:i/>
                <w:szCs w:val="24"/>
              </w:rPr>
              <w:t>in da se ta posvetovanja izvedejo v skladu z načeli, določenimi v Medinstitucionalnem sporazumu z dne 13. aprila 2016 o boljši pripravi zakonodaje.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rsidR="00B11E04" w:rsidRPr="00E90E1A" w:rsidRDefault="00B11E04" w:rsidP="009E4AE9">
            <w:pPr>
              <w:pStyle w:val="Normal6"/>
            </w:pPr>
          </w:p>
        </w:tc>
      </w:tr>
    </w:tbl>
    <w:p w:rsidR="00B11E04" w:rsidRPr="00E90E1A" w:rsidRDefault="00B11E04" w:rsidP="00B11E04">
      <w:pPr>
        <w:pStyle w:val="JustificationTitle"/>
      </w:pPr>
      <w:r w:rsidRPr="00E90E1A">
        <w:t>Obrazložitev</w:t>
      </w:r>
    </w:p>
    <w:p w:rsidR="00B11E04" w:rsidRPr="00E90E1A" w:rsidRDefault="00B11E04" w:rsidP="00B11E04">
      <w:pPr>
        <w:pStyle w:val="Normal12Italic"/>
      </w:pPr>
      <w:r w:rsidRPr="00E90E1A">
        <w:t>Dodati je treba standardno uvodno izjavo o izvedbenih pooblastilih Komisije.</w:t>
      </w:r>
    </w:p>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13</w:t>
      </w:r>
    </w:p>
    <w:p w:rsidR="00B11E04" w:rsidRPr="00E90E1A" w:rsidRDefault="00B11E04" w:rsidP="00B11E04">
      <w:pPr>
        <w:pStyle w:val="AMNumberTabs"/>
        <w:keepNext/>
      </w:pPr>
      <w:r w:rsidRPr="00E90E1A">
        <w:t>Predlog direktive</w:t>
      </w:r>
    </w:p>
    <w:p w:rsidR="00B11E04" w:rsidRPr="00E90E1A" w:rsidRDefault="00B11E04" w:rsidP="00B11E04">
      <w:pPr>
        <w:pStyle w:val="NormalBold"/>
      </w:pPr>
      <w:r w:rsidRPr="00E90E1A">
        <w:t>Uvodna izjava 7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Besedilo, ki ga predlaga Komisija</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pPr>
              <w:pStyle w:val="Normal6"/>
              <w:rPr>
                <w:szCs w:val="24"/>
              </w:rPr>
            </w:pPr>
            <w:r w:rsidRPr="00E90E1A">
              <w:rPr>
                <w:b/>
                <w:i/>
              </w:rPr>
              <w:t>(7b)</w:t>
            </w:r>
            <w:r w:rsidRPr="00E90E1A">
              <w:tab/>
            </w:r>
            <w:r w:rsidRPr="00E90E1A">
              <w:rPr>
                <w:b/>
                <w:i/>
              </w:rPr>
              <w:t xml:space="preserve">Za določitev metodologije za zbiranje in obdelavo podatkov ter oblike za podatke, ki se sporočijo za baterije in </w:t>
            </w:r>
            <w:r w:rsidRPr="00E90E1A">
              <w:rPr>
                <w:b/>
                <w:i/>
              </w:rPr>
              <w:lastRenderedPageBreak/>
              <w:t>akumulatorje ter odpadne baterije in akumulatorje, bi bilo treba na Komisijo prenesti pooblastilo za sprejemanje aktov v skladu s členom 290 Pogodbe o delovanju Evropske unije. Zlasti je pomembno, da se Komisija pri svojem pripravljalnem delu ustrezno posvetuje, tudi na ravni strokovnjakov, in da se ta posvetovanja izvedejo v skladu z načeli iz Medinstitucionalnega sporazuma z dne 13. aprila 2016 o boljši pripravi zakonodaje.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14</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(novo)</w:t>
      </w:r>
    </w:p>
    <w:p w:rsidR="00B11E04" w:rsidRPr="00E90E1A" w:rsidRDefault="00B11E04" w:rsidP="00B11E04">
      <w:pPr>
        <w:keepNext/>
      </w:pPr>
      <w:r w:rsidRPr="00E90E1A">
        <w:t>Direktiva 2000/53/ES</w:t>
      </w:r>
    </w:p>
    <w:p w:rsidR="00B11E04" w:rsidRPr="00E90E1A" w:rsidRDefault="00B11E04" w:rsidP="00B11E04">
      <w:r w:rsidRPr="00E90E1A">
        <w:t>Člen 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Veljavno besedilo</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V členu 6 se odstavek 1 nadomesti z naslednjim:</w:t>
            </w:r>
          </w:p>
        </w:tc>
      </w:tr>
      <w:tr w:rsidR="00B11E04" w:rsidRPr="00E90E1A" w:rsidTr="00396944">
        <w:trPr>
          <w:jc w:val="center"/>
        </w:trPr>
        <w:tc>
          <w:tcPr>
            <w:tcW w:w="4876" w:type="dxa"/>
            <w:hideMark/>
          </w:tcPr>
          <w:p w:rsidR="00B11E04" w:rsidRPr="00E90E1A" w:rsidRDefault="00B11E04" w:rsidP="00396944">
            <w:pPr>
              <w:pStyle w:val="Normal6"/>
            </w:pPr>
            <w:r w:rsidRPr="00E90E1A">
              <w:t>"1.</w:t>
            </w:r>
            <w:r w:rsidRPr="00E90E1A">
              <w:tab/>
              <w:t>Države članice storijo vse potrebno za zagotovitev, da se vsa izrabljena vozila skladiščijo (tudi začasno) in obdelujejo skladno s splošnimi zahtevami, določenimi v členu 4 Direktive 75/442/EGS, in skladno z minimalnimi tehničnimi zahtevami iz Priloge I k tej direktivi, ne da bi to posegalo v nacionalne predpise o zdravju in okolju.“</w:t>
            </w:r>
          </w:p>
        </w:tc>
        <w:tc>
          <w:tcPr>
            <w:tcW w:w="4876" w:type="dxa"/>
            <w:hideMark/>
          </w:tcPr>
          <w:p w:rsidR="00B11E04" w:rsidRPr="00E90E1A" w:rsidRDefault="00B11E04" w:rsidP="00396944">
            <w:pPr>
              <w:pStyle w:val="Normal6"/>
              <w:rPr>
                <w:szCs w:val="24"/>
              </w:rPr>
            </w:pPr>
            <w:r w:rsidRPr="00E90E1A">
              <w:rPr>
                <w:b/>
                <w:i/>
              </w:rPr>
              <w:t>„1.</w:t>
            </w:r>
            <w:r w:rsidRPr="00E90E1A">
              <w:tab/>
              <w:t>Države članice storijo vse potrebno za zagotovitev, da se vsa izrabljena vozila skladiščijo (tudi začasno) in obdelujejo skladno s</w:t>
            </w:r>
            <w:r w:rsidRPr="00E90E1A">
              <w:rPr>
                <w:b/>
                <w:i/>
              </w:rPr>
              <w:t xml:space="preserve"> prednostnim vrstnim redom iz hierarhije ravnanja z odpadki in</w:t>
            </w:r>
            <w:r w:rsidRPr="00E90E1A">
              <w:rPr>
                <w:b/>
              </w:rPr>
              <w:t xml:space="preserve"> </w:t>
            </w:r>
            <w:r w:rsidRPr="00E90E1A">
              <w:t>splošnimi zahtevami, določenimi v členu 4 Direktive 75/442/EGS, in skladno z minimalnimi tehničnimi zahtevami iz Priloge I k tej direktivi, ne da bi to posegalo v nacionalne predpise o zdravju in okolju.“</w:t>
            </w:r>
          </w:p>
        </w:tc>
      </w:tr>
    </w:tbl>
    <w:p w:rsidR="00B11E04" w:rsidRPr="00E90E1A" w:rsidRDefault="00B11E04" w:rsidP="00B11E04">
      <w:pPr>
        <w:pStyle w:val="JustificationTitle"/>
      </w:pPr>
      <w:r w:rsidRPr="00E90E1A">
        <w:t>Obrazložitev</w:t>
      </w:r>
    </w:p>
    <w:p w:rsidR="00B11E04" w:rsidRPr="00E90E1A" w:rsidRDefault="00B11E04" w:rsidP="00B11E04">
      <w:pPr>
        <w:pStyle w:val="Normal12Italic"/>
      </w:pPr>
      <w:r w:rsidRPr="00E90E1A">
        <w:t>Da se zagotovi skladnost in pravna varnost kar zadeva zakonodajo EU na področju odpadkov, je v členih 1, 6 in 7 nujno potrebno sklicevanje na hierarhijo ravnanja z odpadki.</w:t>
      </w:r>
    </w:p>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15</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 točka 2</w:t>
      </w:r>
    </w:p>
    <w:p w:rsidR="00B11E04" w:rsidRPr="00E90E1A" w:rsidRDefault="00B11E04" w:rsidP="00B11E04">
      <w:pPr>
        <w:keepNext/>
      </w:pPr>
      <w:r w:rsidRPr="00E90E1A">
        <w:t>Direktiva 2000/53/ES</w:t>
      </w:r>
    </w:p>
    <w:p w:rsidR="00B11E04" w:rsidRPr="00E90E1A" w:rsidRDefault="00B11E04" w:rsidP="00B11E04">
      <w:r w:rsidRPr="00E90E1A">
        <w:t>Člen 9 – odstavek 1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r w:rsidRPr="00E90E1A">
              <w:t>1a.</w:t>
            </w:r>
            <w:r w:rsidRPr="00E90E1A">
              <w:tab/>
              <w:t xml:space="preserve">Države članice podatke v zvezi z izvajanjem člena 7(2) Komisiji sporočijo za vsako koledarsko leto. </w:t>
            </w:r>
            <w:r w:rsidRPr="00E90E1A">
              <w:rPr>
                <w:b/>
                <w:i/>
              </w:rPr>
              <w:t>Te podatke</w:t>
            </w:r>
            <w:r w:rsidRPr="00E90E1A">
              <w:t xml:space="preserve"> sporočijo v elektronski obliki v </w:t>
            </w:r>
            <w:r w:rsidRPr="00E90E1A">
              <w:rPr>
                <w:b/>
                <w:i/>
              </w:rPr>
              <w:t>18</w:t>
            </w:r>
            <w:r w:rsidRPr="00E90E1A">
              <w:t xml:space="preserve"> mesecih po izteku leta poročanja, na katerega se nanašajo zbrani podatki. Podatki se sporočijo v obliki, ki jo določi Komisija v skladu z odstavkom 1d. </w:t>
            </w:r>
            <w:r w:rsidRPr="00E90E1A">
              <w:rPr>
                <w:b/>
                <w:i/>
              </w:rPr>
              <w:t>Prvo poročilo zajema podatke za obdobje od 1. januarja [vstaviti leto prenosa te direktive + 1 leto] do 31. decembra [vstaviti leto prenosa te direktive + 1 leto].</w:t>
            </w:r>
          </w:p>
        </w:tc>
        <w:tc>
          <w:tcPr>
            <w:tcW w:w="4876" w:type="dxa"/>
          </w:tcPr>
          <w:p w:rsidR="00B11E04" w:rsidRPr="00E90E1A" w:rsidRDefault="00B11E04" w:rsidP="00396944">
            <w:pPr>
              <w:pStyle w:val="Normal6"/>
              <w:rPr>
                <w:szCs w:val="24"/>
              </w:rPr>
            </w:pPr>
            <w:r w:rsidRPr="00E90E1A">
              <w:t>1a.</w:t>
            </w:r>
            <w:r w:rsidRPr="00E90E1A">
              <w:tab/>
              <w:t xml:space="preserve">Države članice podatke v zvezi z izvajanjem člena 7(2) Komisiji sporočijo za vsako koledarsko leto. </w:t>
            </w:r>
            <w:r w:rsidRPr="00E90E1A">
              <w:rPr>
                <w:b/>
                <w:i/>
              </w:rPr>
              <w:t>Podatke zberejo in obdelajo v skladu s skupno metodologijo iz odstavka 1d tega člena ter jih</w:t>
            </w:r>
            <w:r w:rsidRPr="00E90E1A">
              <w:t xml:space="preserve"> sporočijo v elektronski obliki v </w:t>
            </w:r>
            <w:r w:rsidRPr="00E90E1A">
              <w:rPr>
                <w:b/>
                <w:i/>
              </w:rPr>
              <w:t>12</w:t>
            </w:r>
            <w:r w:rsidRPr="00E90E1A">
              <w:t xml:space="preserve"> mesecih po izteku leta poročanja, na katerega se nanašajo zbrani podatki. Podatki se sporočijo v obliki, ki jo določi Komisija v skladu z odstavkom 1d.</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16</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 točka 2</w:t>
      </w:r>
    </w:p>
    <w:p w:rsidR="00B11E04" w:rsidRPr="00E90E1A" w:rsidRDefault="00B11E04" w:rsidP="00B11E04">
      <w:pPr>
        <w:keepNext/>
      </w:pPr>
      <w:r w:rsidRPr="00E90E1A">
        <w:t>Direktiva 2000/53/ES</w:t>
      </w:r>
    </w:p>
    <w:p w:rsidR="00B11E04" w:rsidRPr="00E90E1A" w:rsidRDefault="00B11E04" w:rsidP="00B11E04">
      <w:r w:rsidRPr="00E90E1A">
        <w:t>Člen 9 – odstavek 1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r w:rsidRPr="00E90E1A">
              <w:t>1c.</w:t>
            </w:r>
            <w:r w:rsidRPr="00E90E1A">
              <w:tab/>
              <w:t>Komisija pregleda podatke, sporočene v skladu s tem členom, in objavi poročilo o rezultatih tega pregleda. Poročilo vsebuje oceno organizacije zbiranja podatkov, virov podatkov in uporabljene metodologije v državah članicah</w:t>
            </w:r>
            <w:r w:rsidRPr="00E90E1A">
              <w:rPr>
                <w:b/>
                <w:i/>
              </w:rPr>
              <w:t xml:space="preserve"> ter popolnosti</w:t>
            </w:r>
            <w:r w:rsidRPr="00E90E1A">
              <w:t xml:space="preserve">, </w:t>
            </w:r>
            <w:r w:rsidRPr="00E90E1A">
              <w:rPr>
                <w:b/>
                <w:i/>
              </w:rPr>
              <w:t>zanesljivosti</w:t>
            </w:r>
            <w:r w:rsidRPr="00E90E1A">
              <w:t xml:space="preserve">, </w:t>
            </w:r>
            <w:r w:rsidRPr="00E90E1A">
              <w:rPr>
                <w:b/>
                <w:i/>
              </w:rPr>
              <w:t>pravočasnosti</w:t>
            </w:r>
            <w:r w:rsidRPr="00E90E1A">
              <w:t xml:space="preserve"> sporočanja in </w:t>
            </w:r>
            <w:r w:rsidRPr="00E90E1A">
              <w:rPr>
                <w:b/>
                <w:i/>
              </w:rPr>
              <w:t>doslednosti</w:t>
            </w:r>
            <w:r w:rsidRPr="00E90E1A">
              <w:t xml:space="preserve"> teh podatkov. Ocena lahko vključuje posebna priporočila za izboljšave. Poročilo se pripravi vsaka tri leta.</w:t>
            </w:r>
          </w:p>
        </w:tc>
        <w:tc>
          <w:tcPr>
            <w:tcW w:w="4876" w:type="dxa"/>
          </w:tcPr>
          <w:p w:rsidR="00B11E04" w:rsidRPr="00E90E1A" w:rsidRDefault="00B11E04" w:rsidP="00396944">
            <w:pPr>
              <w:pStyle w:val="Normal6"/>
              <w:rPr>
                <w:szCs w:val="24"/>
              </w:rPr>
            </w:pPr>
            <w:r w:rsidRPr="00E90E1A">
              <w:t>1c.</w:t>
            </w:r>
            <w:r w:rsidRPr="00E90E1A">
              <w:tab/>
              <w:t xml:space="preserve">Komisija pregleda podatke, sporočene v skladu s tem členom, in objavi poročilo o rezultatih tega pregleda. </w:t>
            </w:r>
            <w:r w:rsidRPr="00E90E1A">
              <w:rPr>
                <w:b/>
                <w:i/>
              </w:rPr>
              <w:t xml:space="preserve">Do vzpostavitve skupne metodologije zbiranja in obdelave podatkov iz odstavka 1d </w:t>
            </w:r>
            <w:r w:rsidRPr="00E90E1A">
              <w:t>poročilo vsebuje oceno organizacije zbiranja podatkov, virov podatkov in uporabljene metodologije v državah članicah</w:t>
            </w:r>
            <w:r w:rsidRPr="00E90E1A">
              <w:rPr>
                <w:b/>
                <w:i/>
              </w:rPr>
              <w:t>.</w:t>
            </w:r>
            <w:r w:rsidRPr="00E90E1A">
              <w:t xml:space="preserve"> </w:t>
            </w:r>
            <w:r w:rsidRPr="00E90E1A">
              <w:rPr>
                <w:b/>
                <w:i/>
              </w:rPr>
              <w:t>Komisija oceni tudi popolnost</w:t>
            </w:r>
            <w:r w:rsidRPr="00E90E1A">
              <w:t xml:space="preserve">, </w:t>
            </w:r>
            <w:r w:rsidRPr="00E90E1A">
              <w:rPr>
                <w:b/>
                <w:i/>
              </w:rPr>
              <w:t>zanesljivost</w:t>
            </w:r>
            <w:r w:rsidRPr="00E90E1A">
              <w:t xml:space="preserve">, </w:t>
            </w:r>
            <w:r w:rsidRPr="00E90E1A">
              <w:rPr>
                <w:b/>
                <w:i/>
              </w:rPr>
              <w:t>pravočasnost</w:t>
            </w:r>
            <w:r w:rsidRPr="00E90E1A">
              <w:t xml:space="preserve"> sporočanja in </w:t>
            </w:r>
            <w:r w:rsidRPr="00E90E1A">
              <w:rPr>
                <w:b/>
                <w:i/>
              </w:rPr>
              <w:t>doslednost</w:t>
            </w:r>
            <w:r w:rsidRPr="00E90E1A">
              <w:t xml:space="preserve"> teh podatkov. Ocena lahko vključuje posebna priporočila za izboljšave. Poročilo se pripravi vsaka tri leta.</w:t>
            </w:r>
          </w:p>
        </w:tc>
      </w:tr>
    </w:tbl>
    <w:p w:rsidR="00B11E04" w:rsidRPr="00E90E1A" w:rsidRDefault="00B11E04" w:rsidP="00B11E04"/>
    <w:p w:rsidR="00B11E04" w:rsidRPr="00E90E1A" w:rsidRDefault="00B11E04" w:rsidP="00B11E04">
      <w:pPr>
        <w:pStyle w:val="AMNumberTabs"/>
        <w:keepNext/>
      </w:pPr>
      <w:r w:rsidRPr="00E90E1A">
        <w:lastRenderedPageBreak/>
        <w:t>Predlog spremembe</w:t>
      </w:r>
      <w:r w:rsidRPr="00E90E1A">
        <w:tab/>
      </w:r>
      <w:r w:rsidRPr="00E90E1A">
        <w:tab/>
        <w:t>17</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 točka 2</w:t>
      </w:r>
    </w:p>
    <w:p w:rsidR="00B11E04" w:rsidRPr="00E90E1A" w:rsidRDefault="00B11E04" w:rsidP="00B11E04">
      <w:pPr>
        <w:keepNext/>
      </w:pPr>
      <w:r w:rsidRPr="00E90E1A">
        <w:t>Direktiva 2000/53/ES</w:t>
      </w:r>
    </w:p>
    <w:p w:rsidR="00B11E04" w:rsidRPr="00E90E1A" w:rsidRDefault="00B11E04" w:rsidP="00B11E04">
      <w:r w:rsidRPr="00E90E1A">
        <w:t>Člen 9 – odstavek 1 ca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1ca.</w:t>
            </w:r>
            <w:r w:rsidRPr="00E90E1A">
              <w:tab/>
            </w:r>
            <w:r w:rsidRPr="00E90E1A">
              <w:rPr>
                <w:b/>
                <w:i/>
              </w:rPr>
              <w:t>Komisija v poročilo lahko vključi informacije o izvajanju te direktive kot celote in o njenem vplivu na okolje in zdravje ljudi. Poročilu se po potrebi priloži zakonodajni predlog za spremembo te direktive.</w:t>
            </w:r>
          </w:p>
        </w:tc>
      </w:tr>
    </w:tbl>
    <w:p w:rsidR="00B11E04" w:rsidRPr="00E90E1A" w:rsidRDefault="00B11E04" w:rsidP="00B11E04"/>
    <w:p w:rsidR="00B11E04" w:rsidRPr="00E90E1A" w:rsidRDefault="00B11E04" w:rsidP="00B11E04">
      <w:pPr>
        <w:pStyle w:val="AMNumberTabs"/>
        <w:keepNext/>
      </w:pPr>
      <w:r w:rsidRPr="00E90E1A">
        <w:t>Predlog spremembe</w:t>
      </w:r>
      <w:r w:rsidRPr="00E90E1A">
        <w:tab/>
      </w:r>
      <w:r w:rsidRPr="00E90E1A">
        <w:tab/>
        <w:t>18</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 točka 2</w:t>
      </w:r>
    </w:p>
    <w:p w:rsidR="00B11E04" w:rsidRPr="00E90E1A" w:rsidRDefault="00B11E04" w:rsidP="00B11E04">
      <w:pPr>
        <w:keepNext/>
      </w:pPr>
      <w:r w:rsidRPr="00E90E1A">
        <w:t>Direktiva 2000/53/ES</w:t>
      </w:r>
    </w:p>
    <w:p w:rsidR="00B11E04" w:rsidRPr="00E90E1A" w:rsidRDefault="00B11E04" w:rsidP="00B11E04">
      <w:r w:rsidRPr="00E90E1A">
        <w:t>Člen 9 – odstavek 1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r w:rsidRPr="00E90E1A">
              <w:t>1d.</w:t>
            </w:r>
            <w:r w:rsidRPr="00E90E1A">
              <w:tab/>
              <w:t xml:space="preserve">Komisija sprejme </w:t>
            </w:r>
            <w:r w:rsidRPr="00E90E1A">
              <w:rPr>
                <w:b/>
                <w:i/>
              </w:rPr>
              <w:t>izvedbene</w:t>
            </w:r>
            <w:r w:rsidRPr="00E90E1A">
              <w:t xml:space="preserve"> akte, s katerimi določi obliko za podatke, ki se sporočijo v skladu z odstavkom 1a. </w:t>
            </w:r>
            <w:r w:rsidRPr="00E90E1A">
              <w:rPr>
                <w:b/>
                <w:i/>
              </w:rPr>
              <w:t>Navedeni izvedbeni</w:t>
            </w:r>
            <w:r w:rsidRPr="00E90E1A">
              <w:t xml:space="preserve"> akti se sprejmejo v skladu s postopkom iz člena</w:t>
            </w:r>
            <w:r w:rsidRPr="00E90E1A">
              <w:rPr>
                <w:b/>
                <w:i/>
              </w:rPr>
              <w:t xml:space="preserve"> 11(2)</w:t>
            </w:r>
            <w:r w:rsidRPr="00E90E1A">
              <w:t>.</w:t>
            </w:r>
          </w:p>
        </w:tc>
        <w:tc>
          <w:tcPr>
            <w:tcW w:w="4876" w:type="dxa"/>
          </w:tcPr>
          <w:p w:rsidR="00B11E04" w:rsidRPr="00E90E1A" w:rsidRDefault="00B11E04" w:rsidP="009E4AE9">
            <w:pPr>
              <w:pStyle w:val="Normal6"/>
              <w:rPr>
                <w:szCs w:val="24"/>
              </w:rPr>
            </w:pPr>
            <w:r w:rsidRPr="00E90E1A">
              <w:t>1d.</w:t>
            </w:r>
            <w:r w:rsidRPr="00E90E1A">
              <w:tab/>
              <w:t xml:space="preserve">Komisija sprejme </w:t>
            </w:r>
            <w:r w:rsidRPr="00E90E1A">
              <w:rPr>
                <w:b/>
                <w:i/>
              </w:rPr>
              <w:t>delegirane</w:t>
            </w:r>
            <w:r w:rsidRPr="00E90E1A">
              <w:t xml:space="preserve"> akte</w:t>
            </w:r>
            <w:r w:rsidR="009E4AE9" w:rsidRPr="00E90E1A">
              <w:t xml:space="preserve"> </w:t>
            </w:r>
            <w:r w:rsidR="009E4AE9" w:rsidRPr="00E90E1A">
              <w:rPr>
                <w:b/>
                <w:i/>
              </w:rPr>
              <w:t>za dopolnitev te direktive</w:t>
            </w:r>
            <w:r w:rsidRPr="00E90E1A">
              <w:t xml:space="preserve">, s katerimi določi </w:t>
            </w:r>
            <w:r w:rsidRPr="00E90E1A">
              <w:rPr>
                <w:b/>
                <w:i/>
              </w:rPr>
              <w:t xml:space="preserve">skupno metodologijo za zbiranje in obdelavo podatkov ter </w:t>
            </w:r>
            <w:r w:rsidRPr="00E90E1A">
              <w:t xml:space="preserve">obliko za podatke, ki se sporočijo v skladu z odstavkom 1a. </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19</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 točka 2</w:t>
      </w:r>
    </w:p>
    <w:p w:rsidR="00B11E04" w:rsidRPr="00E90E1A" w:rsidRDefault="00B11E04" w:rsidP="00B11E04">
      <w:pPr>
        <w:keepNext/>
      </w:pPr>
      <w:r w:rsidRPr="00E90E1A">
        <w:t>Direktiva 2000/53/ES</w:t>
      </w:r>
    </w:p>
    <w:p w:rsidR="00B11E04" w:rsidRPr="00E90E1A" w:rsidRDefault="00B11E04" w:rsidP="00B11E04">
      <w:r w:rsidRPr="00E90E1A">
        <w:t>Člen 9 – odstavek 1 da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1da.</w:t>
            </w:r>
            <w:r w:rsidRPr="00E90E1A">
              <w:tab/>
            </w:r>
            <w:r w:rsidRPr="00E90E1A">
              <w:rPr>
                <w:b/>
                <w:i/>
              </w:rPr>
              <w:t xml:space="preserve">Komisija do 31. decembra 2018 v okviru akcijskega načrta za krožno gospodarstvo in glede na zavezo Unije o prehodu na krožno gospodarstvo pregleda to direktivo kot celoto in zlasti njeno področje uporabe ter cilje na osnovi ocene učinka ter ob upoštevanju ciljev in pobud </w:t>
            </w:r>
            <w:r w:rsidRPr="00E90E1A">
              <w:rPr>
                <w:b/>
                <w:i/>
              </w:rPr>
              <w:lastRenderedPageBreak/>
              <w:t>Unije v okviru politike krožnega gospodarstva. Posebna pozornost se nameni pošiljkam rabljenih vozil, za katera se sumi, da so izrabljena vozila. V ta namen se uporabijo Smernice informatorjev št. 9 o pošiljkah izrabljenih vozil. Komisija preuči tudi možnost določitve ciljev za posamezne vire, zlasti za kritične surovine. Pregledu se po potrebi priloži zakonodajni predlog.</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20</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1 – odstavek 1 a (novo)</w:t>
      </w:r>
    </w:p>
    <w:p w:rsidR="00B11E04" w:rsidRPr="00E90E1A" w:rsidRDefault="00B11E04" w:rsidP="00B11E04">
      <w:pPr>
        <w:keepNext/>
      </w:pPr>
      <w:r w:rsidRPr="00E90E1A">
        <w:t>Direktiva 2000/53/ES</w:t>
      </w:r>
    </w:p>
    <w:p w:rsidR="00B11E04" w:rsidRPr="00E90E1A" w:rsidRDefault="00B11E04" w:rsidP="00B11E04">
      <w:r w:rsidRPr="00E90E1A">
        <w:t>Člen 9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Vstavi se naslednji člen:</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Del="00EA64E7" w:rsidRDefault="00B11E04" w:rsidP="00396944">
            <w:pPr>
              <w:pStyle w:val="Normal6"/>
              <w:rPr>
                <w:b/>
                <w:bCs/>
                <w:i/>
                <w:iCs/>
                <w:szCs w:val="24"/>
              </w:rPr>
            </w:pPr>
            <w:r w:rsidRPr="00E90E1A">
              <w:rPr>
                <w:b/>
                <w:i/>
              </w:rPr>
              <w:t>„Člen 9a</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Del="00EA64E7" w:rsidRDefault="00B11E04" w:rsidP="00396944">
            <w:pPr>
              <w:pStyle w:val="Normal6"/>
              <w:rPr>
                <w:b/>
                <w:bCs/>
                <w:i/>
                <w:iCs/>
                <w:szCs w:val="24"/>
              </w:rPr>
            </w:pPr>
            <w:r w:rsidRPr="00E90E1A">
              <w:rPr>
                <w:b/>
                <w:i/>
              </w:rPr>
              <w:t>Instrumenti za spodbujanje prehoda na bolj krožno gospodarstvo</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Del="00EA64E7" w:rsidRDefault="00B11E04" w:rsidP="00396944">
            <w:pPr>
              <w:pStyle w:val="Normal6"/>
              <w:rPr>
                <w:b/>
                <w:bCs/>
                <w:i/>
                <w:iCs/>
                <w:szCs w:val="24"/>
              </w:rPr>
            </w:pPr>
            <w:r w:rsidRPr="00E90E1A">
              <w:rPr>
                <w:b/>
                <w:i/>
              </w:rPr>
              <w:t>Da bi prispevale k ciljem, določenim v tej direktivi, države članice uporabijo ustrezne ekonomske instrumente in druge ukrepe za spodbujanje izvajanja hierarhije ravnanja z odpadki. Ti instrumenti in ukrepi lahko zajemajo tiste iz Priloge IVa k Direktivi 2008/98/ES.“</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21</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2 – odstavek 1 – točka 1 a (novo)</w:t>
      </w:r>
    </w:p>
    <w:p w:rsidR="00B11E04" w:rsidRPr="00E90E1A" w:rsidRDefault="00B11E04" w:rsidP="00B11E04">
      <w:pPr>
        <w:keepNext/>
      </w:pPr>
      <w:r w:rsidRPr="00E90E1A">
        <w:t>Direktiva 2006/66/ES</w:t>
      </w:r>
    </w:p>
    <w:p w:rsidR="00B11E04" w:rsidRPr="00E90E1A" w:rsidRDefault="00B11E04" w:rsidP="00B11E04">
      <w:r w:rsidRPr="00E90E1A">
        <w:t>Člen 22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rPr>
                <w:szCs w:val="24"/>
              </w:rPr>
            </w:pPr>
          </w:p>
        </w:tc>
        <w:tc>
          <w:tcPr>
            <w:tcW w:w="4876" w:type="dxa"/>
          </w:tcPr>
          <w:p w:rsidR="00B11E04" w:rsidRPr="00E90E1A" w:rsidRDefault="00B11E04" w:rsidP="00396944">
            <w:pPr>
              <w:pStyle w:val="Normal6"/>
              <w:rPr>
                <w:szCs w:val="24"/>
              </w:rPr>
            </w:pPr>
            <w:r w:rsidRPr="00E90E1A">
              <w:rPr>
                <w:b/>
                <w:i/>
              </w:rPr>
              <w:t>(1a)</w:t>
            </w:r>
            <w:r w:rsidRPr="00E90E1A">
              <w:tab/>
            </w:r>
            <w:r w:rsidRPr="00E90E1A">
              <w:rPr>
                <w:b/>
                <w:i/>
              </w:rPr>
              <w:t>Vstavi se naslednji člen:</w:t>
            </w:r>
          </w:p>
        </w:tc>
      </w:tr>
      <w:tr w:rsidR="00B11E04" w:rsidRPr="00E90E1A" w:rsidTr="00396944">
        <w:trPr>
          <w:jc w:val="center"/>
        </w:trPr>
        <w:tc>
          <w:tcPr>
            <w:tcW w:w="4876" w:type="dxa"/>
          </w:tcPr>
          <w:p w:rsidR="00B11E04" w:rsidRPr="00E90E1A" w:rsidRDefault="00B11E04" w:rsidP="00396944">
            <w:pPr>
              <w:pStyle w:val="Normal6"/>
              <w:rPr>
                <w:szCs w:val="24"/>
              </w:rPr>
            </w:pPr>
          </w:p>
        </w:tc>
        <w:tc>
          <w:tcPr>
            <w:tcW w:w="4876" w:type="dxa"/>
          </w:tcPr>
          <w:p w:rsidR="00B11E04" w:rsidRPr="00E90E1A" w:rsidRDefault="00B11E04" w:rsidP="00396944">
            <w:pPr>
              <w:pStyle w:val="Normal6"/>
              <w:rPr>
                <w:szCs w:val="24"/>
              </w:rPr>
            </w:pPr>
            <w:r w:rsidRPr="00E90E1A">
              <w:rPr>
                <w:b/>
                <w:i/>
              </w:rPr>
              <w:t>„Člen 22a</w:t>
            </w:r>
          </w:p>
        </w:tc>
      </w:tr>
      <w:tr w:rsidR="00B11E04" w:rsidRPr="00E90E1A" w:rsidTr="00396944">
        <w:trPr>
          <w:jc w:val="center"/>
        </w:trPr>
        <w:tc>
          <w:tcPr>
            <w:tcW w:w="4876" w:type="dxa"/>
          </w:tcPr>
          <w:p w:rsidR="00B11E04" w:rsidRPr="00E90E1A" w:rsidRDefault="00B11E04" w:rsidP="00396944">
            <w:pPr>
              <w:pStyle w:val="Normal6"/>
              <w:rPr>
                <w:szCs w:val="24"/>
              </w:rPr>
            </w:pPr>
          </w:p>
        </w:tc>
        <w:tc>
          <w:tcPr>
            <w:tcW w:w="4876" w:type="dxa"/>
          </w:tcPr>
          <w:p w:rsidR="00B11E04" w:rsidRPr="00E90E1A" w:rsidRDefault="00B11E04" w:rsidP="00396944">
            <w:pPr>
              <w:pStyle w:val="Normal6"/>
              <w:rPr>
                <w:szCs w:val="24"/>
              </w:rPr>
            </w:pPr>
            <w:r w:rsidRPr="00E90E1A">
              <w:rPr>
                <w:b/>
                <w:i/>
              </w:rPr>
              <w:t>Podatki</w:t>
            </w:r>
          </w:p>
        </w:tc>
      </w:tr>
      <w:tr w:rsidR="00B11E04" w:rsidRPr="00E90E1A" w:rsidTr="00396944">
        <w:trPr>
          <w:jc w:val="center"/>
        </w:trPr>
        <w:tc>
          <w:tcPr>
            <w:tcW w:w="4876" w:type="dxa"/>
          </w:tcPr>
          <w:p w:rsidR="00B11E04" w:rsidRPr="00E90E1A" w:rsidRDefault="00B11E04" w:rsidP="00396944">
            <w:pPr>
              <w:pStyle w:val="Normal6"/>
              <w:rPr>
                <w:szCs w:val="24"/>
              </w:rPr>
            </w:pPr>
          </w:p>
        </w:tc>
        <w:tc>
          <w:tcPr>
            <w:tcW w:w="4876" w:type="dxa"/>
          </w:tcPr>
          <w:p w:rsidR="00B11E04" w:rsidRPr="00E90E1A" w:rsidRDefault="00B11E04" w:rsidP="00396944">
            <w:pPr>
              <w:pStyle w:val="Normal6"/>
              <w:rPr>
                <w:szCs w:val="24"/>
              </w:rPr>
            </w:pPr>
            <w:r w:rsidRPr="00E90E1A">
              <w:rPr>
                <w:b/>
                <w:i/>
              </w:rPr>
              <w:t>1.</w:t>
            </w:r>
            <w:r w:rsidRPr="00E90E1A">
              <w:tab/>
            </w:r>
            <w:r w:rsidRPr="00E90E1A">
              <w:rPr>
                <w:b/>
                <w:i/>
              </w:rPr>
              <w:t>Podatkom, ki jih država članica sporoči v skladu s členoma 10 in 12, se priloži poročilo o preverjanju kakovosti.</w:t>
            </w:r>
          </w:p>
        </w:tc>
      </w:tr>
      <w:tr w:rsidR="00B11E04" w:rsidRPr="00E90E1A" w:rsidTr="00396944">
        <w:trPr>
          <w:jc w:val="center"/>
        </w:trPr>
        <w:tc>
          <w:tcPr>
            <w:tcW w:w="4876" w:type="dxa"/>
          </w:tcPr>
          <w:p w:rsidR="00B11E04" w:rsidRPr="00E90E1A" w:rsidRDefault="00B11E04" w:rsidP="00396944">
            <w:pPr>
              <w:pStyle w:val="Normal6"/>
              <w:rPr>
                <w:szCs w:val="24"/>
              </w:rPr>
            </w:pPr>
          </w:p>
        </w:tc>
        <w:tc>
          <w:tcPr>
            <w:tcW w:w="4876" w:type="dxa"/>
          </w:tcPr>
          <w:p w:rsidR="00B11E04" w:rsidRPr="00E90E1A" w:rsidRDefault="00B11E04">
            <w:pPr>
              <w:pStyle w:val="Normal6"/>
              <w:rPr>
                <w:szCs w:val="24"/>
              </w:rPr>
            </w:pPr>
            <w:r w:rsidRPr="00E90E1A">
              <w:rPr>
                <w:b/>
                <w:i/>
              </w:rPr>
              <w:t>2.</w:t>
            </w:r>
            <w:r w:rsidRPr="00E90E1A">
              <w:tab/>
            </w:r>
            <w:r w:rsidRPr="00E90E1A">
              <w:rPr>
                <w:b/>
                <w:i/>
              </w:rPr>
              <w:t xml:space="preserve">Komisija sprejme delegirane akte v skladu s členom 23a, da bi to </w:t>
            </w:r>
            <w:r w:rsidR="009E4AE9" w:rsidRPr="00E90E1A">
              <w:rPr>
                <w:b/>
                <w:i/>
              </w:rPr>
              <w:t xml:space="preserve">direktivo </w:t>
            </w:r>
            <w:r w:rsidRPr="00E90E1A">
              <w:rPr>
                <w:b/>
                <w:i/>
              </w:rPr>
              <w:t>dopolnila z metodologijo za zbiranje in obdelavo podatkov ter obliko za poročanje.“</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22</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2 – odstavek 1 – točka 2 – točka -a (novo)</w:t>
      </w:r>
    </w:p>
    <w:p w:rsidR="00B11E04" w:rsidRPr="00E90E1A" w:rsidRDefault="00B11E04" w:rsidP="00B11E04">
      <w:pPr>
        <w:keepNext/>
      </w:pPr>
      <w:r w:rsidRPr="00E90E1A">
        <w:t xml:space="preserve">Direktiva 2006/66/ES </w:t>
      </w:r>
    </w:p>
    <w:p w:rsidR="00B11E04" w:rsidRPr="00E90E1A" w:rsidRDefault="00B11E04" w:rsidP="00B11E04">
      <w:r w:rsidRPr="00E90E1A">
        <w:t>Člen 23 – naslov</w:t>
      </w:r>
    </w:p>
    <w:p w:rsidR="00B11E04" w:rsidRPr="00E90E1A" w:rsidRDefault="00B11E04" w:rsidP="00B11E0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Veljavno besedilo</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b/>
                <w:bCs/>
                <w:i/>
                <w:iCs/>
              </w:rPr>
            </w:pPr>
            <w:r w:rsidRPr="00E90E1A">
              <w:rPr>
                <w:b/>
                <w:i/>
              </w:rPr>
              <w:t>(-1a)</w:t>
            </w:r>
            <w:r w:rsidRPr="00E90E1A">
              <w:tab/>
            </w:r>
            <w:r w:rsidRPr="00E90E1A">
              <w:rPr>
                <w:b/>
                <w:i/>
              </w:rPr>
              <w:t>V členu 23 se naslov nadomesti z naslednjim:</w:t>
            </w:r>
          </w:p>
        </w:tc>
      </w:tr>
      <w:tr w:rsidR="00B11E04" w:rsidRPr="00E90E1A" w:rsidTr="00396944">
        <w:trPr>
          <w:jc w:val="center"/>
        </w:trPr>
        <w:tc>
          <w:tcPr>
            <w:tcW w:w="4876" w:type="dxa"/>
          </w:tcPr>
          <w:p w:rsidR="00B11E04" w:rsidRPr="00E90E1A" w:rsidRDefault="00B11E04" w:rsidP="00396944">
            <w:pPr>
              <w:pStyle w:val="Normal6"/>
            </w:pPr>
            <w:r w:rsidRPr="00E90E1A">
              <w:rPr>
                <w:b/>
                <w:i/>
              </w:rPr>
              <w:t>„Pregled“</w:t>
            </w:r>
          </w:p>
        </w:tc>
        <w:tc>
          <w:tcPr>
            <w:tcW w:w="4876" w:type="dxa"/>
          </w:tcPr>
          <w:p w:rsidR="00B11E04" w:rsidRPr="00E90E1A" w:rsidRDefault="00B11E04" w:rsidP="00396944">
            <w:pPr>
              <w:pStyle w:val="Normal6"/>
              <w:rPr>
                <w:szCs w:val="24"/>
              </w:rPr>
            </w:pPr>
            <w:r w:rsidRPr="00E90E1A">
              <w:rPr>
                <w:b/>
                <w:i/>
              </w:rPr>
              <w:t>„Poročanje in pregled“</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23</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2 – odstavek 1 – točka 2 – točka a</w:t>
      </w:r>
    </w:p>
    <w:p w:rsidR="00B11E04" w:rsidRPr="00E90E1A" w:rsidRDefault="00B11E04" w:rsidP="00B11E04">
      <w:pPr>
        <w:keepNext/>
      </w:pPr>
      <w:r w:rsidRPr="00E90E1A">
        <w:t>Direktiva 2006/66/ES</w:t>
      </w:r>
    </w:p>
    <w:p w:rsidR="00B11E04" w:rsidRPr="00E90E1A" w:rsidRDefault="00B11E04" w:rsidP="00B11E04">
      <w:r w:rsidRPr="00E90E1A">
        <w:t>Člen 23 – odstavek 1</w:t>
      </w:r>
    </w:p>
    <w:p w:rsidR="00B11E04" w:rsidRPr="00E90E1A" w:rsidRDefault="00B11E04" w:rsidP="00B11E0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rPr>
                <w:szCs w:val="24"/>
              </w:rPr>
            </w:pPr>
            <w:r w:rsidRPr="00E90E1A">
              <w:t>1.</w:t>
            </w:r>
            <w:r w:rsidRPr="00E90E1A">
              <w:tab/>
              <w:t>Komisija najpozneje do konca leta 2016 pripravi poročilo o izvajanju te direktive ter njenem vplivu na okolje in delovanje notranjega trga.</w:t>
            </w:r>
          </w:p>
        </w:tc>
        <w:tc>
          <w:tcPr>
            <w:tcW w:w="4876" w:type="dxa"/>
          </w:tcPr>
          <w:p w:rsidR="00B11E04" w:rsidRPr="00E90E1A" w:rsidRDefault="00B11E04" w:rsidP="00396944">
            <w:pPr>
              <w:pStyle w:val="Normal6"/>
              <w:rPr>
                <w:szCs w:val="24"/>
              </w:rPr>
            </w:pPr>
            <w:r w:rsidRPr="00E90E1A">
              <w:t>1.</w:t>
            </w:r>
            <w:r w:rsidRPr="00E90E1A">
              <w:tab/>
              <w:t xml:space="preserve">Komisija najpozneje do konca leta 2016 </w:t>
            </w:r>
            <w:r w:rsidRPr="00E90E1A">
              <w:rPr>
                <w:b/>
                <w:i/>
              </w:rPr>
              <w:t xml:space="preserve">in zatem vsaka tri leta </w:t>
            </w:r>
            <w:r w:rsidRPr="00E90E1A">
              <w:t>pripravi poročilo o izvajanju te direktive ter njenem vplivu na okolje in delovanje notranjega trga.</w:t>
            </w:r>
          </w:p>
        </w:tc>
      </w:tr>
    </w:tbl>
    <w:p w:rsidR="00B11E04" w:rsidRPr="00E90E1A" w:rsidRDefault="00B11E04" w:rsidP="00B11E04">
      <w:pPr>
        <w:pStyle w:val="AMNumberTabs"/>
      </w:pPr>
    </w:p>
    <w:p w:rsidR="00B11E04" w:rsidRPr="00E90E1A" w:rsidRDefault="00B11E04" w:rsidP="00B11E04">
      <w:pPr>
        <w:pStyle w:val="AMNumberTabs"/>
        <w:keepNext/>
      </w:pPr>
      <w:r w:rsidRPr="00E90E1A">
        <w:lastRenderedPageBreak/>
        <w:t>Predlog spremembe</w:t>
      </w:r>
      <w:r w:rsidRPr="00E90E1A">
        <w:tab/>
      </w:r>
      <w:r w:rsidRPr="00E90E1A">
        <w:tab/>
        <w:t>24</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2 – odstavek 1 – točka 2 – točka b a (novo)</w:t>
      </w:r>
    </w:p>
    <w:p w:rsidR="00B11E04" w:rsidRPr="00E90E1A" w:rsidRDefault="00B11E04" w:rsidP="00B11E04">
      <w:pPr>
        <w:keepNext/>
      </w:pPr>
      <w:r w:rsidRPr="00E90E1A">
        <w:t>Direktiva 2006/66/ES</w:t>
      </w:r>
    </w:p>
    <w:p w:rsidR="00B11E04" w:rsidRPr="00E90E1A" w:rsidRDefault="00B11E04" w:rsidP="00B11E04">
      <w:r w:rsidRPr="00E90E1A">
        <w:t>Člen 23 – odstavek 3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b/>
                <w:i/>
                <w:szCs w:val="24"/>
              </w:rPr>
            </w:pPr>
            <w:r w:rsidRPr="00E90E1A">
              <w:rPr>
                <w:b/>
                <w:i/>
              </w:rPr>
              <w:t>(ba)</w:t>
            </w:r>
            <w:r w:rsidRPr="00E90E1A">
              <w:tab/>
            </w:r>
            <w:r w:rsidRPr="00E90E1A">
              <w:rPr>
                <w:b/>
                <w:i/>
              </w:rPr>
              <w:t>Doda se naslednji odstavek:</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b/>
                <w:i/>
                <w:szCs w:val="24"/>
              </w:rPr>
            </w:pPr>
            <w:r w:rsidRPr="00E90E1A">
              <w:rPr>
                <w:b/>
                <w:i/>
              </w:rPr>
              <w:t>„3a.</w:t>
            </w:r>
            <w:r w:rsidRPr="00E90E1A">
              <w:tab/>
            </w:r>
            <w:r w:rsidRPr="00E90E1A">
              <w:rPr>
                <w:b/>
                <w:i/>
              </w:rPr>
              <w:t>Komisija do 31. decembra 2018 v okviru akcijskega načrta za krožno gospodarstvo, glede na zavezo Unije o prehodu na krožno gospodarstvo in na osnovi ocene učinka v celoti pregleda to direktivo in zlasti njeno področje uporabe ter cilje. V pregledu upošteva cilje in pobude Unije v okviru politike krožnega gospodarstva in tehnični razvoj novih tipov baterij, ki ne uporabljajo nevarnih snovi, zlasti ne težkih kovin ter drugih kovin in kovinskih ionov. Komisija preuči tudi možnost določitve ciljev za posamezne vire, zlasti za kritične surovine. Pregledu se po potrebi priloži zakonodajni predlog.</w:t>
            </w:r>
            <w:r w:rsidR="00BA5E29" w:rsidRPr="00E90E1A">
              <w:rPr>
                <w:b/>
                <w:i/>
              </w:rPr>
              <w:t>“</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25</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2 – odstavek 1 – točka 2 a (novo)</w:t>
      </w:r>
    </w:p>
    <w:p w:rsidR="00B11E04" w:rsidRPr="00E90E1A" w:rsidRDefault="00B11E04" w:rsidP="00B11E04">
      <w:pPr>
        <w:keepNext/>
      </w:pPr>
      <w:r w:rsidRPr="00E90E1A">
        <w:t>Direktiva 2006/66/ES</w:t>
      </w:r>
    </w:p>
    <w:p w:rsidR="00B11E04" w:rsidRPr="00E90E1A" w:rsidRDefault="00B11E04" w:rsidP="00B11E04">
      <w:r w:rsidRPr="00E90E1A">
        <w:t>Člen 23 aa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(2a)</w:t>
            </w:r>
            <w:r w:rsidRPr="00E90E1A">
              <w:tab/>
            </w:r>
            <w:r w:rsidRPr="00E90E1A">
              <w:rPr>
                <w:b/>
                <w:i/>
              </w:rPr>
              <w:t>Vstavi se naslednji člen:</w:t>
            </w:r>
          </w:p>
        </w:tc>
      </w:tr>
      <w:tr w:rsidR="00B11E04" w:rsidRPr="00E90E1A" w:rsidTr="00396944">
        <w:trPr>
          <w:jc w:val="center"/>
        </w:trPr>
        <w:tc>
          <w:tcPr>
            <w:tcW w:w="4876" w:type="dxa"/>
          </w:tcPr>
          <w:p w:rsidR="00B11E04" w:rsidRPr="00E90E1A" w:rsidRDefault="00B11E04" w:rsidP="00396944">
            <w:pPr>
              <w:pStyle w:val="Normal6"/>
              <w:rPr>
                <w:b/>
                <w:bCs/>
                <w:i/>
                <w:iCs/>
              </w:rPr>
            </w:pPr>
          </w:p>
        </w:tc>
        <w:tc>
          <w:tcPr>
            <w:tcW w:w="4876" w:type="dxa"/>
          </w:tcPr>
          <w:p w:rsidR="00B11E04" w:rsidRPr="00E90E1A" w:rsidRDefault="00B11E04" w:rsidP="00396944">
            <w:pPr>
              <w:pStyle w:val="Normal6"/>
              <w:rPr>
                <w:b/>
                <w:bCs/>
                <w:i/>
                <w:iCs/>
                <w:szCs w:val="24"/>
              </w:rPr>
            </w:pPr>
            <w:r w:rsidRPr="00E90E1A">
              <w:rPr>
                <w:b/>
                <w:i/>
              </w:rPr>
              <w:t>„Člen 23aa</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Instrumenti za spodbujanje prehoda na bolj krožno gospodarstvo</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 xml:space="preserve">Da bi prispevale k ciljem, določenim v tej direktivi, države članice uporabijo ustrezne ekonomske instrumente in druge ukrepe za spodbujanje izvajanja hierarhije ravnanja z odpadki. Ti instrumenti in ukrepi lahko zajemajo tiste </w:t>
            </w:r>
            <w:r w:rsidRPr="00E90E1A">
              <w:rPr>
                <w:b/>
                <w:i/>
              </w:rPr>
              <w:lastRenderedPageBreak/>
              <w:t>iz Priloge IVa k Direktivi 2008/98/ES.“</w:t>
            </w:r>
          </w:p>
        </w:tc>
      </w:tr>
    </w:tbl>
    <w:p w:rsidR="00B11E04" w:rsidRPr="00E90E1A" w:rsidRDefault="00B11E04" w:rsidP="00B11E04">
      <w:pPr>
        <w:pStyle w:val="AMNumberTabs"/>
      </w:pPr>
    </w:p>
    <w:p w:rsidR="00B11E04" w:rsidRPr="00E90E1A" w:rsidRDefault="00B11E04" w:rsidP="00B11E04">
      <w:r w:rsidRPr="00E90E1A">
        <w:rPr>
          <w:b/>
        </w:rPr>
        <w:t>Predlog spremembe</w:t>
      </w:r>
      <w:r w:rsidRPr="00E90E1A">
        <w:rPr>
          <w:b/>
        </w:rPr>
        <w:tab/>
        <w:t>26</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(novo)</w:t>
      </w:r>
    </w:p>
    <w:p w:rsidR="00B11E04" w:rsidRPr="00E90E1A" w:rsidRDefault="00B11E04" w:rsidP="00B11E04">
      <w:pPr>
        <w:keepNext/>
      </w:pPr>
      <w:r w:rsidRPr="00E90E1A">
        <w:t>Direktiva 2012/19/EU</w:t>
      </w:r>
    </w:p>
    <w:p w:rsidR="00B11E04" w:rsidRPr="00E90E1A" w:rsidRDefault="00B11E04" w:rsidP="00B11E04">
      <w:r w:rsidRPr="00E90E1A">
        <w:t>Člen 8 – odstavek 5 – pododstavek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blPrEx>
          <w:tblLook w:val="04A0" w:firstRow="1" w:lastRow="0" w:firstColumn="1" w:lastColumn="0" w:noHBand="0" w:noVBand="1"/>
        </w:tblPrEx>
        <w:trPr>
          <w:jc w:val="center"/>
        </w:trPr>
        <w:tc>
          <w:tcPr>
            <w:tcW w:w="4876" w:type="dxa"/>
            <w:hideMark/>
          </w:tcPr>
          <w:p w:rsidR="00B11E04" w:rsidRPr="00E90E1A" w:rsidRDefault="00B11E04" w:rsidP="00396944">
            <w:pPr>
              <w:pStyle w:val="ColumnHeading"/>
              <w:keepNext/>
            </w:pPr>
            <w:r w:rsidRPr="00E90E1A">
              <w:t>Veljavno besedilo</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blPrEx>
          <w:tblLook w:val="04A0" w:firstRow="1" w:lastRow="0" w:firstColumn="1" w:lastColumn="0" w:noHBand="0" w:noVBand="1"/>
        </w:tblPrEx>
        <w:trPr>
          <w:jc w:val="center"/>
        </w:trPr>
        <w:tc>
          <w:tcPr>
            <w:tcW w:w="4876" w:type="dxa"/>
          </w:tcPr>
          <w:p w:rsidR="00B11E04" w:rsidRPr="00E90E1A" w:rsidRDefault="00B11E04" w:rsidP="00396944">
            <w:pPr>
              <w:pStyle w:val="Normal6"/>
            </w:pPr>
          </w:p>
        </w:tc>
        <w:tc>
          <w:tcPr>
            <w:tcW w:w="4876" w:type="dxa"/>
            <w:hideMark/>
          </w:tcPr>
          <w:p w:rsidR="00B11E04" w:rsidRPr="00E90E1A" w:rsidRDefault="00B11E04" w:rsidP="00396944">
            <w:pPr>
              <w:pStyle w:val="Normal6"/>
              <w:rPr>
                <w:szCs w:val="24"/>
              </w:rPr>
            </w:pPr>
            <w:r w:rsidRPr="00E90E1A">
              <w:rPr>
                <w:b/>
                <w:i/>
              </w:rPr>
              <w:t>(-1)</w:t>
            </w:r>
            <w:r w:rsidRPr="00E90E1A">
              <w:tab/>
            </w:r>
            <w:r w:rsidRPr="00E90E1A">
              <w:rPr>
                <w:b/>
                <w:i/>
              </w:rPr>
              <w:t>V členu 8(5) se prvi pododstavek nadomesti z naslednjim:</w:t>
            </w:r>
          </w:p>
        </w:tc>
      </w:tr>
      <w:tr w:rsidR="00B11E04" w:rsidRPr="00E90E1A" w:rsidTr="00396944">
        <w:tblPrEx>
          <w:tblLook w:val="04A0" w:firstRow="1" w:lastRow="0" w:firstColumn="1" w:lastColumn="0" w:noHBand="0" w:noVBand="1"/>
        </w:tblPrEx>
        <w:trPr>
          <w:jc w:val="center"/>
        </w:trPr>
        <w:tc>
          <w:tcPr>
            <w:tcW w:w="4876" w:type="dxa"/>
          </w:tcPr>
          <w:p w:rsidR="00B11E04" w:rsidRPr="00E90E1A" w:rsidRDefault="00B11E04" w:rsidP="00396944">
            <w:pPr>
              <w:pStyle w:val="Normal6"/>
            </w:pPr>
            <w:r w:rsidRPr="00E90E1A">
              <w:t xml:space="preserve">„Za varstvo okolja </w:t>
            </w:r>
            <w:r w:rsidRPr="00E90E1A">
              <w:rPr>
                <w:b/>
                <w:i/>
              </w:rPr>
              <w:t xml:space="preserve">lahko </w:t>
            </w:r>
            <w:r w:rsidRPr="00E90E1A">
              <w:t xml:space="preserve">države članice postavijo minimalne standarde kakovosti za obdelavo </w:t>
            </w:r>
            <w:r w:rsidRPr="00E90E1A">
              <w:rPr>
                <w:b/>
                <w:i/>
              </w:rPr>
              <w:t>OEEO, ki je bila zbrana</w:t>
            </w:r>
            <w:r w:rsidRPr="00E90E1A">
              <w:t>.“</w:t>
            </w:r>
          </w:p>
        </w:tc>
        <w:tc>
          <w:tcPr>
            <w:tcW w:w="4876" w:type="dxa"/>
          </w:tcPr>
          <w:p w:rsidR="00B11E04" w:rsidRPr="00E90E1A" w:rsidRDefault="00B11E04" w:rsidP="00396944">
            <w:pPr>
              <w:pStyle w:val="Normal6"/>
              <w:rPr>
                <w:szCs w:val="24"/>
              </w:rPr>
            </w:pPr>
            <w:r w:rsidRPr="00E90E1A">
              <w:t xml:space="preserve">„Za varstvo okolja države članice postavijo minimalne standarde kakovosti za obdelavo </w:t>
            </w:r>
            <w:r w:rsidRPr="00E90E1A">
              <w:rPr>
                <w:b/>
                <w:i/>
              </w:rPr>
              <w:t>zbrane OEEO</w:t>
            </w:r>
            <w:r w:rsidRPr="00E90E1A">
              <w:t>.“</w:t>
            </w:r>
          </w:p>
        </w:tc>
      </w:tr>
    </w:tbl>
    <w:p w:rsidR="00B11E04" w:rsidRPr="00E90E1A" w:rsidRDefault="00B11E04" w:rsidP="00B11E04">
      <w:pPr>
        <w:pStyle w:val="AMNumberTabs"/>
        <w:keepNext/>
      </w:pPr>
      <w:r w:rsidRPr="00E90E1A">
        <w:t>Predlog spremembe</w:t>
      </w:r>
      <w:r w:rsidRPr="00E90E1A">
        <w:tab/>
      </w:r>
      <w:r w:rsidRPr="00E90E1A">
        <w:tab/>
        <w:t>27</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a (novo)</w:t>
      </w:r>
    </w:p>
    <w:p w:rsidR="00B11E04" w:rsidRPr="00E90E1A" w:rsidRDefault="00B11E04" w:rsidP="00B11E04">
      <w:pPr>
        <w:keepNext/>
      </w:pPr>
      <w:r w:rsidRPr="00E90E1A">
        <w:t>Direktiva 2012/19/EU</w:t>
      </w:r>
    </w:p>
    <w:p w:rsidR="00B11E04" w:rsidRPr="00E90E1A" w:rsidRDefault="00B11E04" w:rsidP="00B11E04">
      <w:r w:rsidRPr="00E90E1A">
        <w:t>Člen 8 – odstavek 5 – pododstavek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hideMark/>
          </w:tcPr>
          <w:p w:rsidR="00B11E04" w:rsidRPr="00E90E1A" w:rsidRDefault="00B11E04" w:rsidP="00396944">
            <w:pPr>
              <w:pStyle w:val="ColumnHeading"/>
              <w:keepNext/>
            </w:pPr>
            <w:r w:rsidRPr="00E90E1A">
              <w:t>Veljavno besedilo</w:t>
            </w:r>
          </w:p>
        </w:tc>
        <w:tc>
          <w:tcPr>
            <w:tcW w:w="4876" w:type="dxa"/>
            <w:hideMark/>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 xml:space="preserve">(-1a) </w:t>
            </w:r>
            <w:r w:rsidRPr="00E90E1A">
              <w:tab/>
            </w:r>
            <w:r w:rsidRPr="00E90E1A">
              <w:rPr>
                <w:b/>
                <w:i/>
              </w:rPr>
              <w:t>V členu 8(5) se četrti pododstavek nadomesti z naslednjim:</w:t>
            </w:r>
          </w:p>
        </w:tc>
      </w:tr>
      <w:tr w:rsidR="00B11E04" w:rsidRPr="00E90E1A" w:rsidTr="00396944">
        <w:trPr>
          <w:jc w:val="center"/>
        </w:trPr>
        <w:tc>
          <w:tcPr>
            <w:tcW w:w="4876" w:type="dxa"/>
          </w:tcPr>
          <w:p w:rsidR="00B11E04" w:rsidRPr="00E90E1A" w:rsidRDefault="00B11E04" w:rsidP="00396944">
            <w:pPr>
              <w:pStyle w:val="Normal6"/>
            </w:pPr>
            <w:r w:rsidRPr="00E90E1A">
              <w:t>„Da se zagotovijo enotni pogoji za izvajanje tega člena</w:t>
            </w:r>
            <w:r w:rsidRPr="00E90E1A">
              <w:rPr>
                <w:b/>
                <w:i/>
              </w:rPr>
              <w:t>, lahko</w:t>
            </w:r>
            <w:r w:rsidRPr="00E90E1A">
              <w:t xml:space="preserve"> Komisija sprejme izvedbene akte, s katerimi določi minimalne standarde kakovosti</w:t>
            </w:r>
            <w:r w:rsidRPr="00E90E1A">
              <w:rPr>
                <w:b/>
                <w:i/>
              </w:rPr>
              <w:t>, temelječe zlasti na standardih, ki jih razvijejo evropske organizacije za standardizacijo</w:t>
            </w:r>
            <w:r w:rsidRPr="00E90E1A">
              <w:t>. Ti izvedbeni akti se sprejmejo v skladu s postopkom pregleda iz člena 21(2).“</w:t>
            </w:r>
          </w:p>
        </w:tc>
        <w:tc>
          <w:tcPr>
            <w:tcW w:w="4876" w:type="dxa"/>
          </w:tcPr>
          <w:p w:rsidR="00B11E04" w:rsidRPr="00E90E1A" w:rsidRDefault="00B11E04" w:rsidP="00396944">
            <w:pPr>
              <w:pStyle w:val="Normal6"/>
              <w:rPr>
                <w:szCs w:val="24"/>
              </w:rPr>
            </w:pPr>
            <w:r w:rsidRPr="00E90E1A">
              <w:t>„Da se zagotovijo enotni pogoji za izvajanje tega člena</w:t>
            </w:r>
            <w:r w:rsidRPr="00E90E1A">
              <w:rPr>
                <w:b/>
                <w:i/>
              </w:rPr>
              <w:t xml:space="preserve"> in v skladu z mandatom v Direktivi 2012/19/EU,</w:t>
            </w:r>
            <w:r w:rsidRPr="00E90E1A">
              <w:t xml:space="preserve"> Komisija sprejme izvedbene akte, s katerimi določi minimalne standarde kakovosti. Ti izvedbeni akti se sprejmejo v skladu s postopkom pregleda iz člena 21(2).“</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28</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 točka b</w:t>
      </w:r>
    </w:p>
    <w:p w:rsidR="00B11E04" w:rsidRPr="00E90E1A" w:rsidRDefault="00B11E04" w:rsidP="00B11E04">
      <w:pPr>
        <w:keepNext/>
      </w:pPr>
      <w:r w:rsidRPr="00E90E1A">
        <w:t>Direktiva 2012/19/EU</w:t>
      </w:r>
    </w:p>
    <w:p w:rsidR="00B11E04" w:rsidRPr="00E90E1A" w:rsidRDefault="00B11E04" w:rsidP="00B11E04">
      <w:r w:rsidRPr="00E90E1A">
        <w:t>Člen 16 – odstavek 5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rPr>
                <w:szCs w:val="24"/>
              </w:rPr>
            </w:pPr>
            <w:r w:rsidRPr="00E90E1A">
              <w:t>5a.</w:t>
            </w:r>
            <w:r w:rsidRPr="00E90E1A">
              <w:tab/>
              <w:t xml:space="preserve">Države članice podatke v zvezi z izvajanjem člena 16(4) Komisiji sporočijo za vsako koledarsko leto. </w:t>
            </w:r>
            <w:r w:rsidRPr="00E90E1A">
              <w:rPr>
                <w:b/>
                <w:i/>
              </w:rPr>
              <w:t>Te podatke</w:t>
            </w:r>
            <w:r w:rsidRPr="00E90E1A">
              <w:t xml:space="preserve"> sporočijo v elektronski obliki v </w:t>
            </w:r>
            <w:r w:rsidRPr="00E90E1A">
              <w:rPr>
                <w:b/>
                <w:i/>
              </w:rPr>
              <w:t>18</w:t>
            </w:r>
            <w:r w:rsidRPr="00E90E1A">
              <w:t xml:space="preserve"> mesecih po izteku leta poročanja, na katerega se nanašajo zbrani podatki. Podatki se sporočijo v obliki, ki jo določi Komisija v skladu z odstavkom 5d. </w:t>
            </w:r>
            <w:r w:rsidRPr="00E90E1A">
              <w:rPr>
                <w:b/>
                <w:i/>
              </w:rPr>
              <w:t>Prvo poročilo zajema podatke za obdobje od 1. januarja [vstaviti leto prenosa te direktive + 1 leto] do 31. decembra [vstaviti leto prenosa te direktive + 1 leto].</w:t>
            </w:r>
          </w:p>
        </w:tc>
        <w:tc>
          <w:tcPr>
            <w:tcW w:w="4876" w:type="dxa"/>
          </w:tcPr>
          <w:p w:rsidR="00B11E04" w:rsidRPr="00E90E1A" w:rsidRDefault="00B11E04" w:rsidP="00396944">
            <w:pPr>
              <w:pStyle w:val="Normal6"/>
              <w:rPr>
                <w:szCs w:val="24"/>
              </w:rPr>
            </w:pPr>
            <w:r w:rsidRPr="00E90E1A">
              <w:t>5a.</w:t>
            </w:r>
            <w:r w:rsidRPr="00E90E1A">
              <w:tab/>
              <w:t xml:space="preserve">Države članice podatke v zvezi z izvajanjem člena 16(4) Komisiji sporočijo za vsako koledarsko leto. </w:t>
            </w:r>
            <w:r w:rsidRPr="00E90E1A">
              <w:rPr>
                <w:b/>
                <w:i/>
              </w:rPr>
              <w:t>Podatke zberejo in obdelajo v skladu s skupno metodologijo iz odstavka 6 tega člena ter jih</w:t>
            </w:r>
            <w:r w:rsidRPr="00E90E1A">
              <w:t xml:space="preserve"> sporočijo v elektronski obliki v </w:t>
            </w:r>
            <w:r w:rsidRPr="00E90E1A">
              <w:rPr>
                <w:b/>
                <w:i/>
              </w:rPr>
              <w:t>12</w:t>
            </w:r>
            <w:r w:rsidRPr="00E90E1A">
              <w:t xml:space="preserve"> mesecih po izteku leta poročanja, na katerega se nanašajo zbrani podatki. </w:t>
            </w:r>
            <w:r w:rsidRPr="00E90E1A">
              <w:rPr>
                <w:b/>
                <w:i/>
              </w:rPr>
              <w:t>Države članice zagotovijo poročanje o podatkih vseh akterjev, ki zbirajo ali obdelujejo OEEO.</w:t>
            </w:r>
            <w:r w:rsidRPr="00E90E1A">
              <w:t xml:space="preserve"> Podatki se sporočijo v obliki, ki jo določi Komisija v skladu z odstavkom 5d.</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29</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 točka b</w:t>
      </w:r>
    </w:p>
    <w:p w:rsidR="00B11E04" w:rsidRPr="00E90E1A" w:rsidRDefault="00B11E04" w:rsidP="00B11E04">
      <w:pPr>
        <w:keepNext/>
      </w:pPr>
      <w:r w:rsidRPr="00E90E1A">
        <w:t>Direktiva 2012/19/EU</w:t>
      </w:r>
    </w:p>
    <w:p w:rsidR="00B11E04" w:rsidRPr="00E90E1A" w:rsidRDefault="00B11E04" w:rsidP="00B11E04">
      <w:r w:rsidRPr="00E90E1A">
        <w:t>Člen 16 – odstavek 5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rPr>
                <w:szCs w:val="24"/>
              </w:rPr>
            </w:pPr>
            <w:r w:rsidRPr="00E90E1A">
              <w:t>5c.</w:t>
            </w:r>
            <w:r w:rsidRPr="00E90E1A">
              <w:tab/>
              <w:t>Komisija pregleda podatke, sporočene v skladu s tem členom, in objavi poročilo o rezultatih tega pregleda. Poročilo zajema oceno organizacije zbiranja podatkov, virov podatkov in uporabljene metodologije v državah članicah</w:t>
            </w:r>
            <w:r w:rsidRPr="00E90E1A">
              <w:rPr>
                <w:b/>
                <w:i/>
              </w:rPr>
              <w:t xml:space="preserve"> ter popolnosti</w:t>
            </w:r>
            <w:r w:rsidRPr="00E90E1A">
              <w:t xml:space="preserve">, </w:t>
            </w:r>
            <w:r w:rsidRPr="00E90E1A">
              <w:rPr>
                <w:b/>
                <w:i/>
              </w:rPr>
              <w:t>zanesljivosti</w:t>
            </w:r>
            <w:r w:rsidRPr="00E90E1A">
              <w:t xml:space="preserve">, </w:t>
            </w:r>
            <w:r w:rsidRPr="00E90E1A">
              <w:rPr>
                <w:b/>
                <w:i/>
              </w:rPr>
              <w:t>pravočasnosti</w:t>
            </w:r>
            <w:r w:rsidRPr="00E90E1A">
              <w:t xml:space="preserve"> sporočanja in </w:t>
            </w:r>
            <w:r w:rsidRPr="00E90E1A">
              <w:rPr>
                <w:b/>
                <w:i/>
              </w:rPr>
              <w:t>doslednosti</w:t>
            </w:r>
            <w:r w:rsidRPr="00E90E1A">
              <w:t xml:space="preserve"> teh podatkov. Ocena lahko vključuje posebna priporočila za izboljšave. Poročilo se pripravi vsaka tri leta.</w:t>
            </w:r>
          </w:p>
        </w:tc>
        <w:tc>
          <w:tcPr>
            <w:tcW w:w="4876" w:type="dxa"/>
          </w:tcPr>
          <w:p w:rsidR="00B11E04" w:rsidRPr="00E90E1A" w:rsidRDefault="00B11E04" w:rsidP="00396944">
            <w:pPr>
              <w:pStyle w:val="Normal6"/>
              <w:rPr>
                <w:szCs w:val="24"/>
              </w:rPr>
            </w:pPr>
            <w:r w:rsidRPr="00E90E1A">
              <w:t>5c.</w:t>
            </w:r>
            <w:r w:rsidRPr="00E90E1A">
              <w:tab/>
              <w:t xml:space="preserve">Komisija pregleda podatke, sporočene v skladu s tem členom, in objavi poročilo o rezultatih tega pregleda. </w:t>
            </w:r>
            <w:r w:rsidRPr="00E90E1A">
              <w:rPr>
                <w:b/>
                <w:i/>
              </w:rPr>
              <w:t xml:space="preserve">Do vzpostavitve skupne metodologije zbiranja in obdelave podatkov iz odstavka 5d </w:t>
            </w:r>
            <w:r w:rsidRPr="00E90E1A">
              <w:t>poročilo zajema oceno organizacije zbiranja podatkov, virov podatkov in uporabljene metodologije v državah članicah</w:t>
            </w:r>
            <w:r w:rsidRPr="00E90E1A">
              <w:rPr>
                <w:b/>
                <w:i/>
              </w:rPr>
              <w:t>.</w:t>
            </w:r>
            <w:r w:rsidRPr="00E90E1A">
              <w:t xml:space="preserve"> </w:t>
            </w:r>
            <w:r w:rsidRPr="00E90E1A">
              <w:rPr>
                <w:b/>
                <w:i/>
              </w:rPr>
              <w:t>Komisija oceni tudi popolnost</w:t>
            </w:r>
            <w:r w:rsidRPr="00E90E1A">
              <w:t xml:space="preserve">, </w:t>
            </w:r>
            <w:r w:rsidRPr="00E90E1A">
              <w:rPr>
                <w:b/>
                <w:i/>
              </w:rPr>
              <w:t>zanesljivost</w:t>
            </w:r>
            <w:r w:rsidRPr="00E90E1A">
              <w:t xml:space="preserve">, </w:t>
            </w:r>
            <w:r w:rsidRPr="00E90E1A">
              <w:rPr>
                <w:b/>
                <w:i/>
              </w:rPr>
              <w:t>pravočasnost</w:t>
            </w:r>
            <w:r w:rsidRPr="00E90E1A">
              <w:t xml:space="preserve"> sporočanja in </w:t>
            </w:r>
            <w:r w:rsidRPr="00E90E1A">
              <w:rPr>
                <w:b/>
                <w:i/>
              </w:rPr>
              <w:t>doslednost</w:t>
            </w:r>
            <w:r w:rsidRPr="00E90E1A">
              <w:t xml:space="preserve"> teh podatkov. Ocena lahko vključuje posebna priporočila za izboljšave. Poročilo se pripravi vsaka tri leta.</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30</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 točka b</w:t>
      </w:r>
    </w:p>
    <w:p w:rsidR="00B11E04" w:rsidRPr="00E90E1A" w:rsidRDefault="00B11E04" w:rsidP="00B11E04">
      <w:pPr>
        <w:keepNext/>
      </w:pPr>
      <w:r w:rsidRPr="00E90E1A">
        <w:lastRenderedPageBreak/>
        <w:t>Direktiva 2012/19/EU</w:t>
      </w:r>
    </w:p>
    <w:p w:rsidR="00B11E04" w:rsidRPr="00E90E1A" w:rsidRDefault="00B11E04" w:rsidP="00B11E04">
      <w:r w:rsidRPr="00E90E1A">
        <w:t>Člen 16 – odstavek 5 ca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5ca.</w:t>
            </w:r>
            <w:r w:rsidRPr="00E90E1A">
              <w:tab/>
            </w:r>
            <w:r w:rsidRPr="00E90E1A">
              <w:rPr>
                <w:b/>
                <w:i/>
              </w:rPr>
              <w:t>Komisija v poročilo vključi informacije o izvajanju direktive kot celote in o njenem vplivu na okolje in zdravje ljudi. Poročilu se po potrebi priloži zakonodajni predlog za spremembo te direktive.</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31</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 točka b</w:t>
      </w:r>
    </w:p>
    <w:p w:rsidR="00B11E04" w:rsidRPr="00E90E1A" w:rsidRDefault="00B11E04" w:rsidP="00B11E04">
      <w:pPr>
        <w:keepNext/>
      </w:pPr>
      <w:r w:rsidRPr="00E90E1A">
        <w:t>Direktiva 2012/19/EU</w:t>
      </w:r>
    </w:p>
    <w:p w:rsidR="00B11E04" w:rsidRPr="00E90E1A" w:rsidRDefault="00B11E04" w:rsidP="00B11E04">
      <w:r w:rsidRPr="00E90E1A">
        <w:t>Člen 16 – odstavek 5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rPr>
                <w:szCs w:val="24"/>
              </w:rPr>
            </w:pPr>
            <w:r w:rsidRPr="00E90E1A">
              <w:t>5d.</w:t>
            </w:r>
            <w:r w:rsidRPr="00E90E1A">
              <w:tab/>
              <w:t xml:space="preserve">Komisija sprejme </w:t>
            </w:r>
            <w:r w:rsidRPr="00E90E1A">
              <w:rPr>
                <w:b/>
                <w:i/>
              </w:rPr>
              <w:t>izvedbene</w:t>
            </w:r>
            <w:r w:rsidRPr="00E90E1A">
              <w:t xml:space="preserve"> akte, s katerimi določi obliko za podatke, ki se sporočijo v skladu z odstavkom 5a. </w:t>
            </w:r>
            <w:r w:rsidRPr="00E90E1A">
              <w:rPr>
                <w:b/>
                <w:i/>
              </w:rPr>
              <w:t>Navedeni izvedbeni</w:t>
            </w:r>
            <w:r w:rsidRPr="00E90E1A">
              <w:t xml:space="preserve"> akti se sprejmejo v skladu s postopkom iz člena</w:t>
            </w:r>
            <w:r w:rsidRPr="00E90E1A">
              <w:rPr>
                <w:b/>
                <w:i/>
              </w:rPr>
              <w:t xml:space="preserve"> 21(2).“</w:t>
            </w:r>
            <w:r w:rsidRPr="00E90E1A">
              <w:t>.</w:t>
            </w:r>
          </w:p>
        </w:tc>
        <w:tc>
          <w:tcPr>
            <w:tcW w:w="4876" w:type="dxa"/>
          </w:tcPr>
          <w:p w:rsidR="00B11E04" w:rsidRPr="00E90E1A" w:rsidRDefault="00B11E04" w:rsidP="009E4AE9">
            <w:pPr>
              <w:pStyle w:val="Normal6"/>
              <w:rPr>
                <w:szCs w:val="24"/>
              </w:rPr>
            </w:pPr>
            <w:r w:rsidRPr="00E90E1A">
              <w:t>5d.</w:t>
            </w:r>
            <w:r w:rsidRPr="00E90E1A">
              <w:tab/>
              <w:t xml:space="preserve">Komisija sprejme </w:t>
            </w:r>
            <w:r w:rsidRPr="00E90E1A">
              <w:rPr>
                <w:b/>
                <w:i/>
              </w:rPr>
              <w:t>delegirane</w:t>
            </w:r>
            <w:r w:rsidRPr="00E90E1A">
              <w:t xml:space="preserve"> akte</w:t>
            </w:r>
            <w:r w:rsidR="009E4AE9" w:rsidRPr="00E90E1A">
              <w:t xml:space="preserve"> </w:t>
            </w:r>
            <w:r w:rsidR="009E4AE9" w:rsidRPr="00E90E1A">
              <w:rPr>
                <w:b/>
                <w:i/>
              </w:rPr>
              <w:t>za dopolnitev te direktive v skladu s členom 20</w:t>
            </w:r>
            <w:r w:rsidRPr="00E90E1A">
              <w:t xml:space="preserve">, s katerimi določi </w:t>
            </w:r>
            <w:r w:rsidRPr="00E90E1A">
              <w:rPr>
                <w:b/>
                <w:i/>
              </w:rPr>
              <w:t xml:space="preserve">skupno metodologijo za zbiranje in obdelavo podatkov ter </w:t>
            </w:r>
            <w:r w:rsidRPr="00E90E1A">
              <w:t xml:space="preserve">obliko za podatke, ki se sporočijo v skladu z odstavkom 5a. </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32</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 točka b</w:t>
      </w:r>
    </w:p>
    <w:p w:rsidR="00B11E04" w:rsidRPr="00E90E1A" w:rsidRDefault="00B11E04" w:rsidP="00B11E04">
      <w:pPr>
        <w:keepNext/>
      </w:pPr>
      <w:r w:rsidRPr="00E90E1A">
        <w:t>Direktiva 2012/19/EU</w:t>
      </w:r>
    </w:p>
    <w:p w:rsidR="00B11E04" w:rsidRPr="00E90E1A" w:rsidRDefault="00B11E04" w:rsidP="00B11E04">
      <w:r w:rsidRPr="00E90E1A">
        <w:t>Člen 16 – odstavek 5 da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5da.</w:t>
            </w:r>
            <w:r w:rsidRPr="00E90E1A">
              <w:tab/>
            </w:r>
            <w:r w:rsidRPr="00E90E1A">
              <w:rPr>
                <w:b/>
                <w:i/>
              </w:rPr>
              <w:t xml:space="preserve">Med pregledom iz odstavka 5c Komisija v okviru akcijskega načrta za krožno gospodarstvo in glede na zavezo Unije o prehodu na krožno gospodarstvo pregleda to direktivo kot celoto in zlasti njeno področje uporabe ter cilje na osnovi ocene učinka ter ob upoštevanju ciljev in pobud Unije v okviru politike krožnega gospodarstva. Komisija preuči možnost </w:t>
            </w:r>
            <w:r w:rsidRPr="00E90E1A">
              <w:rPr>
                <w:b/>
                <w:i/>
              </w:rPr>
              <w:lastRenderedPageBreak/>
              <w:t>določitve ciljev za posamezne vire, zlasti za kritične surovine. Pregledu se po potrebi priloži zakonodajni predlog.</w:t>
            </w:r>
          </w:p>
        </w:tc>
      </w:tr>
    </w:tbl>
    <w:p w:rsidR="00B11E04" w:rsidRPr="00E90E1A" w:rsidRDefault="00B11E04" w:rsidP="00B11E04">
      <w:pPr>
        <w:pStyle w:val="AMNumberTabs"/>
      </w:pPr>
    </w:p>
    <w:p w:rsidR="00B11E04" w:rsidRPr="00E90E1A" w:rsidRDefault="00B11E04" w:rsidP="00B11E04">
      <w:pPr>
        <w:pStyle w:val="AMNumberTabs"/>
        <w:keepNext/>
      </w:pPr>
      <w:r w:rsidRPr="00E90E1A">
        <w:t>Predlog spremembe</w:t>
      </w:r>
      <w:r w:rsidRPr="00E90E1A">
        <w:tab/>
      </w:r>
      <w:r w:rsidRPr="00E90E1A">
        <w:tab/>
        <w:t>33</w:t>
      </w:r>
    </w:p>
    <w:p w:rsidR="00B11E04" w:rsidRPr="00E90E1A" w:rsidRDefault="00B11E04" w:rsidP="00B11E04">
      <w:pPr>
        <w:pStyle w:val="NormalBold12b"/>
      </w:pPr>
      <w:r w:rsidRPr="00E90E1A">
        <w:t>Predlog direktive</w:t>
      </w:r>
    </w:p>
    <w:p w:rsidR="00B11E04" w:rsidRPr="00E90E1A" w:rsidRDefault="00B11E04" w:rsidP="00B11E04">
      <w:pPr>
        <w:pStyle w:val="NormalBold"/>
      </w:pPr>
      <w:r w:rsidRPr="00E90E1A">
        <w:t>Člen 3 – odstavek 1 – točka 1 a (novo)</w:t>
      </w:r>
    </w:p>
    <w:p w:rsidR="00B11E04" w:rsidRPr="00E90E1A" w:rsidRDefault="00B11E04" w:rsidP="00B11E04">
      <w:pPr>
        <w:keepNext/>
      </w:pPr>
      <w:r w:rsidRPr="00E90E1A">
        <w:t>Direktiva 2012/19/EU</w:t>
      </w:r>
    </w:p>
    <w:p w:rsidR="00B11E04" w:rsidRPr="00E90E1A" w:rsidRDefault="00B11E04" w:rsidP="00B11E04">
      <w:r w:rsidRPr="00E90E1A">
        <w:t>Člen 16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E04" w:rsidRPr="00E90E1A" w:rsidTr="00396944">
        <w:trPr>
          <w:jc w:val="center"/>
        </w:trPr>
        <w:tc>
          <w:tcPr>
            <w:tcW w:w="9752" w:type="dxa"/>
            <w:gridSpan w:val="2"/>
          </w:tcPr>
          <w:p w:rsidR="00B11E04" w:rsidRPr="00E90E1A" w:rsidRDefault="00B11E04" w:rsidP="00396944">
            <w:pPr>
              <w:keepNext/>
            </w:pPr>
          </w:p>
        </w:tc>
      </w:tr>
      <w:tr w:rsidR="00B11E04" w:rsidRPr="00E90E1A" w:rsidTr="00396944">
        <w:trPr>
          <w:jc w:val="center"/>
        </w:trPr>
        <w:tc>
          <w:tcPr>
            <w:tcW w:w="4876" w:type="dxa"/>
          </w:tcPr>
          <w:p w:rsidR="00B11E04" w:rsidRPr="00E90E1A" w:rsidRDefault="00B11E04" w:rsidP="00396944">
            <w:pPr>
              <w:pStyle w:val="ColumnHeading"/>
              <w:keepNext/>
            </w:pPr>
            <w:r w:rsidRPr="00E90E1A">
              <w:t>Besedilo, ki ga predlaga Komisija</w:t>
            </w:r>
          </w:p>
        </w:tc>
        <w:tc>
          <w:tcPr>
            <w:tcW w:w="4876" w:type="dxa"/>
          </w:tcPr>
          <w:p w:rsidR="00B11E04" w:rsidRPr="00E90E1A" w:rsidRDefault="00B11E04" w:rsidP="00396944">
            <w:pPr>
              <w:pStyle w:val="ColumnHeading"/>
              <w:keepNext/>
            </w:pPr>
            <w:r w:rsidRPr="00E90E1A">
              <w:t>Predlog spremembe</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b/>
                <w:i/>
                <w:szCs w:val="24"/>
              </w:rPr>
            </w:pPr>
            <w:r w:rsidRPr="00E90E1A">
              <w:rPr>
                <w:b/>
                <w:i/>
              </w:rPr>
              <w:t>(1a)</w:t>
            </w:r>
            <w:r w:rsidRPr="00E90E1A">
              <w:tab/>
            </w:r>
            <w:r w:rsidRPr="00E90E1A">
              <w:rPr>
                <w:b/>
                <w:i/>
              </w:rPr>
              <w:t>Vstavi se naslednji člen:</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b/>
                <w:i/>
                <w:szCs w:val="24"/>
              </w:rPr>
            </w:pPr>
            <w:r w:rsidRPr="00E90E1A">
              <w:rPr>
                <w:b/>
                <w:i/>
              </w:rPr>
              <w:t>„Člen 16a</w:t>
            </w:r>
          </w:p>
        </w:tc>
      </w:tr>
      <w:tr w:rsidR="00B11E04" w:rsidRPr="00E90E1A" w:rsidTr="00396944">
        <w:trPr>
          <w:jc w:val="center"/>
        </w:trPr>
        <w:tc>
          <w:tcPr>
            <w:tcW w:w="4876" w:type="dxa"/>
          </w:tcPr>
          <w:p w:rsidR="00B11E04" w:rsidRPr="00E90E1A" w:rsidRDefault="00B11E04" w:rsidP="00396944">
            <w:pPr>
              <w:pStyle w:val="Normal6"/>
            </w:pPr>
          </w:p>
        </w:tc>
        <w:tc>
          <w:tcPr>
            <w:tcW w:w="4876" w:type="dxa"/>
          </w:tcPr>
          <w:p w:rsidR="00B11E04" w:rsidRPr="00E90E1A" w:rsidRDefault="00B11E04" w:rsidP="00396944">
            <w:pPr>
              <w:pStyle w:val="Normal6"/>
              <w:rPr>
                <w:szCs w:val="24"/>
              </w:rPr>
            </w:pPr>
            <w:r w:rsidRPr="00E90E1A">
              <w:rPr>
                <w:b/>
                <w:i/>
              </w:rPr>
              <w:t>Instrumenti za spodbujanje prehoda na bolj krožno gospodarstvo</w:t>
            </w:r>
          </w:p>
        </w:tc>
      </w:tr>
      <w:tr w:rsidR="00B11E04" w:rsidRPr="002B6FD0" w:rsidTr="00396944">
        <w:trPr>
          <w:jc w:val="center"/>
        </w:trPr>
        <w:tc>
          <w:tcPr>
            <w:tcW w:w="4876" w:type="dxa"/>
          </w:tcPr>
          <w:p w:rsidR="00B11E04" w:rsidRPr="00E90E1A" w:rsidRDefault="00B11E04" w:rsidP="00396944">
            <w:pPr>
              <w:pStyle w:val="Normal6"/>
            </w:pPr>
          </w:p>
        </w:tc>
        <w:tc>
          <w:tcPr>
            <w:tcW w:w="4876" w:type="dxa"/>
          </w:tcPr>
          <w:p w:rsidR="00B11E04" w:rsidRPr="002B6FD0" w:rsidRDefault="00B11E04" w:rsidP="00396944">
            <w:pPr>
              <w:pStyle w:val="Normal6"/>
              <w:rPr>
                <w:szCs w:val="24"/>
              </w:rPr>
            </w:pPr>
            <w:r w:rsidRPr="00E90E1A">
              <w:rPr>
                <w:b/>
                <w:i/>
              </w:rPr>
              <w:t>Da bi prispevale k ciljem, določenim v tej direktivi, države članice uporabijo ustrezne ekonomske instrumente in druge ukrepe za spodbujanje izvajanja hierarhije ravnanja z odpadki. Ti instrumenti in ukrepi lahko zajemajo tiste iz Priloge IVa k Direktivi 2008/98/ES.“</w:t>
            </w:r>
          </w:p>
        </w:tc>
      </w:tr>
    </w:tbl>
    <w:p w:rsidR="00E365E1" w:rsidRPr="002B6FD0" w:rsidRDefault="00E365E1" w:rsidP="00515C45">
      <w:bookmarkStart w:id="1" w:name="TextBodyEnd"/>
      <w:bookmarkEnd w:id="1"/>
    </w:p>
    <w:sectPr w:rsidR="00E365E1" w:rsidRPr="002B6FD0" w:rsidSect="005E40F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34" w:rsidRPr="006F7834" w:rsidRDefault="006F7834">
      <w:r w:rsidRPr="006F7834">
        <w:separator/>
      </w:r>
    </w:p>
  </w:endnote>
  <w:endnote w:type="continuationSeparator" w:id="0">
    <w:p w:rsidR="006F7834" w:rsidRPr="006F7834" w:rsidRDefault="006F7834">
      <w:r w:rsidRPr="006F7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D0" w:rsidRDefault="002B6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F1" w:rsidRDefault="005E40F1" w:rsidP="002B6FD0">
    <w:pPr>
      <w:pStyle w:val="Footer"/>
      <w:tabs>
        <w:tab w:val="clear" w:pos="9639"/>
        <w:tab w:val="right" w:pos="9184"/>
      </w:tabs>
    </w:pPr>
  </w:p>
  <w:p w:rsidR="002B6FD0" w:rsidRDefault="002B6FD0" w:rsidP="002B6FD0">
    <w:pPr>
      <w:pStyle w:val="Footer"/>
      <w:pBdr>
        <w:top w:val="single" w:sz="2" w:space="1" w:color="000000"/>
      </w:pBdr>
      <w:tabs>
        <w:tab w:val="clear" w:pos="9639"/>
        <w:tab w:val="right" w:pos="9184"/>
      </w:tabs>
    </w:pPr>
    <w:r>
      <w:tab/>
    </w:r>
    <w:r w:rsidRPr="002B6FD0">
      <w:rPr>
        <w:rStyle w:val="HideTWBExt"/>
      </w:rPr>
      <w:t>&lt;NuPE&gt;</w:t>
    </w:r>
    <w:r>
      <w:t>PE598.520</w:t>
    </w:r>
    <w:r w:rsidRPr="002B6FD0">
      <w:rPr>
        <w:rStyle w:val="HideTWBExt"/>
      </w:rPr>
      <w:t>&lt;/NuPE&gt;</w:t>
    </w:r>
    <w:r>
      <w:t xml:space="preserve">/ </w:t>
    </w:r>
    <w:r>
      <w:fldChar w:fldCharType="begin"/>
    </w:r>
    <w:r>
      <w:instrText xml:space="preserve"> PAGE  \* MERGEFORMAT </w:instrText>
    </w:r>
    <w:r>
      <w:fldChar w:fldCharType="separate"/>
    </w:r>
    <w:r w:rsidR="00E90E1A">
      <w:rPr>
        <w:noProof/>
      </w:rPr>
      <w:t>2</w:t>
    </w:r>
    <w:r>
      <w:fldChar w:fldCharType="end"/>
    </w:r>
  </w:p>
  <w:p w:rsidR="002B6FD0" w:rsidRPr="002B6FD0" w:rsidRDefault="002B6FD0" w:rsidP="002B6FD0">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D0" w:rsidRDefault="002B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34" w:rsidRPr="006F7834" w:rsidRDefault="006F7834">
      <w:r w:rsidRPr="006F7834">
        <w:separator/>
      </w:r>
    </w:p>
  </w:footnote>
  <w:footnote w:type="continuationSeparator" w:id="0">
    <w:p w:rsidR="006F7834" w:rsidRPr="006F7834" w:rsidRDefault="006F7834">
      <w:r w:rsidRPr="006F783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D0" w:rsidRDefault="002B6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D0" w:rsidRDefault="002B6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D0" w:rsidRDefault="002B6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13/2017"/>
    <w:docVar w:name="dvlangue" w:val="SL"/>
    <w:docVar w:name="dvnumam" w:val="59"/>
    <w:docVar w:name="dvpe" w:val="580.560"/>
    <w:docVar w:name="dvrapporteur" w:val="Poročevalka: "/>
    <w:docVar w:name="dvtitre" w:val="Zakonodajna resolucija Evropskega parlamenta z dne … 2017 o predlogu direktive Evropskega parlamenta in Sveta o spremembi direktiv 2000/53/ES o izrabljenih vozilih, 2006/66/ES o baterijah in akumulatorjih ter odpadnih baterijah in akumulatorjih ter 2012/19/EU o odpadni električni in elektronski opremi(COM(2015)0593 – C8-0383/2015 – 2015/0272(COD))"/>
    <w:docVar w:name="TA_Comm_A5Nr" w:val="A8-0013/2017"/>
    <w:docVar w:name="TA_Comm_Langue" w:val="SL"/>
    <w:docVar w:name="TA_Comm_NrAM" w:val="001-033"/>
    <w:docVar w:name="TA_Type" w:val="TA_COMM"/>
  </w:docVars>
  <w:rsids>
    <w:rsidRoot w:val="006F7834"/>
    <w:rsid w:val="00002272"/>
    <w:rsid w:val="000677B9"/>
    <w:rsid w:val="000E7DD9"/>
    <w:rsid w:val="0010095E"/>
    <w:rsid w:val="00125B37"/>
    <w:rsid w:val="00170723"/>
    <w:rsid w:val="0017487E"/>
    <w:rsid w:val="002767FF"/>
    <w:rsid w:val="002B5493"/>
    <w:rsid w:val="002B6FD0"/>
    <w:rsid w:val="00361C00"/>
    <w:rsid w:val="00395FA1"/>
    <w:rsid w:val="003E15D4"/>
    <w:rsid w:val="003E3BEA"/>
    <w:rsid w:val="00411CCE"/>
    <w:rsid w:val="0041666E"/>
    <w:rsid w:val="00421060"/>
    <w:rsid w:val="00494A28"/>
    <w:rsid w:val="0050519A"/>
    <w:rsid w:val="005072A1"/>
    <w:rsid w:val="00514517"/>
    <w:rsid w:val="00515C45"/>
    <w:rsid w:val="005E40F1"/>
    <w:rsid w:val="006037C0"/>
    <w:rsid w:val="00680577"/>
    <w:rsid w:val="006F74FA"/>
    <w:rsid w:val="006F7834"/>
    <w:rsid w:val="00731ADD"/>
    <w:rsid w:val="00734777"/>
    <w:rsid w:val="00751A4A"/>
    <w:rsid w:val="00756632"/>
    <w:rsid w:val="007D1690"/>
    <w:rsid w:val="007E2002"/>
    <w:rsid w:val="00865F67"/>
    <w:rsid w:val="00881A7B"/>
    <w:rsid w:val="008840E5"/>
    <w:rsid w:val="008C2AC6"/>
    <w:rsid w:val="009509D8"/>
    <w:rsid w:val="00981893"/>
    <w:rsid w:val="009E3DD5"/>
    <w:rsid w:val="009E4AE9"/>
    <w:rsid w:val="00A4678D"/>
    <w:rsid w:val="00AB664E"/>
    <w:rsid w:val="00AF3B82"/>
    <w:rsid w:val="00B11E04"/>
    <w:rsid w:val="00B558F0"/>
    <w:rsid w:val="00BA5E29"/>
    <w:rsid w:val="00BD7BD8"/>
    <w:rsid w:val="00C05BFE"/>
    <w:rsid w:val="00C23CD4"/>
    <w:rsid w:val="00C941CB"/>
    <w:rsid w:val="00CC2357"/>
    <w:rsid w:val="00D058B8"/>
    <w:rsid w:val="00D834A0"/>
    <w:rsid w:val="00D91E21"/>
    <w:rsid w:val="00E365E1"/>
    <w:rsid w:val="00E90E1A"/>
    <w:rsid w:val="00E91D12"/>
    <w:rsid w:val="00ED4235"/>
    <w:rsid w:val="00F04346"/>
    <w:rsid w:val="00F075DC"/>
    <w:rsid w:val="00F5134D"/>
    <w:rsid w:val="00F57520"/>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AC32AF-AAF5-495B-9C0C-327E0875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B11E04"/>
    <w:rPr>
      <w:sz w:val="24"/>
      <w:lang w:val="sl-S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number,Footnote symbol,... + Custom Col...,Footnote Reference Superscript,BVI fnr,16 Point,Superscript 6 Point,(Footnote Reference),Footnote,SUPERS,Voetnootverwijzing,Times 10 Point,Exposant 3 Point,note TESI"/>
    <w:uiPriority w:val="99"/>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B11E04"/>
    <w:rPr>
      <w:b/>
      <w:sz w:val="24"/>
      <w:lang w:val="sl-SI"/>
    </w:rPr>
  </w:style>
  <w:style w:type="paragraph" w:customStyle="1" w:styleId="Normal12Italic">
    <w:name w:val="Normal12Italic"/>
    <w:basedOn w:val="Normal"/>
    <w:rsid w:val="00B11E04"/>
    <w:pPr>
      <w:spacing w:before="240"/>
    </w:pPr>
    <w:rPr>
      <w:i/>
      <w:lang w:eastAsia="sl-SI" w:bidi="sl-SI"/>
    </w:rPr>
  </w:style>
  <w:style w:type="paragraph" w:customStyle="1" w:styleId="JustificationTitle">
    <w:name w:val="JustificationTitle"/>
    <w:basedOn w:val="Normal"/>
    <w:next w:val="Normal12"/>
    <w:rsid w:val="00B11E04"/>
    <w:pPr>
      <w:keepNext/>
      <w:spacing w:before="240"/>
      <w:jc w:val="center"/>
    </w:pPr>
    <w:rPr>
      <w:i/>
      <w:lang w:eastAsia="sl-SI" w:bidi="sl-SI"/>
    </w:rPr>
  </w:style>
  <w:style w:type="paragraph" w:customStyle="1" w:styleId="ZDate">
    <w:name w:val="ZDate"/>
    <w:basedOn w:val="Normal"/>
    <w:rsid w:val="00B11E04"/>
    <w:pPr>
      <w:spacing w:after="1200"/>
    </w:pPr>
    <w:rPr>
      <w:lang w:eastAsia="sl-SI" w:bidi="sl-SI"/>
    </w:rPr>
  </w:style>
  <w:style w:type="paragraph" w:customStyle="1" w:styleId="ColumnHeading">
    <w:name w:val="ColumnHeading"/>
    <w:basedOn w:val="Normal"/>
    <w:rsid w:val="00B11E04"/>
    <w:pPr>
      <w:spacing w:after="240"/>
      <w:jc w:val="center"/>
    </w:pPr>
    <w:rPr>
      <w:i/>
      <w:lang w:eastAsia="sl-SI" w:bidi="sl-SI"/>
    </w:rPr>
  </w:style>
  <w:style w:type="paragraph" w:customStyle="1" w:styleId="AMNumberTabs">
    <w:name w:val="AMNumberTabs"/>
    <w:basedOn w:val="Normal"/>
    <w:rsid w:val="00B11E0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sl-SI" w:bidi="sl-SI"/>
    </w:rPr>
  </w:style>
  <w:style w:type="paragraph" w:customStyle="1" w:styleId="NormalBold12b">
    <w:name w:val="NormalBold12b"/>
    <w:basedOn w:val="Normal"/>
    <w:rsid w:val="00B11E04"/>
    <w:pPr>
      <w:spacing w:before="240"/>
    </w:pPr>
    <w:rPr>
      <w:b/>
      <w:lang w:eastAsia="sl-SI" w:bidi="sl-SI"/>
    </w:rPr>
  </w:style>
  <w:style w:type="paragraph" w:styleId="BalloonText">
    <w:name w:val="Balloon Text"/>
    <w:basedOn w:val="Normal"/>
    <w:link w:val="BalloonTextChar"/>
    <w:rsid w:val="00F57520"/>
    <w:rPr>
      <w:rFonts w:ascii="Segoe UI" w:hAnsi="Segoe UI" w:cs="Segoe UI"/>
      <w:sz w:val="18"/>
      <w:szCs w:val="18"/>
    </w:rPr>
  </w:style>
  <w:style w:type="character" w:customStyle="1" w:styleId="BalloonTextChar">
    <w:name w:val="Balloon Text Char"/>
    <w:basedOn w:val="DefaultParagraphFont"/>
    <w:link w:val="BalloonText"/>
    <w:rsid w:val="00F57520"/>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3649</Words>
  <Characters>21830</Characters>
  <Application>Microsoft Office Word</Application>
  <DocSecurity>0</DocSecurity>
  <Lines>909</Lines>
  <Paragraphs>339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2004-11-19T15:42:00Z</cp:lastPrinted>
  <dcterms:created xsi:type="dcterms:W3CDTF">2017-03-09T13:00:00Z</dcterms:created>
  <dcterms:modified xsi:type="dcterms:W3CDTF">2017-03-09T13:00:00Z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A8-0013/2017</vt:lpwstr>
  </property>
  <property fmtid="{D5CDD505-2E9C-101B-9397-08002B2CF9AE}" pid="4" name="&lt;Type&gt;">
    <vt:lpwstr>RR</vt:lpwstr>
  </property>
</Properties>
</file>