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7F1ECE" w:rsidRDefault="0004541F" w:rsidP="00AE46A3">
      <w:pPr>
        <w:pStyle w:val="ZDateAM"/>
      </w:pPr>
      <w:r w:rsidRPr="007F1ECE">
        <w:rPr>
          <w:rStyle w:val="HideTWBExt"/>
          <w:noProof w:val="0"/>
        </w:rPr>
        <w:t>&lt;Amend&gt;</w:t>
      </w:r>
      <w:r w:rsidR="00AE46A3" w:rsidRPr="007F1ECE">
        <w:rPr>
          <w:rStyle w:val="HideTWBExt"/>
          <w:noProof w:val="0"/>
        </w:rPr>
        <w:t>&lt;Date&gt;</w:t>
      </w:r>
      <w:r w:rsidR="00A93678" w:rsidRPr="00A93678">
        <w:rPr>
          <w:rStyle w:val="HideTWBInt"/>
        </w:rPr>
        <w:t>{01/02/2018}</w:t>
      </w:r>
      <w:r w:rsidR="00A93678">
        <w:t>1.2.2018</w:t>
      </w:r>
      <w:r w:rsidR="00AE46A3" w:rsidRPr="007F1ECE">
        <w:rPr>
          <w:rStyle w:val="HideTWBExt"/>
          <w:noProof w:val="0"/>
        </w:rPr>
        <w:t>&lt;/Date&gt;</w:t>
      </w:r>
      <w:r w:rsidR="00AE46A3" w:rsidRPr="007F1ECE">
        <w:tab/>
      </w:r>
      <w:r w:rsidR="00AE46A3" w:rsidRPr="007F1ECE">
        <w:rPr>
          <w:rStyle w:val="HideTWBExt"/>
          <w:noProof w:val="0"/>
        </w:rPr>
        <w:t>&lt;ANo&gt;</w:t>
      </w:r>
      <w:r w:rsidR="00A93678">
        <w:t>A8-0132</w:t>
      </w:r>
      <w:r w:rsidR="00AE46A3" w:rsidRPr="007F1ECE">
        <w:rPr>
          <w:rStyle w:val="HideTWBExt"/>
          <w:noProof w:val="0"/>
        </w:rPr>
        <w:t>&lt;/ANo&gt;</w:t>
      </w:r>
      <w:r w:rsidR="00AE46A3" w:rsidRPr="007F1ECE">
        <w:t>/</w:t>
      </w:r>
      <w:r w:rsidR="00AE46A3" w:rsidRPr="007F1ECE">
        <w:rPr>
          <w:rStyle w:val="HideTWBExt"/>
          <w:noProof w:val="0"/>
        </w:rPr>
        <w:t>&lt;NumAm&gt;</w:t>
      </w:r>
      <w:r w:rsidR="00A93678">
        <w:t>7</w:t>
      </w:r>
      <w:r w:rsidR="00AE46A3" w:rsidRPr="007F1ECE">
        <w:rPr>
          <w:rStyle w:val="HideTWBExt"/>
          <w:noProof w:val="0"/>
        </w:rPr>
        <w:t>&lt;/NumAm&gt;</w:t>
      </w:r>
    </w:p>
    <w:p w:rsidR="00AE46A3" w:rsidRPr="007F1ECE" w:rsidRDefault="007F1ECE" w:rsidP="00AE46A3">
      <w:pPr>
        <w:pStyle w:val="AMNumberTabs"/>
      </w:pPr>
      <w:r w:rsidRPr="007F1ECE">
        <w:t>Ändringsförslag</w:t>
      </w:r>
      <w:r w:rsidR="00AE46A3" w:rsidRPr="007F1ECE">
        <w:tab/>
      </w:r>
      <w:r w:rsidR="00AE46A3" w:rsidRPr="007F1ECE">
        <w:tab/>
      </w:r>
      <w:r w:rsidR="00AE46A3" w:rsidRPr="007F1ECE">
        <w:rPr>
          <w:rStyle w:val="HideTWBExt"/>
          <w:b w:val="0"/>
          <w:noProof w:val="0"/>
        </w:rPr>
        <w:t>&lt;NumAm&gt;</w:t>
      </w:r>
      <w:r w:rsidR="00A93678">
        <w:t>7</w:t>
      </w:r>
      <w:r w:rsidR="00AE46A3" w:rsidRPr="007F1ECE">
        <w:rPr>
          <w:rStyle w:val="HideTWBExt"/>
          <w:b w:val="0"/>
          <w:noProof w:val="0"/>
        </w:rPr>
        <w:t>&lt;/NumAm&gt;</w:t>
      </w:r>
    </w:p>
    <w:p w:rsidR="00AE46A3" w:rsidRPr="00A93678" w:rsidRDefault="00AE46A3" w:rsidP="00AE46A3">
      <w:pPr>
        <w:pStyle w:val="NormalBold"/>
      </w:pPr>
      <w:r w:rsidRPr="00A93678">
        <w:rPr>
          <w:rStyle w:val="HideTWBExt"/>
          <w:b w:val="0"/>
          <w:noProof w:val="0"/>
          <w:lang w:val="en-GB"/>
        </w:rPr>
        <w:t>&lt;RepeatBlock-By&gt;&lt;Members&gt;</w:t>
      </w:r>
      <w:r w:rsidR="00A93678" w:rsidRPr="00A93678">
        <w:rPr>
          <w:lang w:val="en-GB"/>
        </w:rPr>
        <w:t>Jean Arthuis</w:t>
      </w:r>
      <w:r w:rsidRPr="00A93678">
        <w:rPr>
          <w:rStyle w:val="HideTWBExt"/>
          <w:b w:val="0"/>
          <w:noProof w:val="0"/>
          <w:lang w:val="en-GB"/>
        </w:rPr>
        <w:t>&lt;/Members&gt;</w:t>
      </w:r>
    </w:p>
    <w:p w:rsidR="00A93678" w:rsidRPr="00A93678" w:rsidRDefault="00A93678" w:rsidP="00A93678">
      <w:r w:rsidRPr="00A93678">
        <w:rPr>
          <w:rStyle w:val="HideTWBExt"/>
          <w:noProof w:val="0"/>
        </w:rPr>
        <w:t>&lt;AuNomDe&gt;</w:t>
      </w:r>
      <w:r w:rsidRPr="00A93678">
        <w:rPr>
          <w:rStyle w:val="HideTWBInt"/>
        </w:rPr>
        <w:t>{BUDG}</w:t>
      </w:r>
      <w:r w:rsidRPr="00A93678">
        <w:t>f</w:t>
      </w:r>
      <w:r>
        <w:t>ör budget</w:t>
      </w:r>
      <w:r w:rsidRPr="00A93678">
        <w:t>utskottet</w:t>
      </w:r>
      <w:r w:rsidRPr="00A93678">
        <w:rPr>
          <w:rStyle w:val="HideTWBExt"/>
          <w:noProof w:val="0"/>
        </w:rPr>
        <w:t>&lt;/AuNomDe&gt;</w:t>
      </w:r>
    </w:p>
    <w:p w:rsidR="00AE46A3" w:rsidRPr="007F1ECE" w:rsidRDefault="00AE46A3" w:rsidP="00AE46A3">
      <w:r w:rsidRPr="007F1ECE">
        <w:rPr>
          <w:rStyle w:val="HideTWBExt"/>
          <w:noProof w:val="0"/>
        </w:rPr>
        <w:t>&lt;/RepeatBlock-By&gt;</w:t>
      </w:r>
    </w:p>
    <w:p w:rsidR="00AE46A3" w:rsidRPr="007F1ECE" w:rsidRDefault="00AE46A3" w:rsidP="00AE46A3">
      <w:pPr>
        <w:pStyle w:val="ProjRap"/>
      </w:pPr>
      <w:r w:rsidRPr="007F1ECE">
        <w:rPr>
          <w:rStyle w:val="HideTWBExt"/>
          <w:b w:val="0"/>
          <w:noProof w:val="0"/>
        </w:rPr>
        <w:t>&lt;TitreType&gt;</w:t>
      </w:r>
      <w:r w:rsidR="00A93678">
        <w:t>Betänkande</w:t>
      </w:r>
      <w:r w:rsidRPr="007F1ECE">
        <w:rPr>
          <w:rStyle w:val="HideTWBExt"/>
          <w:b w:val="0"/>
          <w:noProof w:val="0"/>
        </w:rPr>
        <w:t>&lt;/TitreType&gt;</w:t>
      </w:r>
      <w:r w:rsidRPr="007F1ECE">
        <w:tab/>
      </w:r>
      <w:r w:rsidR="00A93678">
        <w:t>A8-0132</w:t>
      </w:r>
      <w:r w:rsidRPr="007F1ECE">
        <w:t>/</w:t>
      </w:r>
      <w:r w:rsidR="00A93678">
        <w:t>2017</w:t>
      </w:r>
    </w:p>
    <w:p w:rsidR="00AE46A3" w:rsidRPr="00A93678" w:rsidRDefault="00AE46A3" w:rsidP="00AE46A3">
      <w:pPr>
        <w:pStyle w:val="NormalBold"/>
        <w:rPr>
          <w:lang w:val="fr-FR"/>
        </w:rPr>
      </w:pPr>
      <w:r w:rsidRPr="00A93678">
        <w:rPr>
          <w:rStyle w:val="HideTWBExt"/>
          <w:b w:val="0"/>
          <w:noProof w:val="0"/>
          <w:lang w:val="fr-FR"/>
        </w:rPr>
        <w:t>&lt;Rapporteur&gt;</w:t>
      </w:r>
      <w:r w:rsidR="00A93678" w:rsidRPr="00A93678">
        <w:rPr>
          <w:lang w:val="fr-FR"/>
        </w:rPr>
        <w:t>Eider Gardiazabal Rubial</w:t>
      </w:r>
      <w:r w:rsidRPr="00A93678">
        <w:rPr>
          <w:rStyle w:val="HideTWBExt"/>
          <w:b w:val="0"/>
          <w:noProof w:val="0"/>
          <w:lang w:val="fr-FR"/>
        </w:rPr>
        <w:t>&lt;/Rapporteur&gt;</w:t>
      </w:r>
    </w:p>
    <w:p w:rsidR="00AE46A3" w:rsidRPr="007F1ECE" w:rsidRDefault="00AE46A3" w:rsidP="00AE46A3">
      <w:r w:rsidRPr="007F1ECE">
        <w:rPr>
          <w:rStyle w:val="HideTWBExt"/>
          <w:noProof w:val="0"/>
        </w:rPr>
        <w:t>&lt;Titre&gt;</w:t>
      </w:r>
      <w:r w:rsidR="00A93678">
        <w:t>Garantifonden för åtgärder avseende tredje land</w:t>
      </w:r>
      <w:r w:rsidRPr="007F1ECE">
        <w:rPr>
          <w:rStyle w:val="HideTWBExt"/>
          <w:noProof w:val="0"/>
        </w:rPr>
        <w:t>&lt;/Titre&gt;</w:t>
      </w:r>
    </w:p>
    <w:p w:rsidR="00AE46A3" w:rsidRPr="00A93678" w:rsidRDefault="00AE46A3" w:rsidP="00AE46A3">
      <w:pPr>
        <w:pStyle w:val="Normal12"/>
        <w:rPr>
          <w:lang w:val="pt-PT"/>
        </w:rPr>
      </w:pPr>
      <w:r w:rsidRPr="00A93678">
        <w:rPr>
          <w:rStyle w:val="HideTWBExt"/>
          <w:noProof w:val="0"/>
          <w:lang w:val="pt-PT"/>
        </w:rPr>
        <w:t>&lt;DocRef&gt;</w:t>
      </w:r>
      <w:r w:rsidR="00A93678" w:rsidRPr="00A93678">
        <w:rPr>
          <w:lang w:val="pt-PT"/>
        </w:rPr>
        <w:t>COM(2016)0582 – C8-0374/2016 – 2016/0274(COD)</w:t>
      </w:r>
      <w:r w:rsidRPr="00A93678">
        <w:rPr>
          <w:rStyle w:val="HideTWBExt"/>
          <w:noProof w:val="0"/>
          <w:lang w:val="pt-PT"/>
        </w:rPr>
        <w:t>&lt;/DocRef&gt;</w:t>
      </w:r>
    </w:p>
    <w:p w:rsidR="00AE46A3" w:rsidRPr="007F1ECE" w:rsidRDefault="00AE46A3" w:rsidP="00AE46A3">
      <w:pPr>
        <w:pStyle w:val="NormalBold"/>
      </w:pPr>
      <w:r w:rsidRPr="007F1ECE">
        <w:rPr>
          <w:rStyle w:val="HideTWBExt"/>
          <w:b w:val="0"/>
          <w:noProof w:val="0"/>
        </w:rPr>
        <w:t>&lt;DocAmend&gt;</w:t>
      </w:r>
      <w:r w:rsidR="00A93678">
        <w:t>Förslag till förordning</w:t>
      </w:r>
      <w:r w:rsidRPr="007F1ECE">
        <w:rPr>
          <w:rStyle w:val="HideTWBExt"/>
          <w:b w:val="0"/>
          <w:noProof w:val="0"/>
        </w:rPr>
        <w:t>&lt;/DocAmend&gt;</w:t>
      </w:r>
    </w:p>
    <w:p w:rsidR="00AE46A3" w:rsidRPr="007F1ECE" w:rsidRDefault="00AE46A3" w:rsidP="00AE46A3">
      <w:pPr>
        <w:pStyle w:val="NormalBold"/>
      </w:pPr>
      <w:r w:rsidRPr="007F1ECE">
        <w:rPr>
          <w:rStyle w:val="HideTWBExt"/>
          <w:b w:val="0"/>
          <w:noProof w:val="0"/>
        </w:rPr>
        <w:t>&lt;Article&gt;</w:t>
      </w:r>
      <w:r w:rsidR="00E5087F" w:rsidRPr="007F1ECE">
        <w:t>–</w:t>
      </w:r>
      <w:r w:rsidRPr="007F1ECE">
        <w:rPr>
          <w:rStyle w:val="HideTWBExt"/>
          <w:b w:val="0"/>
          <w:noProof w:val="0"/>
        </w:rPr>
        <w:t>&lt;/Article&gt;</w:t>
      </w:r>
    </w:p>
    <w:p w:rsidR="00FF2CB3" w:rsidRPr="007F1ECE" w:rsidRDefault="007F1ECE" w:rsidP="006339AB">
      <w:pPr>
        <w:pStyle w:val="ConsHeading"/>
        <w:rPr>
          <w:noProof w:val="0"/>
        </w:rPr>
      </w:pPr>
      <w:r w:rsidRPr="007F1ECE">
        <w:rPr>
          <w:noProof w:val="0"/>
        </w:rPr>
        <w:t>EUROPAPARLAMENTETS ÄNDRINGSFÖRSLAG</w:t>
      </w:r>
      <w:r w:rsidR="00FD68C2" w:rsidRPr="007F1ECE">
        <w:rPr>
          <w:rStyle w:val="FootnoteReference"/>
          <w:noProof w:val="0"/>
        </w:rPr>
        <w:footnoteReference w:customMarkFollows="1" w:id="1"/>
        <w:t>*</w:t>
      </w:r>
    </w:p>
    <w:p w:rsidR="00892C85" w:rsidRPr="007F1ECE" w:rsidRDefault="00A93678" w:rsidP="006C0168">
      <w:pPr>
        <w:pStyle w:val="Normal12Centre"/>
        <w:rPr>
          <w:noProof w:val="0"/>
        </w:rPr>
      </w:pPr>
      <w:bookmarkStart w:id="0" w:name="DocEPTmp"/>
      <w:bookmarkEnd w:id="0"/>
      <w:r>
        <w:rPr>
          <w:noProof w:val="0"/>
        </w:rPr>
        <w:t>till kommissionens förslag</w:t>
      </w:r>
      <w:bookmarkStart w:id="1" w:name="DocEPTmp2"/>
      <w:bookmarkEnd w:id="1"/>
    </w:p>
    <w:p w:rsidR="00525DC0" w:rsidRPr="007F1ECE" w:rsidRDefault="00525DC0" w:rsidP="006C0168">
      <w:pPr>
        <w:pStyle w:val="Normal12Centre"/>
        <w:rPr>
          <w:noProof w:val="0"/>
        </w:rPr>
      </w:pPr>
      <w:r w:rsidRPr="007F1ECE">
        <w:rPr>
          <w:noProof w:val="0"/>
        </w:rPr>
        <w:t>---------------------------------------------------------</w:t>
      </w:r>
    </w:p>
    <w:p w:rsidR="00A93678" w:rsidRPr="00A93678" w:rsidRDefault="00A93678" w:rsidP="00A93678">
      <w:pPr>
        <w:autoSpaceDE w:val="0"/>
        <w:autoSpaceDN w:val="0"/>
        <w:adjustRightInd w:val="0"/>
        <w:spacing w:before="840"/>
        <w:jc w:val="center"/>
        <w:rPr>
          <w:b/>
          <w:bCs/>
          <w:szCs w:val="24"/>
        </w:rPr>
      </w:pPr>
      <w:r w:rsidRPr="00A845F1">
        <w:rPr>
          <w:b/>
          <w:bCs/>
          <w:szCs w:val="24"/>
        </w:rPr>
        <w:t>EUROPAPARLAMENTETS OCH RÅDETS FÖRORDNING</w:t>
      </w:r>
      <w:r>
        <w:rPr>
          <w:b/>
          <w:bCs/>
          <w:szCs w:val="24"/>
        </w:rPr>
        <w:t xml:space="preserve"> (EU) 2018/</w:t>
      </w:r>
    </w:p>
    <w:p w:rsidR="00A93678" w:rsidRPr="00A93678" w:rsidRDefault="00A93678" w:rsidP="00A93678">
      <w:pPr>
        <w:autoSpaceDE w:val="0"/>
        <w:autoSpaceDN w:val="0"/>
        <w:adjustRightInd w:val="0"/>
        <w:spacing w:before="360"/>
        <w:jc w:val="center"/>
        <w:rPr>
          <w:b/>
          <w:bCs/>
          <w:szCs w:val="24"/>
        </w:rPr>
      </w:pPr>
      <w:r w:rsidRPr="00A845F1">
        <w:rPr>
          <w:b/>
          <w:bCs/>
          <w:szCs w:val="24"/>
        </w:rPr>
        <w:t>av den</w:t>
      </w:r>
    </w:p>
    <w:p w:rsidR="00A93678" w:rsidRPr="00A93678" w:rsidRDefault="00A93678" w:rsidP="00A93678">
      <w:pPr>
        <w:autoSpaceDE w:val="0"/>
        <w:autoSpaceDN w:val="0"/>
        <w:adjustRightInd w:val="0"/>
        <w:spacing w:before="360" w:after="360" w:line="360" w:lineRule="auto"/>
        <w:jc w:val="center"/>
        <w:rPr>
          <w:b/>
          <w:bCs/>
          <w:szCs w:val="24"/>
        </w:rPr>
      </w:pPr>
      <w:r w:rsidRPr="00A845F1">
        <w:rPr>
          <w:b/>
          <w:bCs/>
          <w:szCs w:val="24"/>
        </w:rPr>
        <w:t xml:space="preserve">om ändring av </w:t>
      </w:r>
      <w:r>
        <w:rPr>
          <w:b/>
          <w:bCs/>
          <w:szCs w:val="24"/>
        </w:rPr>
        <w:t xml:space="preserve">rådets </w:t>
      </w:r>
      <w:r w:rsidRPr="00A845F1">
        <w:rPr>
          <w:b/>
          <w:bCs/>
          <w:szCs w:val="24"/>
        </w:rPr>
        <w:t>förordning (EG, Euratom) nr 480/2009 om upprättande av en garantifond för åtgärder avseende tredje land</w:t>
      </w:r>
    </w:p>
    <w:p w:rsidR="00A93678" w:rsidRPr="00A93678" w:rsidRDefault="00A93678" w:rsidP="00A93678">
      <w:pPr>
        <w:autoSpaceDE w:val="0"/>
        <w:autoSpaceDN w:val="0"/>
        <w:adjustRightInd w:val="0"/>
        <w:spacing w:after="240" w:line="360" w:lineRule="auto"/>
        <w:rPr>
          <w:szCs w:val="24"/>
        </w:rPr>
      </w:pPr>
      <w:r w:rsidRPr="00A845F1">
        <w:t>EUROPAPARLAMENTET OCH EUROPEISKA UNIONENS RÅD HAR ANTAGIT DENNA FÖRORDNING</w:t>
      </w:r>
    </w:p>
    <w:p w:rsidR="00A93678" w:rsidRPr="00A93678" w:rsidRDefault="00A93678" w:rsidP="00A93678">
      <w:pPr>
        <w:autoSpaceDE w:val="0"/>
        <w:autoSpaceDN w:val="0"/>
        <w:adjustRightInd w:val="0"/>
        <w:spacing w:after="200" w:line="360" w:lineRule="auto"/>
        <w:rPr>
          <w:szCs w:val="24"/>
        </w:rPr>
      </w:pPr>
      <w:r w:rsidRPr="00A845F1">
        <w:t>med beaktande av fördraget om Europeiska unionens funktionssätt, särskilt artiklarna 209 och 212,</w:t>
      </w:r>
    </w:p>
    <w:p w:rsidR="00A93678" w:rsidRPr="00A93678" w:rsidRDefault="00A93678" w:rsidP="00A93678">
      <w:pPr>
        <w:autoSpaceDE w:val="0"/>
        <w:autoSpaceDN w:val="0"/>
        <w:adjustRightInd w:val="0"/>
        <w:spacing w:after="200" w:line="360" w:lineRule="auto"/>
        <w:rPr>
          <w:szCs w:val="24"/>
        </w:rPr>
      </w:pPr>
      <w:r w:rsidRPr="00A845F1">
        <w:t>med beaktande av Europeiska kommissionens förslag,</w:t>
      </w:r>
    </w:p>
    <w:p w:rsidR="00A93678" w:rsidRDefault="00A93678" w:rsidP="00A93678">
      <w:pPr>
        <w:autoSpaceDE w:val="0"/>
        <w:autoSpaceDN w:val="0"/>
        <w:adjustRightInd w:val="0"/>
        <w:spacing w:after="200" w:line="360" w:lineRule="auto"/>
      </w:pPr>
      <w:r w:rsidRPr="00A845F1">
        <w:t>efter översändande av utkastet till lagstiftningsakt till de nationella parlamenten,</w:t>
      </w:r>
    </w:p>
    <w:p w:rsidR="00337C75" w:rsidRPr="00A93678" w:rsidRDefault="00337C75" w:rsidP="00A93678">
      <w:pPr>
        <w:autoSpaceDE w:val="0"/>
        <w:autoSpaceDN w:val="0"/>
        <w:adjustRightInd w:val="0"/>
        <w:spacing w:after="200" w:line="360" w:lineRule="auto"/>
        <w:rPr>
          <w:szCs w:val="24"/>
        </w:rPr>
      </w:pPr>
    </w:p>
    <w:p w:rsidR="00A93678" w:rsidRDefault="00A93678" w:rsidP="00A93678">
      <w:pPr>
        <w:keepNext/>
        <w:widowControl/>
        <w:tabs>
          <w:tab w:val="left" w:pos="5955"/>
        </w:tabs>
        <w:autoSpaceDE w:val="0"/>
        <w:autoSpaceDN w:val="0"/>
        <w:adjustRightInd w:val="0"/>
        <w:spacing w:after="200" w:line="360" w:lineRule="auto"/>
      </w:pPr>
      <w:r w:rsidRPr="00A845F1">
        <w:t>i enlighet med det ordinarie lagstiftningsförfarandet</w:t>
      </w:r>
      <w:r>
        <w:rPr>
          <w:rStyle w:val="FootnoteReference"/>
        </w:rPr>
        <w:footnoteReference w:id="2"/>
      </w:r>
      <w:r w:rsidRPr="00A845F1">
        <w:t>, och</w:t>
      </w:r>
    </w:p>
    <w:p w:rsidR="00A93678" w:rsidRPr="00A93678" w:rsidRDefault="00A93678" w:rsidP="00337C75">
      <w:pPr>
        <w:spacing w:after="240" w:line="360" w:lineRule="auto"/>
        <w:rPr>
          <w:szCs w:val="24"/>
        </w:rPr>
      </w:pPr>
      <w:r w:rsidRPr="00A845F1">
        <w:t>av följande skäl:</w:t>
      </w:r>
    </w:p>
    <w:p w:rsidR="00A93678" w:rsidRPr="00A93678" w:rsidRDefault="00A93678" w:rsidP="00A93678">
      <w:pPr>
        <w:autoSpaceDE w:val="0"/>
        <w:autoSpaceDN w:val="0"/>
        <w:adjustRightInd w:val="0"/>
        <w:spacing w:after="240" w:line="360" w:lineRule="auto"/>
        <w:ind w:left="567" w:hanging="567"/>
        <w:rPr>
          <w:szCs w:val="24"/>
        </w:rPr>
      </w:pPr>
      <w:r w:rsidRPr="00A845F1">
        <w:t>(1)</w:t>
      </w:r>
      <w:r w:rsidRPr="00A845F1">
        <w:tab/>
        <w:t xml:space="preserve">Garantifonden för åtgärder avseende tredje land </w:t>
      </w:r>
      <w:r>
        <w:t xml:space="preserve">(nedan kallad </w:t>
      </w:r>
      <w:r w:rsidRPr="00E91D95">
        <w:rPr>
          <w:i/>
          <w:iCs/>
        </w:rPr>
        <w:t>fonden</w:t>
      </w:r>
      <w:r>
        <w:t xml:space="preserve">) </w:t>
      </w:r>
      <w:r w:rsidRPr="00A845F1">
        <w:t>regleras av rådets förordning (EG, Euratom) nr 480/</w:t>
      </w:r>
      <w:r w:rsidRPr="00A845F1">
        <w:rPr>
          <w:b/>
          <w:i/>
        </w:rPr>
        <w:t>2009</w:t>
      </w:r>
      <w:r>
        <w:rPr>
          <w:rStyle w:val="FootnoteReference"/>
        </w:rPr>
        <w:footnoteReference w:id="3"/>
      </w:r>
      <w:r w:rsidRPr="00A845F1">
        <w:t>.</w:t>
      </w:r>
    </w:p>
    <w:p w:rsidR="00A93678" w:rsidRPr="00A93678" w:rsidRDefault="00A93678" w:rsidP="00A93678">
      <w:pPr>
        <w:autoSpaceDE w:val="0"/>
        <w:autoSpaceDN w:val="0"/>
        <w:adjustRightInd w:val="0"/>
        <w:spacing w:after="240" w:line="360" w:lineRule="auto"/>
        <w:ind w:left="567" w:hanging="567"/>
        <w:rPr>
          <w:noProof/>
          <w:szCs w:val="24"/>
        </w:rPr>
      </w:pPr>
      <w:r w:rsidRPr="00A845F1">
        <w:t>(2)</w:t>
      </w:r>
      <w:r w:rsidRPr="00A845F1">
        <w:tab/>
      </w:r>
      <w:r>
        <w:t>F</w:t>
      </w:r>
      <w:r w:rsidRPr="00A845F1">
        <w:t xml:space="preserve">onden </w:t>
      </w:r>
      <w:r>
        <w:t>tillförs medel genom</w:t>
      </w:r>
      <w:r w:rsidRPr="00A845F1">
        <w:t xml:space="preserve"> ett årligt bidrag från unionens allmänna budget, ränta från fondens investerade medel och belopp som återvunnits från </w:t>
      </w:r>
      <w:r>
        <w:t>försumliga</w:t>
      </w:r>
      <w:r w:rsidRPr="00A845F1">
        <w:t xml:space="preserve"> gäldenärer.</w:t>
      </w:r>
    </w:p>
    <w:p w:rsidR="00A93678" w:rsidRPr="00A93678" w:rsidRDefault="00A93678" w:rsidP="00A93678">
      <w:pPr>
        <w:autoSpaceDE w:val="0"/>
        <w:autoSpaceDN w:val="0"/>
        <w:adjustRightInd w:val="0"/>
        <w:spacing w:after="240" w:line="360" w:lineRule="auto"/>
        <w:ind w:left="567" w:hanging="567"/>
        <w:rPr>
          <w:noProof/>
          <w:szCs w:val="24"/>
        </w:rPr>
      </w:pPr>
      <w:r w:rsidRPr="00A845F1">
        <w:t>(3)</w:t>
      </w:r>
      <w:r w:rsidRPr="00A845F1">
        <w:tab/>
        <w:t xml:space="preserve">Intäkter från riskpremier som genererats från </w:t>
      </w:r>
      <w:r w:rsidRPr="00624F19">
        <w:t>Europeiska investeringsbanken</w:t>
      </w:r>
      <w:r>
        <w:t>s</w:t>
      </w:r>
      <w:r w:rsidRPr="00624F19">
        <w:t xml:space="preserve"> </w:t>
      </w:r>
      <w:r>
        <w:t>(</w:t>
      </w:r>
      <w:r w:rsidRPr="00A845F1">
        <w:t>EIB</w:t>
      </w:r>
      <w:r>
        <w:t>)</w:t>
      </w:r>
      <w:r w:rsidRPr="00A845F1">
        <w:t xml:space="preserve"> finansieringstransaktioner med garanti från unionens budget bör inbetalas till fonden.</w:t>
      </w:r>
    </w:p>
    <w:p w:rsidR="00A93678" w:rsidRPr="00A93678" w:rsidRDefault="00A93678" w:rsidP="00A93678">
      <w:pPr>
        <w:autoSpaceDE w:val="0"/>
        <w:autoSpaceDN w:val="0"/>
        <w:adjustRightInd w:val="0"/>
        <w:spacing w:after="240" w:line="360" w:lineRule="auto"/>
        <w:ind w:left="567" w:hanging="567"/>
        <w:rPr>
          <w:noProof/>
          <w:szCs w:val="24"/>
        </w:rPr>
      </w:pPr>
      <w:r w:rsidRPr="00A845F1">
        <w:t>(4)</w:t>
      </w:r>
      <w:r w:rsidRPr="00A845F1">
        <w:tab/>
      </w:r>
      <w:r>
        <w:t xml:space="preserve">När </w:t>
      </w:r>
      <w:r w:rsidRPr="00A845F1">
        <w:t>överskott</w:t>
      </w:r>
      <w:r>
        <w:t>et</w:t>
      </w:r>
      <w:r w:rsidRPr="00A845F1">
        <w:t xml:space="preserve"> i </w:t>
      </w:r>
      <w:r>
        <w:t>fonden överstiger 10 </w:t>
      </w:r>
      <w:r w:rsidRPr="00A845F1">
        <w:t>% av unionens totala utestående kapitalbelopp</w:t>
      </w:r>
      <w:r>
        <w:t>,</w:t>
      </w:r>
      <w:r w:rsidRPr="00A845F1">
        <w:t xml:space="preserve"> bör </w:t>
      </w:r>
      <w:r>
        <w:t xml:space="preserve">överskottet </w:t>
      </w:r>
      <w:r w:rsidRPr="00A845F1">
        <w:t xml:space="preserve">återbetalas till unionens allmänna budget för att bättra skydda </w:t>
      </w:r>
      <w:r>
        <w:t xml:space="preserve">unionens allmänna </w:t>
      </w:r>
      <w:r w:rsidRPr="00A845F1">
        <w:t xml:space="preserve">budget mot ytterligare eventuella fallissemangsrisker från EIB:s finansieringstransaktioner för att hantera </w:t>
      </w:r>
      <w:r w:rsidRPr="00A845F1">
        <w:rPr>
          <w:b/>
          <w:i/>
          <w:szCs w:val="24"/>
        </w:rPr>
        <w:t xml:space="preserve">den långsiktiga ekonomiska motståndskraften för flyktingar, migranter och </w:t>
      </w:r>
      <w:r>
        <w:rPr>
          <w:b/>
          <w:i/>
          <w:szCs w:val="24"/>
        </w:rPr>
        <w:t xml:space="preserve">värd-, </w:t>
      </w:r>
      <w:r w:rsidRPr="00A845F1">
        <w:rPr>
          <w:b/>
          <w:i/>
          <w:szCs w:val="24"/>
        </w:rPr>
        <w:t>transit- och ursprungssamhällena som en strategisk respons för att ta itu med de</w:t>
      </w:r>
      <w:r w:rsidRPr="00A845F1">
        <w:t xml:space="preserve"> bakomliggande orsakerna till migration.</w:t>
      </w:r>
    </w:p>
    <w:p w:rsidR="00A93678" w:rsidRPr="00A93678" w:rsidRDefault="00A93678" w:rsidP="00A93678">
      <w:pPr>
        <w:autoSpaceDE w:val="0"/>
        <w:autoSpaceDN w:val="0"/>
        <w:adjustRightInd w:val="0"/>
        <w:spacing w:after="240" w:line="360" w:lineRule="auto"/>
        <w:ind w:left="567" w:hanging="567"/>
        <w:rPr>
          <w:szCs w:val="24"/>
        </w:rPr>
      </w:pPr>
      <w:r w:rsidRPr="00A845F1">
        <w:t>(5)</w:t>
      </w:r>
      <w:r w:rsidRPr="00A845F1">
        <w:tab/>
        <w:t>Förordning (EG, Euratom) nr 480/2009 bör därför ändras i enlighet med detta.</w:t>
      </w:r>
    </w:p>
    <w:p w:rsidR="00A93678" w:rsidRPr="00A93678" w:rsidRDefault="00A93678" w:rsidP="00A93678">
      <w:pPr>
        <w:autoSpaceDE w:val="0"/>
        <w:autoSpaceDN w:val="0"/>
        <w:adjustRightInd w:val="0"/>
        <w:spacing w:after="240" w:line="360" w:lineRule="auto"/>
        <w:rPr>
          <w:szCs w:val="24"/>
        </w:rPr>
      </w:pPr>
      <w:r w:rsidRPr="00A845F1">
        <w:t>HÄRIGENOM FÖRESKRIVS FÖLJANDE.</w:t>
      </w:r>
    </w:p>
    <w:p w:rsidR="00A93678" w:rsidRPr="00A93678" w:rsidRDefault="00A93678" w:rsidP="00A93678">
      <w:pPr>
        <w:pStyle w:val="Titrearticle"/>
        <w:rPr>
          <w:rFonts w:eastAsia="Times New Roman"/>
        </w:rPr>
      </w:pPr>
      <w:r w:rsidRPr="00A845F1">
        <w:br w:type="page"/>
      </w:r>
      <w:r w:rsidRPr="00A845F1">
        <w:lastRenderedPageBreak/>
        <w:t>Artikel 1</w:t>
      </w:r>
    </w:p>
    <w:p w:rsidR="00A93678" w:rsidRPr="00A93678" w:rsidRDefault="00A93678" w:rsidP="00A93678">
      <w:pPr>
        <w:autoSpaceDE w:val="0"/>
        <w:autoSpaceDN w:val="0"/>
        <w:adjustRightInd w:val="0"/>
        <w:spacing w:after="240" w:line="360" w:lineRule="auto"/>
        <w:rPr>
          <w:szCs w:val="24"/>
        </w:rPr>
      </w:pPr>
      <w:r w:rsidRPr="00A845F1">
        <w:t>Förordning (EG, Euratom) nr 480/2009 ska ändras på följande sätt:</w:t>
      </w:r>
    </w:p>
    <w:p w:rsidR="00A93678" w:rsidRPr="00A93678" w:rsidRDefault="00A93678" w:rsidP="00A93678">
      <w:pPr>
        <w:autoSpaceDE w:val="0"/>
        <w:autoSpaceDN w:val="0"/>
        <w:adjustRightInd w:val="0"/>
        <w:spacing w:after="240" w:line="360" w:lineRule="auto"/>
        <w:ind w:left="567" w:hanging="567"/>
        <w:rPr>
          <w:noProof/>
          <w:szCs w:val="24"/>
        </w:rPr>
      </w:pPr>
      <w:r w:rsidRPr="00A845F1">
        <w:t>1</w:t>
      </w:r>
      <w:r>
        <w:t>.</w:t>
      </w:r>
      <w:r w:rsidRPr="00A845F1">
        <w:tab/>
        <w:t xml:space="preserve">I artikel 2 ska följande strecksats </w:t>
      </w:r>
      <w:r>
        <w:t>läggas till</w:t>
      </w:r>
      <w:r w:rsidRPr="00A845F1">
        <w:t>:</w:t>
      </w:r>
    </w:p>
    <w:p w:rsidR="00A93678" w:rsidRPr="00A93678" w:rsidRDefault="00A93678" w:rsidP="00A93678">
      <w:pPr>
        <w:autoSpaceDE w:val="0"/>
        <w:autoSpaceDN w:val="0"/>
        <w:adjustRightInd w:val="0"/>
        <w:spacing w:after="240" w:line="360" w:lineRule="auto"/>
        <w:ind w:left="1134" w:hanging="567"/>
        <w:rPr>
          <w:noProof/>
          <w:szCs w:val="24"/>
        </w:rPr>
      </w:pPr>
      <w:r>
        <w:t>”</w:t>
      </w:r>
      <w:r w:rsidRPr="00425E3D">
        <w:t>–</w:t>
      </w:r>
      <w:r w:rsidRPr="00425E3D">
        <w:tab/>
      </w:r>
      <w:r w:rsidRPr="00A845F1">
        <w:t xml:space="preserve">intäkter från riskpremier som genererats av EIB:s finansieringstransaktioner som omfattas av unionens garanti </w:t>
      </w:r>
      <w:r w:rsidRPr="00A845F1">
        <w:rPr>
          <w:b/>
          <w:i/>
          <w:szCs w:val="24"/>
        </w:rPr>
        <w:t>som omfattas av ersättning.</w:t>
      </w:r>
      <w:r>
        <w:rPr>
          <w:b/>
          <w:i/>
          <w:szCs w:val="24"/>
        </w:rPr>
        <w:t>”</w:t>
      </w:r>
    </w:p>
    <w:p w:rsidR="00A93678" w:rsidRPr="00A93678" w:rsidRDefault="00A93678" w:rsidP="00A93678">
      <w:pPr>
        <w:autoSpaceDE w:val="0"/>
        <w:autoSpaceDN w:val="0"/>
        <w:adjustRightInd w:val="0"/>
        <w:spacing w:after="240" w:line="360" w:lineRule="auto"/>
        <w:ind w:left="567" w:hanging="567"/>
        <w:rPr>
          <w:noProof/>
          <w:szCs w:val="24"/>
        </w:rPr>
      </w:pPr>
      <w:r w:rsidRPr="00A845F1">
        <w:t>2</w:t>
      </w:r>
      <w:r>
        <w:t>.</w:t>
      </w:r>
      <w:r w:rsidRPr="00A845F1">
        <w:tab/>
        <w:t>I artikel 3 ska tredje stycket ersättas med följande:</w:t>
      </w:r>
    </w:p>
    <w:p w:rsidR="00A93678" w:rsidRPr="00A93678" w:rsidRDefault="00A93678" w:rsidP="00A93678">
      <w:pPr>
        <w:autoSpaceDE w:val="0"/>
        <w:autoSpaceDN w:val="0"/>
        <w:adjustRightInd w:val="0"/>
        <w:spacing w:after="240" w:line="360" w:lineRule="auto"/>
        <w:ind w:left="567"/>
        <w:rPr>
          <w:noProof/>
          <w:szCs w:val="24"/>
        </w:rPr>
      </w:pPr>
      <w:r>
        <w:t>”</w:t>
      </w:r>
      <w:r w:rsidRPr="00A845F1">
        <w:t>Om f</w:t>
      </w:r>
      <w:r>
        <w:t>ondens tillgångar överstiger 10 </w:t>
      </w:r>
      <w:r w:rsidRPr="00A845F1">
        <w:t xml:space="preserve">% av unionens totala utestående kapitalbelopp ska överskottet återbetalas till Europeiska unionens allmänna budget. Detta överskott ska betalas i en enda transaktion till en särskild rubrik i inkomstberäkningen i </w:t>
      </w:r>
      <w:r>
        <w:t xml:space="preserve">Europeiska </w:t>
      </w:r>
      <w:r w:rsidRPr="00A845F1">
        <w:t>unionens allmänna budget för år n+1 på grundval av differensen</w:t>
      </w:r>
      <w:r>
        <w:t xml:space="preserve"> vid slutet av år n–1 mellan 10 </w:t>
      </w:r>
      <w:r w:rsidRPr="00A845F1">
        <w:t xml:space="preserve">% av </w:t>
      </w:r>
      <w:r>
        <w:t>unionens</w:t>
      </w:r>
      <w:r w:rsidRPr="00A845F1">
        <w:t xml:space="preserve"> totala utestående kapitalbelopp och värdet av fondens nettotillgångar, beräknat i början av år n.</w:t>
      </w:r>
      <w:r>
        <w:t>”</w:t>
      </w:r>
    </w:p>
    <w:p w:rsidR="00A93678" w:rsidRPr="00A93678" w:rsidRDefault="00A93678" w:rsidP="00A93678">
      <w:pPr>
        <w:autoSpaceDE w:val="0"/>
        <w:autoSpaceDN w:val="0"/>
        <w:adjustRightInd w:val="0"/>
        <w:spacing w:after="240" w:line="360" w:lineRule="auto"/>
        <w:ind w:left="567" w:hanging="567"/>
        <w:rPr>
          <w:szCs w:val="24"/>
        </w:rPr>
      </w:pPr>
      <w:r w:rsidRPr="00A845F1">
        <w:t>3</w:t>
      </w:r>
      <w:r>
        <w:t>.</w:t>
      </w:r>
      <w:r w:rsidRPr="00A845F1">
        <w:tab/>
        <w:t>Artikel 7 ska ersättas med följande:</w:t>
      </w:r>
    </w:p>
    <w:p w:rsidR="00A93678" w:rsidRPr="00A93678" w:rsidRDefault="00A93678" w:rsidP="00A93678">
      <w:pPr>
        <w:autoSpaceDE w:val="0"/>
        <w:autoSpaceDN w:val="0"/>
        <w:adjustRightInd w:val="0"/>
        <w:spacing w:after="240" w:line="360" w:lineRule="auto"/>
        <w:ind w:left="851" w:hanging="284"/>
        <w:rPr>
          <w:szCs w:val="24"/>
        </w:rPr>
      </w:pPr>
      <w:r>
        <w:t>”</w:t>
      </w:r>
      <w:r w:rsidRPr="00A845F1">
        <w:t>Artikel 7</w:t>
      </w:r>
    </w:p>
    <w:p w:rsidR="00A93678" w:rsidRPr="00A93678" w:rsidRDefault="00A93678" w:rsidP="00A93678">
      <w:pPr>
        <w:autoSpaceDE w:val="0"/>
        <w:autoSpaceDN w:val="0"/>
        <w:adjustRightInd w:val="0"/>
        <w:spacing w:after="240" w:line="360" w:lineRule="auto"/>
        <w:ind w:left="851" w:hanging="284"/>
        <w:rPr>
          <w:noProof/>
          <w:szCs w:val="24"/>
        </w:rPr>
      </w:pPr>
      <w:r w:rsidRPr="00A845F1">
        <w:t xml:space="preserve">Kommissionens ska </w:t>
      </w:r>
      <w:r w:rsidRPr="00A845F1">
        <w:rPr>
          <w:b/>
          <w:i/>
        </w:rPr>
        <w:t>överlåta</w:t>
      </w:r>
      <w:r w:rsidRPr="00A845F1">
        <w:t xml:space="preserve"> </w:t>
      </w:r>
      <w:r>
        <w:t>fondens</w:t>
      </w:r>
      <w:r w:rsidRPr="00A845F1">
        <w:t xml:space="preserve"> ekonomiska förvaltning </w:t>
      </w:r>
      <w:r w:rsidRPr="00A845F1">
        <w:rPr>
          <w:b/>
          <w:i/>
        </w:rPr>
        <w:t>på EIB</w:t>
      </w:r>
      <w:r w:rsidRPr="00A845F1">
        <w:t>.</w:t>
      </w:r>
    </w:p>
    <w:p w:rsidR="00A93678" w:rsidRPr="00A93678" w:rsidRDefault="00A93678" w:rsidP="00A93678">
      <w:pPr>
        <w:autoSpaceDE w:val="0"/>
        <w:autoSpaceDN w:val="0"/>
        <w:adjustRightInd w:val="0"/>
        <w:spacing w:line="360" w:lineRule="auto"/>
        <w:ind w:left="851"/>
        <w:rPr>
          <w:b/>
          <w:i/>
          <w:szCs w:val="24"/>
        </w:rPr>
      </w:pPr>
      <w:r w:rsidRPr="00A845F1">
        <w:br w:type="page"/>
      </w:r>
      <w:r>
        <w:lastRenderedPageBreak/>
        <w:t xml:space="preserve">Senast </w:t>
      </w:r>
      <w:r w:rsidRPr="00A845F1">
        <w:rPr>
          <w:b/>
          <w:i/>
          <w:szCs w:val="24"/>
        </w:rPr>
        <w:t>den 30 juni 2019</w:t>
      </w:r>
      <w:r>
        <w:rPr>
          <w:b/>
          <w:i/>
          <w:szCs w:val="24"/>
        </w:rPr>
        <w:t xml:space="preserve"> ska kommissionen</w:t>
      </w:r>
      <w:r w:rsidRPr="00A845F1">
        <w:rPr>
          <w:b/>
          <w:i/>
          <w:szCs w:val="24"/>
        </w:rPr>
        <w:t xml:space="preserve"> till Europaparlamentet och rådet överlämna en oberoende extern utvärdering av för- och nackdelarna med att anförtro den ekonomiska förvaltningen av tillgångarna i fonden och Europeiska fonden för hållbar utveckling till kommissionen, EIB, eller till en kombination av båda, med beaktande av relevanta tekniska och institutionella kriterier som används vid jämförelse av kapitalförvaltningstjänster, inklusive teknisk infrastruktur,</w:t>
      </w:r>
      <w:r>
        <w:rPr>
          <w:b/>
          <w:i/>
          <w:szCs w:val="24"/>
        </w:rPr>
        <w:t xml:space="preserve"> en</w:t>
      </w:r>
      <w:r w:rsidRPr="00A845F1">
        <w:rPr>
          <w:b/>
          <w:i/>
          <w:szCs w:val="24"/>
        </w:rPr>
        <w:t xml:space="preserve"> jämförelse av kostnader för tillhandahållna tjänster, </w:t>
      </w:r>
      <w:r>
        <w:rPr>
          <w:b/>
          <w:i/>
          <w:szCs w:val="24"/>
        </w:rPr>
        <w:t xml:space="preserve">den </w:t>
      </w:r>
      <w:r w:rsidRPr="00A845F1">
        <w:rPr>
          <w:b/>
          <w:i/>
          <w:szCs w:val="24"/>
        </w:rPr>
        <w:t>institutionell</w:t>
      </w:r>
      <w:r>
        <w:rPr>
          <w:b/>
          <w:i/>
          <w:szCs w:val="24"/>
        </w:rPr>
        <w:t>a</w:t>
      </w:r>
      <w:r w:rsidRPr="00A845F1">
        <w:rPr>
          <w:b/>
          <w:i/>
          <w:szCs w:val="24"/>
        </w:rPr>
        <w:t xml:space="preserve"> struktur</w:t>
      </w:r>
      <w:r>
        <w:rPr>
          <w:b/>
          <w:i/>
          <w:szCs w:val="24"/>
        </w:rPr>
        <w:t>en</w:t>
      </w:r>
      <w:r w:rsidRPr="00A845F1">
        <w:rPr>
          <w:b/>
          <w:i/>
          <w:szCs w:val="24"/>
        </w:rPr>
        <w:t>, rapportering, resultat, ansvarsskyldighet och sakkunskap</w:t>
      </w:r>
      <w:r>
        <w:rPr>
          <w:b/>
          <w:i/>
          <w:szCs w:val="24"/>
        </w:rPr>
        <w:t>en</w:t>
      </w:r>
      <w:r w:rsidRPr="00A845F1">
        <w:rPr>
          <w:b/>
          <w:i/>
          <w:szCs w:val="24"/>
        </w:rPr>
        <w:t xml:space="preserve"> hos varje institution och övriga kapitalförvaltningsuppdrag avseende </w:t>
      </w:r>
      <w:r>
        <w:rPr>
          <w:b/>
          <w:i/>
          <w:szCs w:val="24"/>
        </w:rPr>
        <w:t>Europeiska unionens allmänna</w:t>
      </w:r>
      <w:r w:rsidRPr="00A845F1">
        <w:rPr>
          <w:b/>
          <w:i/>
          <w:szCs w:val="24"/>
        </w:rPr>
        <w:t xml:space="preserve"> budget. Utvärderingen ska vid behov åtföljas av ett lagstiftningsförslag.</w:t>
      </w:r>
      <w:r w:rsidR="00337C75">
        <w:rPr>
          <w:b/>
          <w:i/>
          <w:szCs w:val="24"/>
        </w:rPr>
        <w:t>”</w:t>
      </w:r>
      <w:bookmarkStart w:id="2" w:name="_GoBack"/>
      <w:bookmarkEnd w:id="2"/>
    </w:p>
    <w:p w:rsidR="00A93678" w:rsidRPr="00A93678" w:rsidRDefault="00A93678" w:rsidP="00A93678">
      <w:pPr>
        <w:spacing w:after="200" w:line="360" w:lineRule="auto"/>
        <w:rPr>
          <w:noProof/>
          <w:szCs w:val="24"/>
        </w:rPr>
      </w:pPr>
      <w:r w:rsidRPr="00A845F1">
        <w:br w:type="page"/>
      </w:r>
    </w:p>
    <w:p w:rsidR="00A93678" w:rsidRPr="00A93678" w:rsidRDefault="00A93678" w:rsidP="00A93678">
      <w:pPr>
        <w:autoSpaceDE w:val="0"/>
        <w:autoSpaceDN w:val="0"/>
        <w:adjustRightInd w:val="0"/>
        <w:spacing w:after="240" w:line="360" w:lineRule="auto"/>
        <w:ind w:left="567" w:hanging="567"/>
        <w:rPr>
          <w:noProof/>
          <w:szCs w:val="24"/>
        </w:rPr>
      </w:pPr>
      <w:r w:rsidRPr="00A845F1">
        <w:t>4</w:t>
      </w:r>
      <w:r>
        <w:t>.</w:t>
      </w:r>
      <w:r w:rsidRPr="00A845F1">
        <w:tab/>
        <w:t>Artikel 8 ska ersättas med följande:</w:t>
      </w:r>
    </w:p>
    <w:p w:rsidR="00A93678" w:rsidRPr="00A93678" w:rsidRDefault="00A93678" w:rsidP="00A93678">
      <w:pPr>
        <w:autoSpaceDE w:val="0"/>
        <w:autoSpaceDN w:val="0"/>
        <w:adjustRightInd w:val="0"/>
        <w:spacing w:line="360" w:lineRule="auto"/>
        <w:ind w:left="851" w:hanging="284"/>
        <w:rPr>
          <w:noProof/>
          <w:szCs w:val="24"/>
        </w:rPr>
      </w:pPr>
      <w:r>
        <w:t>”</w:t>
      </w:r>
      <w:r w:rsidRPr="00A845F1">
        <w:t>Artikel 8</w:t>
      </w:r>
    </w:p>
    <w:p w:rsidR="00A93678" w:rsidRPr="00A93678" w:rsidRDefault="00A93678" w:rsidP="00A93678">
      <w:pPr>
        <w:autoSpaceDE w:val="0"/>
        <w:autoSpaceDN w:val="0"/>
        <w:adjustRightInd w:val="0"/>
        <w:spacing w:line="360" w:lineRule="auto"/>
        <w:ind w:left="567"/>
        <w:rPr>
          <w:b/>
          <w:i/>
          <w:szCs w:val="24"/>
        </w:rPr>
      </w:pPr>
      <w:r w:rsidRPr="00A845F1">
        <w:t xml:space="preserve">Senast den 31 maj varje år ska </w:t>
      </w:r>
      <w:r w:rsidRPr="00A845F1">
        <w:rPr>
          <w:b/>
          <w:i/>
          <w:szCs w:val="24"/>
        </w:rPr>
        <w:t>kommissionen</w:t>
      </w:r>
      <w:r w:rsidRPr="00A845F1">
        <w:t xml:space="preserve"> till Europaparlamentet, rådet och revisionsrätten överlämna en årsrapport om fondens förvaltning under det föregående kalenderåret. Årsrapporten ska innehålla en presentation av fondens finansiella ställning </w:t>
      </w:r>
      <w:r w:rsidRPr="00A845F1">
        <w:rPr>
          <w:b/>
          <w:i/>
          <w:szCs w:val="24"/>
        </w:rPr>
        <w:t xml:space="preserve">och </w:t>
      </w:r>
      <w:r>
        <w:rPr>
          <w:b/>
          <w:i/>
          <w:szCs w:val="24"/>
        </w:rPr>
        <w:t>information om verksamheten</w:t>
      </w:r>
      <w:r w:rsidRPr="00A845F1">
        <w:t xml:space="preserve"> vid utgången av föregående kalenderår, de finansiella flödena liksom betydande transaktioner och all relevant information om räkenskaperna, </w:t>
      </w:r>
      <w:r w:rsidRPr="00A845F1">
        <w:rPr>
          <w:b/>
          <w:i/>
          <w:szCs w:val="24"/>
        </w:rPr>
        <w:t xml:space="preserve">såsom detaljerad information om utestående kapital för garanterade lån eller fondens tillgångar under det föregående kalenderåret samt slutsatser och lärdomar. </w:t>
      </w:r>
      <w:r>
        <w:rPr>
          <w:b/>
          <w:i/>
          <w:szCs w:val="24"/>
        </w:rPr>
        <w:t>Rapporten</w:t>
      </w:r>
      <w:r w:rsidRPr="00A845F1">
        <w:t xml:space="preserve"> ska också innehålla information om fondens ekonomiska förvaltning och </w:t>
      </w:r>
      <w:r>
        <w:t>fondens</w:t>
      </w:r>
      <w:r w:rsidRPr="00A845F1">
        <w:t xml:space="preserve">resultat och risker vid utgången av </w:t>
      </w:r>
      <w:r>
        <w:t xml:space="preserve">föregående </w:t>
      </w:r>
      <w:r w:rsidRPr="00A845F1">
        <w:rPr>
          <w:b/>
          <w:i/>
          <w:szCs w:val="24"/>
        </w:rPr>
        <w:t>kalenderår</w:t>
      </w:r>
      <w:r w:rsidRPr="00A845F1">
        <w:t>.</w:t>
      </w:r>
      <w:r w:rsidRPr="00A845F1">
        <w:rPr>
          <w:b/>
          <w:i/>
          <w:szCs w:val="24"/>
        </w:rPr>
        <w:t xml:space="preserve"> Från och med 2019 och vart tredje år därefter ska den även inbegripa en bedömning av lämpligheten av det målbelopp på 9 % och det tröskelvärde på 10 % för fonden som avses i </w:t>
      </w:r>
      <w:r>
        <w:rPr>
          <w:b/>
          <w:i/>
          <w:szCs w:val="24"/>
        </w:rPr>
        <w:t xml:space="preserve">artikel 3 </w:t>
      </w:r>
      <w:r w:rsidRPr="00A845F1">
        <w:rPr>
          <w:b/>
          <w:i/>
          <w:szCs w:val="24"/>
        </w:rPr>
        <w:t>andra respektive tredje stycket .</w:t>
      </w:r>
      <w:r>
        <w:rPr>
          <w:b/>
          <w:i/>
          <w:szCs w:val="24"/>
        </w:rPr>
        <w:t>”</w:t>
      </w:r>
    </w:p>
    <w:p w:rsidR="00A93678" w:rsidRPr="00A93678" w:rsidRDefault="00A93678" w:rsidP="00A93678">
      <w:pPr>
        <w:pStyle w:val="Titrearticle"/>
        <w:rPr>
          <w:rFonts w:eastAsia="Times New Roman"/>
          <w:noProof/>
        </w:rPr>
      </w:pPr>
      <w:r w:rsidRPr="00A845F1">
        <w:br w:type="page"/>
      </w:r>
      <w:r w:rsidRPr="00A845F1">
        <w:lastRenderedPageBreak/>
        <w:t>Artikel 2</w:t>
      </w:r>
    </w:p>
    <w:p w:rsidR="00A93678" w:rsidRPr="00A93678" w:rsidRDefault="00A93678" w:rsidP="00A93678">
      <w:pPr>
        <w:autoSpaceDE w:val="0"/>
        <w:autoSpaceDN w:val="0"/>
        <w:adjustRightInd w:val="0"/>
        <w:spacing w:before="240" w:line="360" w:lineRule="auto"/>
        <w:rPr>
          <w:noProof/>
          <w:szCs w:val="24"/>
        </w:rPr>
      </w:pPr>
      <w:r w:rsidRPr="00A845F1">
        <w:t xml:space="preserve">Denna förordning träder i kraft den tjugonde dagen efter det att den har offentliggjorts i </w:t>
      </w:r>
      <w:r w:rsidRPr="00A845F1">
        <w:rPr>
          <w:i/>
        </w:rPr>
        <w:t>Europeiska unionens officiella tidning</w:t>
      </w:r>
      <w:r w:rsidRPr="00A845F1">
        <w:t>.</w:t>
      </w:r>
    </w:p>
    <w:p w:rsidR="00A93678" w:rsidRPr="00A93678" w:rsidRDefault="00A93678" w:rsidP="00A93678">
      <w:pPr>
        <w:autoSpaceDE w:val="0"/>
        <w:autoSpaceDN w:val="0"/>
        <w:adjustRightInd w:val="0"/>
        <w:spacing w:before="240" w:line="360" w:lineRule="auto"/>
        <w:rPr>
          <w:noProof/>
          <w:szCs w:val="24"/>
        </w:rPr>
      </w:pPr>
      <w:r w:rsidRPr="00A845F1">
        <w:t>Denna förordning är till alla delar bindande och direkt tillämplig i alla medlemsstater.</w:t>
      </w:r>
    </w:p>
    <w:p w:rsidR="00A93678" w:rsidRPr="00A93678" w:rsidRDefault="00A93678" w:rsidP="00A93678">
      <w:pPr>
        <w:pStyle w:val="Fait"/>
        <w:rPr>
          <w:rFonts w:eastAsia="Times New Roman"/>
          <w:iCs/>
          <w:noProof/>
        </w:rPr>
      </w:pPr>
      <w:r w:rsidRPr="00A845F1">
        <w:t xml:space="preserve">Utfärdad i </w:t>
      </w:r>
    </w:p>
    <w:p w:rsidR="00A93678" w:rsidRPr="00A93678" w:rsidRDefault="00A93678" w:rsidP="00A93678">
      <w:pPr>
        <w:pStyle w:val="Institutionquisigne"/>
        <w:rPr>
          <w:rFonts w:eastAsia="Times New Roman"/>
          <w:iCs/>
          <w:noProof/>
        </w:rPr>
      </w:pPr>
      <w:r w:rsidRPr="00A845F1">
        <w:t>På Europaparlamentets vägnar</w:t>
      </w:r>
      <w:r w:rsidRPr="00A845F1">
        <w:tab/>
        <w:t>På rådets vägnar</w:t>
      </w:r>
    </w:p>
    <w:p w:rsidR="00A93678" w:rsidRPr="00A93678" w:rsidRDefault="00A93678" w:rsidP="00A93678">
      <w:pPr>
        <w:pStyle w:val="Personnequisigne"/>
        <w:rPr>
          <w:rFonts w:eastAsia="Times New Roman"/>
          <w:iCs/>
          <w:noProof/>
        </w:rPr>
      </w:pPr>
      <w:r w:rsidRPr="00A845F1">
        <w:t>Ordförande</w:t>
      </w:r>
      <w:r w:rsidRPr="00A845F1">
        <w:tab/>
        <w:t>Ordförande</w:t>
      </w:r>
    </w:p>
    <w:p w:rsidR="00A93678" w:rsidRPr="007E6157" w:rsidRDefault="00A93678" w:rsidP="00A93678">
      <w:pPr>
        <w:pStyle w:val="Lignefinal"/>
        <w:rPr>
          <w:bCs/>
        </w:rPr>
      </w:pPr>
    </w:p>
    <w:p w:rsidR="00AE46A3" w:rsidRPr="007F1ECE" w:rsidRDefault="00AE46A3" w:rsidP="00AE46A3">
      <w:pPr>
        <w:pStyle w:val="Olang"/>
      </w:pPr>
      <w:r w:rsidRPr="007F1ECE">
        <w:t xml:space="preserve">Or. </w:t>
      </w:r>
      <w:r w:rsidRPr="007F1ECE">
        <w:rPr>
          <w:rStyle w:val="HideTWBExt"/>
          <w:noProof w:val="0"/>
        </w:rPr>
        <w:t>&lt;Original&gt;</w:t>
      </w:r>
      <w:r w:rsidR="00A93678" w:rsidRPr="00A93678">
        <w:rPr>
          <w:rStyle w:val="HideTWBInt"/>
        </w:rPr>
        <w:t>{EN}</w:t>
      </w:r>
      <w:r w:rsidR="00A93678">
        <w:t>en</w:t>
      </w:r>
      <w:r w:rsidRPr="007F1ECE">
        <w:rPr>
          <w:rStyle w:val="HideTWBExt"/>
          <w:noProof w:val="0"/>
        </w:rPr>
        <w:t>&lt;/Original&gt;</w:t>
      </w:r>
    </w:p>
    <w:p w:rsidR="0004541F" w:rsidRPr="007F1ECE" w:rsidRDefault="0004541F">
      <w:r w:rsidRPr="007F1ECE">
        <w:rPr>
          <w:rStyle w:val="HideTWBExt"/>
          <w:noProof w:val="0"/>
        </w:rPr>
        <w:t>&lt;/Amend&gt;</w:t>
      </w:r>
    </w:p>
    <w:sectPr w:rsidR="0004541F" w:rsidRPr="007F1ECE"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CE" w:rsidRPr="007F1ECE" w:rsidRDefault="007F1ECE">
      <w:r w:rsidRPr="007F1ECE">
        <w:separator/>
      </w:r>
    </w:p>
  </w:endnote>
  <w:endnote w:type="continuationSeparator" w:id="0">
    <w:p w:rsidR="007F1ECE" w:rsidRPr="007F1ECE" w:rsidRDefault="007F1ECE">
      <w:r w:rsidRPr="007F1E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75" w:rsidRDefault="00337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7F1ECE" w:rsidRDefault="00B92ABC">
    <w:pPr>
      <w:pStyle w:val="Footer"/>
    </w:pPr>
    <w:r w:rsidRPr="007F1ECE">
      <w:rPr>
        <w:rStyle w:val="HideTWBExt"/>
        <w:noProof w:val="0"/>
      </w:rPr>
      <w:t>&lt;PathFdR&gt;</w:t>
    </w:r>
    <w:r w:rsidR="00A93678" w:rsidRPr="00A93678">
      <w:t>AM\1145100SV.docx</w:t>
    </w:r>
    <w:r w:rsidRPr="007F1ECE">
      <w:rPr>
        <w:rStyle w:val="HideTWBExt"/>
        <w:noProof w:val="0"/>
      </w:rPr>
      <w:t>&lt;/PathFdR&gt;</w:t>
    </w:r>
    <w:r w:rsidRPr="007F1ECE">
      <w:tab/>
    </w:r>
    <w:r w:rsidRPr="007F1ECE">
      <w:rPr>
        <w:rStyle w:val="PageNumber"/>
      </w:rPr>
      <w:fldChar w:fldCharType="begin"/>
    </w:r>
    <w:r w:rsidRPr="007F1ECE">
      <w:rPr>
        <w:rStyle w:val="PageNumber"/>
      </w:rPr>
      <w:instrText xml:space="preserve"> PAGE </w:instrText>
    </w:r>
    <w:r w:rsidRPr="007F1ECE">
      <w:rPr>
        <w:rStyle w:val="PageNumber"/>
      </w:rPr>
      <w:fldChar w:fldCharType="separate"/>
    </w:r>
    <w:r w:rsidR="00337C75">
      <w:rPr>
        <w:rStyle w:val="PageNumber"/>
        <w:noProof/>
      </w:rPr>
      <w:t>4</w:t>
    </w:r>
    <w:r w:rsidRPr="007F1ECE">
      <w:rPr>
        <w:rStyle w:val="PageNumber"/>
      </w:rPr>
      <w:fldChar w:fldCharType="end"/>
    </w:r>
    <w:r w:rsidRPr="007F1ECE">
      <w:rPr>
        <w:rStyle w:val="PageNumber"/>
      </w:rPr>
      <w:t>/</w:t>
    </w:r>
    <w:r w:rsidRPr="007F1ECE">
      <w:rPr>
        <w:rStyle w:val="PageNumber"/>
      </w:rPr>
      <w:fldChar w:fldCharType="begin"/>
    </w:r>
    <w:r w:rsidRPr="007F1ECE">
      <w:rPr>
        <w:rStyle w:val="PageNumber"/>
      </w:rPr>
      <w:instrText xml:space="preserve"> NUMPAGES </w:instrText>
    </w:r>
    <w:r w:rsidRPr="007F1ECE">
      <w:rPr>
        <w:rStyle w:val="PageNumber"/>
      </w:rPr>
      <w:fldChar w:fldCharType="separate"/>
    </w:r>
    <w:r w:rsidR="00337C75">
      <w:rPr>
        <w:rStyle w:val="PageNumber"/>
        <w:noProof/>
      </w:rPr>
      <w:t>6</w:t>
    </w:r>
    <w:r w:rsidRPr="007F1ECE">
      <w:rPr>
        <w:rStyle w:val="PageNumber"/>
      </w:rPr>
      <w:fldChar w:fldCharType="end"/>
    </w:r>
    <w:r w:rsidRPr="007F1ECE">
      <w:tab/>
      <w:t>PE</w:t>
    </w:r>
    <w:r w:rsidRPr="007F1ECE">
      <w:rPr>
        <w:rStyle w:val="HideTWBExt"/>
        <w:noProof w:val="0"/>
      </w:rPr>
      <w:t>&lt;NoPE&gt;</w:t>
    </w:r>
    <w:r w:rsidR="00A93678">
      <w:t>614.373</w:t>
    </w:r>
    <w:r w:rsidRPr="007F1ECE">
      <w:rPr>
        <w:rStyle w:val="HideTWBExt"/>
        <w:noProof w:val="0"/>
      </w:rPr>
      <w:t>&lt;/NoPE&gt;&lt;Version&gt;</w:t>
    </w:r>
    <w:r w:rsidR="007F1ECE" w:rsidRPr="007F1ECE">
      <w:t>v</w:t>
    </w:r>
    <w:r w:rsidR="00A93678">
      <w:t>01-00</w:t>
    </w:r>
    <w:r w:rsidRPr="007F1ECE">
      <w:rPr>
        <w:rStyle w:val="HideTWBExt"/>
        <w:noProof w:val="0"/>
      </w:rPr>
      <w:t>&lt;/Version&gt;</w:t>
    </w:r>
  </w:p>
  <w:p w:rsidR="00B92ABC" w:rsidRPr="007F1ECE" w:rsidRDefault="00875510" w:rsidP="00FB235E">
    <w:pPr>
      <w:pStyle w:val="Footer2"/>
      <w:tabs>
        <w:tab w:val="center" w:pos="4535"/>
      </w:tabs>
    </w:pPr>
    <w:r w:rsidRPr="007F1ECE">
      <w:fldChar w:fldCharType="begin"/>
    </w:r>
    <w:r w:rsidRPr="007F1ECE">
      <w:instrText xml:space="preserve"> DOCPROPERTY "&lt;Extension&gt;" </w:instrText>
    </w:r>
    <w:r w:rsidRPr="007F1ECE">
      <w:fldChar w:fldCharType="separate"/>
    </w:r>
    <w:r w:rsidR="00337C75">
      <w:t>SV</w:t>
    </w:r>
    <w:r w:rsidRPr="007F1ECE">
      <w:fldChar w:fldCharType="end"/>
    </w:r>
    <w:r w:rsidRPr="007F1ECE">
      <w:rPr>
        <w:color w:val="C0C0C0"/>
      </w:rPr>
      <w:tab/>
    </w:r>
    <w:r w:rsidR="00A93678">
      <w:rPr>
        <w:b w:val="0"/>
        <w:i/>
        <w:color w:val="C0C0C0"/>
        <w:sz w:val="22"/>
        <w:szCs w:val="22"/>
      </w:rPr>
      <w:t>Förenade i mångfalden</w:t>
    </w:r>
    <w:r w:rsidRPr="007F1ECE">
      <w:rPr>
        <w:color w:val="C0C0C0"/>
      </w:rPr>
      <w:tab/>
    </w:r>
    <w:r w:rsidRPr="007F1ECE">
      <w:fldChar w:fldCharType="begin"/>
    </w:r>
    <w:r w:rsidRPr="007F1ECE">
      <w:instrText xml:space="preserve"> DOCPROPERTY "&lt;Extension&gt;" </w:instrText>
    </w:r>
    <w:r w:rsidRPr="007F1ECE">
      <w:fldChar w:fldCharType="separate"/>
    </w:r>
    <w:r w:rsidR="00337C75">
      <w:t>SV</w:t>
    </w:r>
    <w:r w:rsidRPr="007F1EC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75" w:rsidRDefault="00337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CE" w:rsidRPr="007F1ECE" w:rsidRDefault="007F1ECE">
      <w:r w:rsidRPr="007F1ECE">
        <w:separator/>
      </w:r>
    </w:p>
  </w:footnote>
  <w:footnote w:type="continuationSeparator" w:id="0">
    <w:p w:rsidR="007F1ECE" w:rsidRPr="007F1ECE" w:rsidRDefault="007F1ECE">
      <w:r w:rsidRPr="007F1ECE">
        <w:continuationSeparator/>
      </w:r>
    </w:p>
  </w:footnote>
  <w:footnote w:id="1">
    <w:p w:rsidR="00B92ABC" w:rsidRPr="007F1ECE" w:rsidRDefault="00B92ABC">
      <w:pPr>
        <w:pStyle w:val="FootnoteText"/>
      </w:pPr>
      <w:r w:rsidRPr="007F1ECE">
        <w:rPr>
          <w:rStyle w:val="FootnoteReference"/>
        </w:rPr>
        <w:t>*</w:t>
      </w:r>
      <w:r w:rsidRPr="007F1ECE">
        <w:t xml:space="preserve"> </w:t>
      </w:r>
      <w:r w:rsidR="007F1ECE" w:rsidRPr="007F1ECE">
        <w:rPr>
          <w:szCs w:val="22"/>
        </w:rPr>
        <w:t>Ändringar: ny text eller text som ersätter tidigare text markeras med fetkursiv stil och strykningar med symbolen ▌.</w:t>
      </w:r>
    </w:p>
  </w:footnote>
  <w:footnote w:id="2">
    <w:p w:rsidR="00A93678" w:rsidRDefault="00A93678" w:rsidP="00A93678">
      <w:pPr>
        <w:pStyle w:val="FootnoteText"/>
        <w:ind w:left="851" w:hanging="851"/>
      </w:pPr>
      <w:r>
        <w:rPr>
          <w:rStyle w:val="FootnoteReference"/>
        </w:rPr>
        <w:footnoteRef/>
      </w:r>
      <w:r>
        <w:t xml:space="preserve"> </w:t>
      </w:r>
      <w:r w:rsidRPr="0057423B">
        <w:t>Europaparlamentets ståndpunkt av den ... (ännu ej offentliggjord i EUT) och rådets beslut av den</w:t>
      </w:r>
      <w:r>
        <w:t xml:space="preserve"> ….</w:t>
      </w:r>
    </w:p>
  </w:footnote>
  <w:footnote w:id="3">
    <w:p w:rsidR="00A93678" w:rsidRDefault="00A93678" w:rsidP="00A93678">
      <w:pPr>
        <w:pStyle w:val="FootnoteText"/>
      </w:pPr>
      <w:r>
        <w:rPr>
          <w:rStyle w:val="FootnoteReference"/>
        </w:rPr>
        <w:footnoteRef/>
      </w:r>
      <w:r>
        <w:t xml:space="preserve"> </w:t>
      </w:r>
      <w:r w:rsidRPr="0057423B">
        <w:t>Rådets förord</w:t>
      </w:r>
      <w:r>
        <w:t>n</w:t>
      </w:r>
      <w:r w:rsidRPr="0057423B">
        <w:t>ing (EG, Euratom) nr 480/2009 av den 25 maj 2009 om upprättande av en garantifond för åtgärder avseende tredje land</w:t>
      </w:r>
      <w:r>
        <w:t xml:space="preserve"> (EUT L 145, 10.6.2009,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75" w:rsidRDefault="00337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75" w:rsidRDefault="00337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75" w:rsidRDefault="00337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1"/>
    <w:docVar w:name="DOCDT" w:val="01/02/2018"/>
    <w:docVar w:name="DOCMNU" w:val=" 1"/>
    <w:docVar w:name="iNoAmend" w:val="7"/>
    <w:docVar w:name="LastEditedSection" w:val=" 1"/>
    <w:docVar w:name="NRAKEY" w:val="0132"/>
    <w:docVar w:name="ORLANGKEY" w:val="EN"/>
    <w:docVar w:name="RepeatBlock-AmendS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83712 HideTWBExt;}}{\*\rsidtbl \rsid24658\rsid735077\rsid1783712\rsid2892074\rsid4666813\rsid4804277\rsid6641733\rsid9636012\rsid11215221\rsid12154954\rsid14424199\rsid15204470\rsid15285974_x000d__x000a_\rsid15950462\rsid16324206\rsid16662270}{\mmathPr\mmathFont34\mbrkBin0\mbrkBinSub0\msmallFrac0\mdispDef1\mlMargin0\mrMargin0\mdefJc1\mwrapIndent1440\mintLim0\mnaryLim1}{\info{\author SJ\'d6HOLM Outi}{\operator SJ\'d6HOLM Outi}_x000d__x000a_{\creatim\yr2018\mo2\dy2\hr15\min5}{\revtim\yr2018\mo2\dy2\hr15\min5}{\version1}{\edmins0}{\nofpages1}{\nofwords0}{\nofchars7}{\*\company European Parliament}{\nofcharsws7}{\vern57443}}{\*\xmlnstbl {\xmlns1 http://schemas.microsoft.com/office/word/2003/wo_x000d__x000a_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83712\utinl \fet0{\*\wgrffmtfilter 013f}\ilfomacatclnup0{\*\template C:\\Users\\osjoholm\\AppData\\Local\\Temp\\Blank1.dot}{\*\ftnsep \ltrpar \pard\plain \ltrpar_x000d__x000a_\ql \li0\ri0\widctlpar\wrapdefault\aspalpha\aspnum\faauto\adjustright\rin0\lin0\itap0 \rtlch\fcs1 \af0\afs20\alang1025 \ltrch\fcs0 \fs24\lang2057\langfe2057\cgrid\langnp2057\langfenp2057 {\rtlch\fcs1 \af0 \ltrch\fcs0 \insrsid4804277 \chftnsep _x000d__x000a_\par }}{\*\ftnsepc \ltrpar \pard\plain \ltrpar\ql \li0\ri0\widctlpar\wrapdefault\aspalpha\aspnum\faauto\adjustright\rin0\lin0\itap0 \rtlch\fcs1 \af0\afs20\alang1025 \ltrch\fcs0 \fs24\lang2057\langfe2057\cgrid\langnp2057\langfenp2057 {\rtlch\fcs1 \af0 _x000d__x000a_\ltrch\fcs0 \insrsid4804277 \chftnsepc _x000d__x000a_\par }}{\*\aftnsep \ltrpar \pard\plain \ltrpar\ql \li0\ri0\widctlpar\wrapdefault\aspalpha\aspnum\faauto\adjustright\rin0\lin0\itap0 \rtlch\fcs1 \af0\afs20\alang1025 \ltrch\fcs0 \fs24\lang2057\langfe2057\cgrid\langnp2057\langfenp2057 {\rtlch\fcs1 \af0 _x000d__x000a_\ltrch\fcs0 \insrsid4804277 \chftnsep _x000d__x000a_\par }}{\*\aftnsepc \ltrpar \pard\plain \ltrpar\ql \li0\ri0\widctlpar\wrapdefault\aspalpha\aspnum\faauto\adjustright\rin0\lin0\itap0 \rtlch\fcs1 \af0\afs20\alang1025 \ltrch\fcs0 \fs24\lang2057\langfe2057\cgrid\langnp2057\langfenp2057 {\rtlch\fcs1 \af0 _x000d__x000a_\ltrch\fcs0 \insrsid48042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783712\charrsid8330958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4_x000d__x000a_a0d92e9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45"/>
    <w:docVar w:name="TITLEMNU" w:val=" 1"/>
    <w:docVar w:name="TVTMEMBERS1" w:val="Eider Gardiazabal Rubial"/>
    <w:docVar w:name="TXTLANGUE" w:val="SV"/>
    <w:docVar w:name="TXTLANGUEMIN" w:val="sv"/>
    <w:docVar w:name="TXTNRPE" w:val="614.373"/>
    <w:docVar w:name="TXTPEorAP" w:val="PE"/>
    <w:docVar w:name="TXTROUTE" w:val="AM\1145100SV.docx"/>
    <w:docVar w:name="TXTVERSION" w:val="01-00"/>
  </w:docVars>
  <w:rsids>
    <w:rsidRoot w:val="007F1ECE"/>
    <w:rsid w:val="0004541F"/>
    <w:rsid w:val="000C7D90"/>
    <w:rsid w:val="001A2045"/>
    <w:rsid w:val="001A71DA"/>
    <w:rsid w:val="001A7FD0"/>
    <w:rsid w:val="002B3AF1"/>
    <w:rsid w:val="00337C75"/>
    <w:rsid w:val="003B7E48"/>
    <w:rsid w:val="003E71B1"/>
    <w:rsid w:val="004731D6"/>
    <w:rsid w:val="00481E81"/>
    <w:rsid w:val="004959CE"/>
    <w:rsid w:val="00525DC0"/>
    <w:rsid w:val="005E6C7D"/>
    <w:rsid w:val="00623133"/>
    <w:rsid w:val="006339AB"/>
    <w:rsid w:val="00660F58"/>
    <w:rsid w:val="006A5C2D"/>
    <w:rsid w:val="006C0168"/>
    <w:rsid w:val="00766A75"/>
    <w:rsid w:val="007A605C"/>
    <w:rsid w:val="007F1ECE"/>
    <w:rsid w:val="0086033A"/>
    <w:rsid w:val="00874E6B"/>
    <w:rsid w:val="00875510"/>
    <w:rsid w:val="00892C85"/>
    <w:rsid w:val="00893ABA"/>
    <w:rsid w:val="008F566E"/>
    <w:rsid w:val="00905977"/>
    <w:rsid w:val="00907D63"/>
    <w:rsid w:val="00907F1D"/>
    <w:rsid w:val="0093649F"/>
    <w:rsid w:val="0097051C"/>
    <w:rsid w:val="009731C5"/>
    <w:rsid w:val="009A17A9"/>
    <w:rsid w:val="00A93678"/>
    <w:rsid w:val="00AD4980"/>
    <w:rsid w:val="00AE46A3"/>
    <w:rsid w:val="00B9229C"/>
    <w:rsid w:val="00B92ABC"/>
    <w:rsid w:val="00BD4891"/>
    <w:rsid w:val="00C2106C"/>
    <w:rsid w:val="00C23925"/>
    <w:rsid w:val="00C60300"/>
    <w:rsid w:val="00D13D6F"/>
    <w:rsid w:val="00D2771D"/>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BD058D-925E-45A0-856B-18E407C7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FootnoteTextChar">
    <w:name w:val="Footnote Text Char"/>
    <w:link w:val="FootnoteText"/>
    <w:rsid w:val="00A93678"/>
    <w:rPr>
      <w:sz w:val="22"/>
      <w:lang w:val="sv-SE"/>
    </w:rPr>
  </w:style>
  <w:style w:type="paragraph" w:customStyle="1" w:styleId="Fait">
    <w:name w:val="Fait à"/>
    <w:basedOn w:val="Normal"/>
    <w:next w:val="Institutionquisigne"/>
    <w:rsid w:val="00A93678"/>
    <w:pPr>
      <w:keepNext/>
      <w:widowControl/>
      <w:spacing w:before="120" w:line="360" w:lineRule="auto"/>
    </w:pPr>
    <w:rPr>
      <w:rFonts w:eastAsia="Calibri"/>
      <w:szCs w:val="22"/>
      <w:lang w:eastAsia="en-US"/>
    </w:rPr>
  </w:style>
  <w:style w:type="paragraph" w:customStyle="1" w:styleId="Institutionquisigne">
    <w:name w:val="Institution qui signe"/>
    <w:basedOn w:val="Normal"/>
    <w:next w:val="Personnequisigne"/>
    <w:rsid w:val="00A93678"/>
    <w:pPr>
      <w:keepNext/>
      <w:widowControl/>
      <w:tabs>
        <w:tab w:val="left" w:pos="5669"/>
      </w:tabs>
      <w:spacing w:before="720" w:line="360" w:lineRule="auto"/>
    </w:pPr>
    <w:rPr>
      <w:rFonts w:eastAsia="Calibri"/>
      <w:i/>
      <w:szCs w:val="22"/>
      <w:lang w:eastAsia="en-US"/>
    </w:rPr>
  </w:style>
  <w:style w:type="paragraph" w:customStyle="1" w:styleId="Personnequisigne">
    <w:name w:val="Personne qui signe"/>
    <w:basedOn w:val="Normal"/>
    <w:next w:val="Institutionquisigne"/>
    <w:rsid w:val="00A93678"/>
    <w:pPr>
      <w:widowControl/>
      <w:tabs>
        <w:tab w:val="left" w:pos="5669"/>
      </w:tabs>
      <w:spacing w:line="360" w:lineRule="auto"/>
    </w:pPr>
    <w:rPr>
      <w:rFonts w:eastAsia="Calibri"/>
      <w:i/>
      <w:szCs w:val="22"/>
      <w:lang w:eastAsia="en-US"/>
    </w:rPr>
  </w:style>
  <w:style w:type="paragraph" w:customStyle="1" w:styleId="Titrearticle">
    <w:name w:val="Titre article"/>
    <w:basedOn w:val="Normal"/>
    <w:next w:val="Normal"/>
    <w:rsid w:val="00A93678"/>
    <w:pPr>
      <w:keepNext/>
      <w:widowControl/>
      <w:spacing w:before="360" w:after="120" w:line="360" w:lineRule="auto"/>
      <w:jc w:val="center"/>
    </w:pPr>
    <w:rPr>
      <w:rFonts w:eastAsia="Calibri"/>
      <w:i/>
      <w:szCs w:val="22"/>
      <w:lang w:eastAsia="en-US"/>
    </w:rPr>
  </w:style>
  <w:style w:type="paragraph" w:customStyle="1" w:styleId="Lignefinal">
    <w:name w:val="Ligne final"/>
    <w:basedOn w:val="Normal"/>
    <w:next w:val="Normal"/>
    <w:link w:val="LignefinalChar"/>
    <w:rsid w:val="00A93678"/>
    <w:pPr>
      <w:widowControl/>
      <w:pBdr>
        <w:bottom w:val="single" w:sz="4" w:space="0" w:color="000000"/>
      </w:pBdr>
      <w:spacing w:before="360" w:after="120" w:line="360" w:lineRule="auto"/>
      <w:ind w:left="3400" w:right="3400"/>
      <w:jc w:val="center"/>
    </w:pPr>
    <w:rPr>
      <w:rFonts w:eastAsia="Calibri"/>
      <w:b/>
      <w:szCs w:val="22"/>
      <w:lang w:eastAsia="en-US"/>
    </w:rPr>
  </w:style>
  <w:style w:type="character" w:customStyle="1" w:styleId="LignefinalChar">
    <w:name w:val="Ligne final Char"/>
    <w:link w:val="Lignefinal"/>
    <w:rsid w:val="00A93678"/>
    <w:rPr>
      <w:rFonts w:eastAsia="Calibri"/>
      <w:b/>
      <w:sz w:val="24"/>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1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2B023A21.dotm</Template>
  <TotalTime>0</TotalTime>
  <Pages>6</Pages>
  <Words>668</Words>
  <Characters>4688</Characters>
  <Application>Microsoft Office Word</Application>
  <DocSecurity>0</DocSecurity>
  <Lines>334</Lines>
  <Paragraphs>315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SJÖHOLM Outi</dc:creator>
  <cp:keywords/>
  <dc:description/>
  <cp:lastModifiedBy>SJÖHOLM Outi</cp:lastModifiedBy>
  <cp:revision>2</cp:revision>
  <cp:lastPrinted>2004-11-28T11:03:00Z</cp:lastPrinted>
  <dcterms:created xsi:type="dcterms:W3CDTF">2018-02-02T14:22:00Z</dcterms:created>
  <dcterms:modified xsi:type="dcterms:W3CDTF">2018-02-02T14:22:00Z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1145100</vt:lpwstr>
  </property>
  <property fmtid="{D5CDD505-2E9C-101B-9397-08002B2CF9AE}" pid="6" name="&lt;Type&gt;">
    <vt:lpwstr>AM</vt:lpwstr>
  </property>
  <property fmtid="{D5CDD505-2E9C-101B-9397-08002B2CF9AE}" pid="7" name="&lt;ModelCod&gt;">
    <vt:lpwstr>\\eiciLUXpr1\pdocep$\DocEP\DOCS\General\AM\AM_Leg\AM_Ple_Leg\AM_Ple_LegConsolidated.dot(17/02/2016 10:46:18)</vt:lpwstr>
  </property>
  <property fmtid="{D5CDD505-2E9C-101B-9397-08002B2CF9AE}" pid="8" name="&lt;ModelTra&gt;">
    <vt:lpwstr>\\eiciLUXpr1\pdocep$\DocEP\TRANSFIL\SV\AM_Ple_LegConsolidated.SV(22/09/2016 14:46:09)</vt:lpwstr>
  </property>
  <property fmtid="{D5CDD505-2E9C-101B-9397-08002B2CF9AE}" pid="9" name="&lt;Model&gt;">
    <vt:lpwstr>AM_Ple_LegConsolidated</vt:lpwstr>
  </property>
  <property fmtid="{D5CDD505-2E9C-101B-9397-08002B2CF9AE}" pid="10" name="FooterPath">
    <vt:lpwstr>AM\1145100SV.docx</vt:lpwstr>
  </property>
  <property fmtid="{D5CDD505-2E9C-101B-9397-08002B2CF9AE}" pid="11" name="PE number">
    <vt:lpwstr>614.373</vt:lpwstr>
  </property>
  <property fmtid="{D5CDD505-2E9C-101B-9397-08002B2CF9AE}" pid="12" name="Bookout">
    <vt:lpwstr>OK - 2018/02/02 15:22</vt:lpwstr>
  </property>
</Properties>
</file>