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1876C4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1876C4" w:rsidRDefault="001876C4" w:rsidP="009E2EDA">
            <w:pPr>
              <w:pStyle w:val="EPName"/>
              <w:rPr>
                <w:lang w:val="sk-SK"/>
              </w:rPr>
            </w:pPr>
            <w:bookmarkStart w:id="0" w:name="_GoBack"/>
            <w:bookmarkEnd w:id="0"/>
            <w:r w:rsidRPr="001876C4">
              <w:rPr>
                <w:lang w:val="sk-SK"/>
              </w:rPr>
              <w:t>Európsky parlament</w:t>
            </w:r>
          </w:p>
          <w:p w:rsidR="009949CB" w:rsidRPr="00CB3EFE" w:rsidRDefault="00CB3EFE" w:rsidP="00CB3EFE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1876C4" w:rsidRDefault="008C394F" w:rsidP="009E2EDA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50.95pt">
                  <v:imagedata r:id="rId7" o:title="EP logo RGB_Mute"/>
                </v:shape>
              </w:pict>
            </w:r>
          </w:p>
        </w:tc>
      </w:tr>
    </w:tbl>
    <w:p w:rsidR="00D65833" w:rsidRPr="001876C4" w:rsidRDefault="00D65833" w:rsidP="00D65833">
      <w:pPr>
        <w:pStyle w:val="LineTop"/>
        <w:rPr>
          <w:lang w:val="sk-SK"/>
        </w:rPr>
      </w:pPr>
    </w:p>
    <w:p w:rsidR="00D65833" w:rsidRPr="001876C4" w:rsidRDefault="00D65833" w:rsidP="00D65833">
      <w:pPr>
        <w:pStyle w:val="ZCommittee"/>
        <w:rPr>
          <w:lang w:val="sk-SK"/>
        </w:rPr>
      </w:pPr>
      <w:r w:rsidRPr="001876C4">
        <w:rPr>
          <w:rStyle w:val="HideTWBExt"/>
          <w:noProof w:val="0"/>
          <w:lang w:val="sk-SK"/>
        </w:rPr>
        <w:t>&lt;</w:t>
      </w:r>
      <w:r w:rsidRPr="001876C4">
        <w:rPr>
          <w:rStyle w:val="HideTWBExt"/>
          <w:i w:val="0"/>
          <w:noProof w:val="0"/>
          <w:lang w:val="sk-SK"/>
        </w:rPr>
        <w:t>Commission&gt;</w:t>
      </w:r>
      <w:r w:rsidR="001876C4" w:rsidRPr="001876C4">
        <w:rPr>
          <w:lang w:val="sk-SK"/>
        </w:rPr>
        <w:t>Dokument na schôdzu</w:t>
      </w:r>
      <w:r w:rsidRPr="001876C4">
        <w:rPr>
          <w:rStyle w:val="HideTWBExt"/>
          <w:noProof w:val="0"/>
          <w:lang w:val="sk-SK"/>
        </w:rPr>
        <w:t>&lt;/</w:t>
      </w:r>
      <w:r w:rsidRPr="001876C4">
        <w:rPr>
          <w:rStyle w:val="HideTWBExt"/>
          <w:i w:val="0"/>
          <w:noProof w:val="0"/>
          <w:lang w:val="sk-SK"/>
        </w:rPr>
        <w:t>Commission</w:t>
      </w:r>
      <w:r w:rsidRPr="001876C4">
        <w:rPr>
          <w:rStyle w:val="HideTWBExt"/>
          <w:noProof w:val="0"/>
          <w:lang w:val="sk-SK"/>
        </w:rPr>
        <w:t>&gt;</w:t>
      </w:r>
    </w:p>
    <w:p w:rsidR="00D65833" w:rsidRPr="001876C4" w:rsidRDefault="00D65833" w:rsidP="00D65833">
      <w:pPr>
        <w:pStyle w:val="LineBottom"/>
      </w:pPr>
    </w:p>
    <w:p w:rsidR="008B31F4" w:rsidRPr="001876C4" w:rsidRDefault="008B31F4" w:rsidP="008B31F4">
      <w:pPr>
        <w:pStyle w:val="ZDateAdd"/>
      </w:pPr>
      <w:r w:rsidRPr="001876C4">
        <w:rPr>
          <w:rStyle w:val="HideTWBExt"/>
          <w:noProof w:val="0"/>
        </w:rPr>
        <w:t>&lt;Date&gt;</w:t>
      </w:r>
      <w:r w:rsidR="00CB3EFE" w:rsidRPr="00CB3EFE">
        <w:rPr>
          <w:rStyle w:val="HideTWBInt"/>
        </w:rPr>
        <w:t>{30/06/2017}</w:t>
      </w:r>
      <w:r w:rsidR="00CB3EFE">
        <w:t>30.6.2017</w:t>
      </w:r>
      <w:r w:rsidRPr="001876C4">
        <w:rPr>
          <w:rStyle w:val="HideTWBExt"/>
          <w:noProof w:val="0"/>
        </w:rPr>
        <w:t>&lt;/Date&gt;</w:t>
      </w:r>
      <w:r w:rsidRPr="001876C4">
        <w:tab/>
      </w:r>
      <w:r w:rsidRPr="001876C4">
        <w:rPr>
          <w:rStyle w:val="HideTWBExt"/>
          <w:noProof w:val="0"/>
        </w:rPr>
        <w:t>&lt;NoDocSe&gt;</w:t>
      </w:r>
      <w:r w:rsidR="00CB3EFE">
        <w:rPr>
          <w:rFonts w:ascii="Arial" w:hAnsi="Arial"/>
          <w:b/>
          <w:bCs/>
        </w:rPr>
        <w:t>A8</w:t>
      </w:r>
      <w:r w:rsidR="00CB3EFE">
        <w:rPr>
          <w:rFonts w:ascii="Arial" w:hAnsi="Arial"/>
          <w:b/>
          <w:bCs/>
        </w:rPr>
        <w:noBreakHyphen/>
      </w:r>
      <w:r w:rsidR="00CB3EFE" w:rsidRPr="00CB3EFE">
        <w:rPr>
          <w:rFonts w:ascii="Arial" w:hAnsi="Arial"/>
          <w:b/>
          <w:bCs/>
        </w:rPr>
        <w:t>0188/2017</w:t>
      </w:r>
      <w:r w:rsidRPr="001876C4">
        <w:rPr>
          <w:rStyle w:val="HideTWBExt"/>
          <w:noProof w:val="0"/>
        </w:rPr>
        <w:t>&lt;/NoDocSe&gt;</w:t>
      </w:r>
      <w:r w:rsidRPr="001876C4">
        <w:rPr>
          <w:rFonts w:ascii="Arial" w:hAnsi="Arial"/>
          <w:b/>
          <w:bCs/>
        </w:rPr>
        <w:t>/</w:t>
      </w:r>
      <w:r w:rsidR="00C04425" w:rsidRPr="001876C4">
        <w:rPr>
          <w:rFonts w:ascii="Arial" w:hAnsi="Arial"/>
          <w:b/>
          <w:bCs/>
        </w:rPr>
        <w:t>err</w:t>
      </w:r>
      <w:r w:rsidR="003A1478" w:rsidRPr="001876C4">
        <w:rPr>
          <w:rStyle w:val="HideTWBExt"/>
          <w:noProof w:val="0"/>
        </w:rPr>
        <w:t>&lt;NoER&gt;</w:t>
      </w:r>
      <w:r w:rsidR="00CB3EFE" w:rsidRPr="00CB3EFE">
        <w:rPr>
          <w:rFonts w:ascii="Arial" w:hAnsi="Arial"/>
          <w:b/>
          <w:bCs/>
        </w:rPr>
        <w:t>01</w:t>
      </w:r>
      <w:r w:rsidR="003A1478" w:rsidRPr="001876C4">
        <w:rPr>
          <w:rStyle w:val="HideTWBExt"/>
          <w:noProof w:val="0"/>
        </w:rPr>
        <w:t>&lt;/NoER&gt;</w:t>
      </w:r>
    </w:p>
    <w:p w:rsidR="008B31F4" w:rsidRPr="001876C4" w:rsidRDefault="00FC7D10" w:rsidP="008B31F4">
      <w:pPr>
        <w:pStyle w:val="DocType"/>
      </w:pPr>
      <w:r w:rsidRPr="001876C4">
        <w:rPr>
          <w:rStyle w:val="HideTWBExt"/>
          <w:noProof w:val="0"/>
        </w:rPr>
        <w:t>&lt;</w:t>
      </w:r>
      <w:r w:rsidRPr="001876C4">
        <w:rPr>
          <w:rStyle w:val="HideTWBExt"/>
          <w:b w:val="0"/>
          <w:noProof w:val="0"/>
        </w:rPr>
        <w:t>TitreType</w:t>
      </w:r>
      <w:r w:rsidRPr="001876C4">
        <w:rPr>
          <w:rStyle w:val="HideTWBExt"/>
          <w:noProof w:val="0"/>
        </w:rPr>
        <w:t>&gt;</w:t>
      </w:r>
      <w:r w:rsidR="00CB3EFE">
        <w:t>DOPLNENIE</w:t>
      </w:r>
      <w:r w:rsidRPr="001876C4">
        <w:rPr>
          <w:rStyle w:val="HideTWBExt"/>
          <w:noProof w:val="0"/>
        </w:rPr>
        <w:t>&lt;/</w:t>
      </w:r>
      <w:r w:rsidRPr="001876C4">
        <w:rPr>
          <w:rStyle w:val="HideTWBExt"/>
          <w:b w:val="0"/>
          <w:noProof w:val="0"/>
        </w:rPr>
        <w:t>TitreType</w:t>
      </w:r>
      <w:r w:rsidRPr="001876C4">
        <w:rPr>
          <w:rStyle w:val="HideTWBExt"/>
          <w:noProof w:val="0"/>
        </w:rPr>
        <w:t>&gt;</w:t>
      </w:r>
    </w:p>
    <w:p w:rsidR="008B31F4" w:rsidRPr="001876C4" w:rsidRDefault="0087709A" w:rsidP="00F36373">
      <w:pPr>
        <w:pStyle w:val="Normal12Centre"/>
      </w:pPr>
      <w:r w:rsidRPr="001876C4">
        <w:rPr>
          <w:rStyle w:val="HideTWBExt"/>
          <w:noProof w:val="0"/>
        </w:rPr>
        <w:t>&lt;DocER&gt;</w:t>
      </w:r>
      <w:r w:rsidR="00CB3EFE">
        <w:t>k správe</w:t>
      </w:r>
      <w:r w:rsidRPr="001876C4">
        <w:rPr>
          <w:rStyle w:val="HideTWBExt"/>
          <w:noProof w:val="0"/>
        </w:rPr>
        <w:t>&lt;/DocER&gt;</w:t>
      </w:r>
    </w:p>
    <w:p w:rsidR="00051161" w:rsidRPr="001876C4" w:rsidRDefault="00FC7D10" w:rsidP="00051161">
      <w:pPr>
        <w:pStyle w:val="NormalCentre"/>
      </w:pPr>
      <w:r w:rsidRPr="001876C4">
        <w:rPr>
          <w:rStyle w:val="HideTWBExt"/>
          <w:noProof w:val="0"/>
        </w:rPr>
        <w:t>&lt;Titre&gt;</w:t>
      </w:r>
      <w:r w:rsidR="00CB3EFE" w:rsidRPr="00CB3EFE">
        <w:t>k návrhu smernice Európskeho parlamentu a Rady o aproximácii zákonov, iných právnych predpisov a správnych opatrení členských štátov, pokiaľ ide o požiadavky na prístupnosť výrobkov a služieb</w:t>
      </w:r>
      <w:r w:rsidRPr="001876C4">
        <w:rPr>
          <w:rStyle w:val="HideTWBExt"/>
          <w:noProof w:val="0"/>
        </w:rPr>
        <w:t>&lt;/Titre&gt;</w:t>
      </w:r>
    </w:p>
    <w:p w:rsidR="00051161" w:rsidRPr="001876C4" w:rsidRDefault="00FC7D10" w:rsidP="00D02C73">
      <w:pPr>
        <w:pStyle w:val="NormalCentre"/>
      </w:pPr>
      <w:r w:rsidRPr="001876C4">
        <w:rPr>
          <w:rStyle w:val="HideTWBExt"/>
          <w:noProof w:val="0"/>
        </w:rPr>
        <w:t>&lt;DocRef&gt;</w:t>
      </w:r>
      <w:r w:rsidR="00D02C73" w:rsidRPr="001876C4">
        <w:rPr>
          <w:rStyle w:val="HideTWBExt"/>
          <w:noProof w:val="0"/>
        </w:rPr>
        <w:t>&lt;OptDel&gt;</w:t>
      </w:r>
      <w:r w:rsidR="00CB3EFE" w:rsidRPr="00CB3EFE">
        <w:t>(COM(2015)0615 – C8-0387/2015 – 2015/0278(COD))</w:t>
      </w:r>
      <w:r w:rsidR="00D02C73" w:rsidRPr="001876C4">
        <w:rPr>
          <w:rStyle w:val="HideTWBExt"/>
          <w:noProof w:val="0"/>
        </w:rPr>
        <w:t>&lt;/OptDel&gt;</w:t>
      </w:r>
      <w:r w:rsidRPr="001876C4">
        <w:rPr>
          <w:rStyle w:val="HideTWBExt"/>
          <w:noProof w:val="0"/>
        </w:rPr>
        <w:t>&lt;/DocRef&gt;</w:t>
      </w:r>
    </w:p>
    <w:p w:rsidR="00051161" w:rsidRPr="001876C4" w:rsidRDefault="00051161" w:rsidP="00D02C73">
      <w:pPr>
        <w:pStyle w:val="Normal12a12bCentre"/>
      </w:pPr>
      <w:r w:rsidRPr="001876C4">
        <w:rPr>
          <w:rStyle w:val="HideTWBExt"/>
          <w:noProof w:val="0"/>
        </w:rPr>
        <w:t>&lt;Commission&gt;</w:t>
      </w:r>
      <w:r w:rsidR="00CB3EFE" w:rsidRPr="00CB3EFE">
        <w:rPr>
          <w:rStyle w:val="HideTWBInt"/>
        </w:rPr>
        <w:t>{IMCO}</w:t>
      </w:r>
      <w:r w:rsidR="00CB3EFE">
        <w:t>Výbor pre vnútorný trh a ochranu spotrebiteľa</w:t>
      </w:r>
      <w:r w:rsidRPr="001876C4">
        <w:rPr>
          <w:rStyle w:val="HideTWBExt"/>
          <w:noProof w:val="0"/>
        </w:rPr>
        <w:t>&lt;/Commission&gt;</w:t>
      </w:r>
    </w:p>
    <w:p w:rsidR="00051161" w:rsidRPr="001876C4" w:rsidRDefault="00CB3EFE" w:rsidP="00051161">
      <w:pPr>
        <w:pStyle w:val="NormalCentre"/>
      </w:pPr>
      <w:r>
        <w:t>Spravodajca</w:t>
      </w:r>
      <w:r w:rsidR="001876C4" w:rsidRPr="001876C4">
        <w:t>:</w:t>
      </w:r>
      <w:r w:rsidR="00051161" w:rsidRPr="001876C4">
        <w:t xml:space="preserve"> </w:t>
      </w:r>
      <w:r w:rsidR="00055703" w:rsidRPr="001876C4">
        <w:rPr>
          <w:rStyle w:val="HideTWBExt"/>
          <w:noProof w:val="0"/>
        </w:rPr>
        <w:t>&lt;Depute&gt;</w:t>
      </w:r>
      <w:r w:rsidRPr="00CB3EFE">
        <w:t>Morten Løkkegaard</w:t>
      </w:r>
      <w:r w:rsidR="00055703" w:rsidRPr="001876C4">
        <w:rPr>
          <w:rStyle w:val="HideTWBExt"/>
          <w:noProof w:val="0"/>
        </w:rPr>
        <w:t>&lt;/Depute&gt;</w:t>
      </w:r>
    </w:p>
    <w:p w:rsidR="00051161" w:rsidRPr="001876C4" w:rsidRDefault="00CB3EFE" w:rsidP="009E4A8C">
      <w:pPr>
        <w:pStyle w:val="NormalCentre"/>
      </w:pPr>
      <w:r>
        <w:t>A8</w:t>
      </w:r>
      <w:r>
        <w:noBreakHyphen/>
      </w:r>
      <w:bookmarkStart w:id="1" w:name="DocEPLastVariable"/>
      <w:bookmarkEnd w:id="1"/>
      <w:r w:rsidRPr="00CB3EFE">
        <w:t>0188/2017</w:t>
      </w:r>
    </w:p>
    <w:p w:rsidR="009E4A8C" w:rsidRPr="001876C4" w:rsidRDefault="009E4A8C" w:rsidP="009E4A8C">
      <w:pPr>
        <w:pBdr>
          <w:bottom w:val="single" w:sz="4" w:space="1" w:color="auto"/>
        </w:pBdr>
      </w:pPr>
    </w:p>
    <w:p w:rsidR="009E4A8C" w:rsidRPr="001876C4" w:rsidRDefault="00EC5E57" w:rsidP="00937258">
      <w:pPr>
        <w:spacing w:before="120"/>
      </w:pPr>
      <w:r w:rsidRPr="001876C4">
        <w:rPr>
          <w:rStyle w:val="HideTWBExt"/>
          <w:noProof w:val="0"/>
        </w:rPr>
        <w:t>&lt;OptDel&gt;</w:t>
      </w:r>
      <w:r w:rsidR="00CB3EFE" w:rsidRPr="00CB3EFE">
        <w:rPr>
          <w:b/>
        </w:rPr>
        <w:t>Po dôvodovej správe vložte toto stanovisko</w:t>
      </w:r>
      <w:r w:rsidR="00CE7EE8">
        <w:rPr>
          <w:b/>
        </w:rPr>
        <w:t>:</w:t>
      </w:r>
      <w:r w:rsidRPr="001876C4">
        <w:rPr>
          <w:rStyle w:val="HideTWBExt"/>
          <w:noProof w:val="0"/>
        </w:rPr>
        <w:t>&lt;/OptDel&gt;</w:t>
      </w:r>
    </w:p>
    <w:p w:rsidR="009E4A8C" w:rsidRDefault="00CB3EFE" w:rsidP="00CB3EFE">
      <w:pPr>
        <w:pStyle w:val="Normal12Italic"/>
        <w:jc w:val="center"/>
        <w:rPr>
          <w:i w:val="0"/>
        </w:rPr>
      </w:pPr>
      <w:r w:rsidRPr="00CB3EFE">
        <w:rPr>
          <w:i w:val="0"/>
        </w:rPr>
        <w:t>STANOVISKO VÝBORU PRE PRÁVNE VECI K PRÁVNEMU ZÁKLADU</w:t>
      </w:r>
    </w:p>
    <w:p w:rsidR="00844571" w:rsidRDefault="00844571" w:rsidP="00937258">
      <w:pPr>
        <w:spacing w:before="240"/>
      </w:pPr>
      <w:r w:rsidRPr="006725E2">
        <w:t>15.6.2017</w:t>
      </w:r>
    </w:p>
    <w:p w:rsidR="00CB3EFE" w:rsidRPr="00CB3EFE" w:rsidRDefault="00CB3EFE" w:rsidP="00937258">
      <w:pPr>
        <w:spacing w:before="240"/>
      </w:pPr>
      <w:r w:rsidRPr="00CB3EFE">
        <w:t>Vicky Ford</w:t>
      </w:r>
    </w:p>
    <w:p w:rsidR="00CB3EFE" w:rsidRPr="00CB3EFE" w:rsidRDefault="00CB3EFE" w:rsidP="00CB3EFE">
      <w:r w:rsidRPr="00CB3EFE">
        <w:t>predsedníčka</w:t>
      </w:r>
    </w:p>
    <w:p w:rsidR="00CB3EFE" w:rsidRPr="00CB3EFE" w:rsidRDefault="00CB3EFE" w:rsidP="00CB3EFE">
      <w:r w:rsidRPr="00CB3EFE">
        <w:t>Výbor pre vnútorný trh a ochranu spotrebiteľa</w:t>
      </w:r>
    </w:p>
    <w:p w:rsidR="00CB3EFE" w:rsidRPr="00CB3EFE" w:rsidRDefault="00CB3EFE" w:rsidP="00CB3EFE">
      <w:r w:rsidRPr="00CB3EFE">
        <w:t>BRUSEL</w:t>
      </w:r>
    </w:p>
    <w:p w:rsidR="00CB3EFE" w:rsidRPr="00CB3EFE" w:rsidRDefault="00CB3EFE" w:rsidP="00CB3EFE">
      <w:pPr>
        <w:tabs>
          <w:tab w:val="left" w:pos="1418"/>
        </w:tabs>
        <w:spacing w:before="960" w:after="480"/>
        <w:ind w:left="1418" w:hanging="1418"/>
      </w:pPr>
      <w:r w:rsidRPr="00CB3EFE">
        <w:t>Vec:</w:t>
      </w:r>
      <w:r w:rsidRPr="00CB3EFE">
        <w:tab/>
      </w:r>
      <w:r w:rsidRPr="00CB3EFE">
        <w:rPr>
          <w:rFonts w:ascii="Arial" w:hAnsi="Arial"/>
          <w:vanish/>
          <w:color w:val="000080"/>
          <w:sz w:val="20"/>
        </w:rPr>
        <w:t>&lt;Titre&gt;</w:t>
      </w:r>
      <w:r w:rsidRPr="00CB3EFE">
        <w:t>Stanovisko k právnemu základu návrhu smernice Európskeho parlamentu a Rady o aproximácii zákonov, iných právnych predpisov a správnych opatrení členských štátov, pokiaľ ide o požiadavky na prístupnosť výrobkov a služieb (COM(2015)0615 – C8</w:t>
      </w:r>
      <w:r w:rsidRPr="00CB3EFE">
        <w:noBreakHyphen/>
        <w:t>0387/2015 – 2015/0278(COD))</w:t>
      </w:r>
      <w:r w:rsidRPr="00CB3EFE">
        <w:rPr>
          <w:rFonts w:ascii="Arial" w:hAnsi="Arial"/>
          <w:vanish/>
          <w:color w:val="000080"/>
          <w:sz w:val="20"/>
        </w:rPr>
        <w:t>&lt;/Titre&gt;</w:t>
      </w:r>
    </w:p>
    <w:p w:rsidR="00CB3EFE" w:rsidRPr="00CB3EFE" w:rsidRDefault="00CB3EFE" w:rsidP="00CB3EFE">
      <w:pPr>
        <w:spacing w:after="240"/>
      </w:pPr>
      <w:r w:rsidRPr="00CB3EFE">
        <w:t>Vážená pani predsedníčka,</w:t>
      </w:r>
    </w:p>
    <w:p w:rsidR="00CB3EFE" w:rsidRPr="00CB3EFE" w:rsidRDefault="00CB3EFE" w:rsidP="00CB3EFE">
      <w:pPr>
        <w:spacing w:after="240"/>
      </w:pPr>
      <w:r w:rsidRPr="00CB3EFE">
        <w:lastRenderedPageBreak/>
        <w:t>listom z 22. mája 2017 ste v súlade s článkom 39 ods. 2 rokovacieho poriadku požiadali Výbor pre právne veci o overenie platnosti a správnosti určenia právneho základu uvedeného návrhu Komisie.</w:t>
      </w:r>
    </w:p>
    <w:p w:rsidR="00CB3EFE" w:rsidRPr="00CB3EFE" w:rsidRDefault="00CB3EFE" w:rsidP="00CB3EFE">
      <w:pPr>
        <w:spacing w:after="120"/>
        <w:jc w:val="both"/>
      </w:pPr>
      <w:r w:rsidRPr="00CB3EFE">
        <w:t>Výbor preskúmal uvedenú otázku na svojej schôdzi 12. júna 2017.</w:t>
      </w:r>
    </w:p>
    <w:p w:rsidR="00CB3EFE" w:rsidRPr="00CB3EFE" w:rsidRDefault="00CB3EFE" w:rsidP="00CB3EFE">
      <w:pPr>
        <w:spacing w:after="120"/>
        <w:jc w:val="both"/>
      </w:pPr>
      <w:r w:rsidRPr="00CB3EFE">
        <w:t>Komisia predložila návrh smernice Európskeho parlamentu a Rady o aproximácii zákonov, iných právnych predpisov a správnych opatrení členských štátov, pokiaľ ide o požiadavky na prístupnosť výrobkov a služieb, ktorý sa zakladá na článku 114 ZFEÚ.</w:t>
      </w:r>
    </w:p>
    <w:p w:rsidR="00CB3EFE" w:rsidRPr="00CB3EFE" w:rsidRDefault="00CB3EFE" w:rsidP="00CB3EFE">
      <w:pPr>
        <w:spacing w:after="240"/>
      </w:pPr>
      <w:r w:rsidRPr="00CB3EFE">
        <w:t>Správa prijatá výborom IMCO 25. apríla 2017 dopĺňa citáciu, ktorej účelom je doplniť článok 26 Charty základných práv Európskej únie ako druhý právny základ.</w:t>
      </w:r>
    </w:p>
    <w:p w:rsidR="00CB3EFE" w:rsidRPr="00CB3EFE" w:rsidRDefault="00CB3EFE" w:rsidP="008C394F">
      <w:pPr>
        <w:spacing w:after="240"/>
      </w:pPr>
      <w:r w:rsidRPr="00CB3EFE">
        <w:t>Výbor pre právne veci preto na svojej schôdzi 12. júna 2017 jednomyseľne rozhodol</w:t>
      </w:r>
      <w:r w:rsidRPr="00CB3EFE">
        <w:rPr>
          <w:vertAlign w:val="superscript"/>
        </w:rPr>
        <w:footnoteReference w:id="1"/>
      </w:r>
      <w:r w:rsidRPr="00CB3EFE">
        <w:t xml:space="preserve"> odporučiť, aby sa ako právny základ smernice ponechal len článok 114 ZFEÚ. Článok 26 Charty základných práv Európskej únie nemožno použiť ako právny základ. Preto </w:t>
      </w:r>
      <w:r w:rsidR="006D3801">
        <w:t xml:space="preserve">by sa </w:t>
      </w:r>
      <w:r w:rsidRPr="00CB3EFE">
        <w:t xml:space="preserve"> citáci</w:t>
      </w:r>
      <w:r w:rsidR="006D3801">
        <w:t>a</w:t>
      </w:r>
      <w:r w:rsidRPr="00CB3EFE">
        <w:t xml:space="preserve"> odkazujúc</w:t>
      </w:r>
      <w:r w:rsidR="006D3801">
        <w:t>a</w:t>
      </w:r>
      <w:r w:rsidRPr="00CB3EFE">
        <w:t xml:space="preserve"> na článok 26 charty </w:t>
      </w:r>
      <w:r w:rsidR="006D3801">
        <w:t xml:space="preserve">mala </w:t>
      </w:r>
      <w:r w:rsidRPr="00CB3EFE">
        <w:t>vypustiť.</w:t>
      </w:r>
    </w:p>
    <w:p w:rsidR="00CB3EFE" w:rsidRPr="008C394F" w:rsidRDefault="00CB3EFE" w:rsidP="00CB3EFE">
      <w:pPr>
        <w:widowControl/>
        <w:spacing w:after="120"/>
        <w:jc w:val="both"/>
        <w:rPr>
          <w:b/>
          <w:i/>
          <w:szCs w:val="24"/>
          <w:u w:val="single"/>
        </w:rPr>
      </w:pPr>
      <w:r w:rsidRPr="008C394F">
        <w:rPr>
          <w:b/>
          <w:i/>
          <w:szCs w:val="24"/>
          <w:u w:val="single"/>
        </w:rPr>
        <w:t>Kontext</w:t>
      </w:r>
    </w:p>
    <w:p w:rsidR="00CB3EFE" w:rsidRPr="00CB3EFE" w:rsidRDefault="00CB3EFE" w:rsidP="008C394F">
      <w:pPr>
        <w:widowControl/>
        <w:spacing w:after="120"/>
        <w:rPr>
          <w:szCs w:val="24"/>
        </w:rPr>
      </w:pPr>
      <w:r w:rsidRPr="00CB3EFE">
        <w:t xml:space="preserve">Vznesená otázka sa týka správneho právneho základu návrhu smernice Európskeho parlamentu a Rady o aproximácii zákonov, iných právnych predpisov a správnych opatrení členských štátov, pokiaľ ide o požiadavky na prístupnosť výrobkov a služieb (COM(2015)0615 – C8 0387/2015 – 2015/0278(COD)) (ďalej </w:t>
      </w:r>
      <w:r w:rsidR="00306CFD">
        <w:t>len</w:t>
      </w:r>
      <w:r w:rsidRPr="00CB3EFE">
        <w:t xml:space="preserve"> „smernica“).</w:t>
      </w:r>
    </w:p>
    <w:p w:rsidR="00CB3EFE" w:rsidRPr="00CB3EFE" w:rsidRDefault="00CB3EFE" w:rsidP="00CB3EFE">
      <w:pPr>
        <w:widowControl/>
        <w:spacing w:after="120"/>
        <w:jc w:val="both"/>
        <w:rPr>
          <w:szCs w:val="24"/>
        </w:rPr>
      </w:pPr>
      <w:r w:rsidRPr="00CB3EFE">
        <w:t>Návrh Komisie je založený na článku 114 ZFEÚ, ktorý znie takto: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1"/>
        </w:rPr>
      </w:pPr>
      <w:r w:rsidRPr="00CB3EFE">
        <w:rPr>
          <w:i/>
          <w:iCs/>
          <w:szCs w:val="25"/>
        </w:rPr>
        <w:t>Článok 114</w:t>
      </w:r>
      <w:r w:rsidR="00937258">
        <w:rPr>
          <w:i/>
          <w:iCs/>
          <w:szCs w:val="25"/>
        </w:rPr>
        <w:br/>
      </w:r>
      <w:r w:rsidRPr="00CB3EFE">
        <w:rPr>
          <w:i/>
          <w:szCs w:val="21"/>
        </w:rPr>
        <w:t>(bývalý článok 95 ZES)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1. Nasledujúce ustanovenia sa použijú na dosiahnutie cieľov uvedených v článku 26, pokiaľ zmluvy neustanovujú inak. Európsky parlament a Rada v súlade s riadnym legislatívnym postupom a po porade s Hospodárskym a sociálnym výborom prijímajú opatrenia na aproximáciu ustanovení zákonov, iných právnych predpisov a správnych opatrení členských štátov, ktoré smerujú k vytváraniu a fungovaniu vnútorného trhu.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2. Odsek 1 sa nevzťahuje na fiškálne ustanovenia, na ustanovenia, ktoré sa týkajú voľného pohybu osôb, ani na tie, ktoré sa týkajú práv a záujmov zamestnancov.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3. Komisia vo svojich návrhoch podľa odseku 1, ktoré sa týkajú zdravia, bezpečnosti, ochrany životného prostredia a ochrany spotrebiteľa, berie za základ vysokú úroveň takejto ochrany, prihliadajúc najmä na vývoj vychádzajúci z nových vedeckých poznatkov. V rámci svojich príslušných právomocí sa tento cieľ usiluje dosiahnuť aj Európsky parlament a Rada.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lastRenderedPageBreak/>
        <w:t>4. Ak po prijatí harmonizačného opatrenia Európskym parlamentom a Radou, Radou alebo Komisiou členský štát, z dôležitých dôvodov uvedených v článku 36 alebo týkajúcich sa ochrany životného alebo pracovného prostredia, považuje za nevyhnutné zachovať vnútroštátne ustanovenia, upovedomí o nich Komisiu a uvedie dôvody ich zachovania.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5. Okrem toho a bez toho, aby bol dotknutý odsek 4, ak po prijatí harmonizačného opatrenia Európskym parlamentom a Radou, Radou alebo Komisiou považuje členský štát za nevyhnutné zaviesť na základe svojich špecifických problémov nové vnútroštátne ustanovenia vychádzajúce z nových vedeckých poznatkov na ochranu životného alebo pracovného prostredia, upovedomí o týchto ustanoveniach Komisiu a uvedie dôvody ich zavedenia.</w:t>
      </w:r>
    </w:p>
    <w:p w:rsidR="00CB3EFE" w:rsidRPr="00CB3EFE" w:rsidRDefault="00CB3EFE" w:rsidP="008C394F">
      <w:pPr>
        <w:widowControl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 xml:space="preserve">6. </w:t>
      </w:r>
      <w:r w:rsidR="00306CFD">
        <w:rPr>
          <w:i/>
          <w:szCs w:val="25"/>
        </w:rPr>
        <w:t>Komisia d</w:t>
      </w:r>
      <w:r w:rsidRPr="00CB3EFE">
        <w:rPr>
          <w:i/>
          <w:szCs w:val="25"/>
        </w:rPr>
        <w:t xml:space="preserve">o šiestich mesiacov po oznámení uvedenom v odsekoch 4 a 5 </w:t>
      </w:r>
      <w:r w:rsidR="00306CFD" w:rsidRPr="00CB3EFE">
        <w:rPr>
          <w:i/>
          <w:szCs w:val="25"/>
        </w:rPr>
        <w:t xml:space="preserve">dané vnútroštátne ustanovenia </w:t>
      </w:r>
      <w:r w:rsidRPr="00CB3EFE">
        <w:rPr>
          <w:i/>
          <w:szCs w:val="25"/>
        </w:rPr>
        <w:t xml:space="preserve">schváli alebo zamietne na základe overenia, že neslúžia svojvoľnej diskriminácii ani skrytému obmedzovaniu obchodu medzi členskými štátmi ani nebránia fungovaniu vnútorného trhu. 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Ak Komisia v tejto lehote nerozhodne, vnútroštátne ustanovenia uvedené v odsekoch 4 a 5 sa považujú za schválené.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V prípadoch opodstatnených komplexnosťou veci a za predpokladu, že sa tým neohrozí ľudské zdravie, môže Komisia upovedomiť daný členský štát o prípadnom predĺžení uvedenej lehoty najviac o ďalších šesť mesiacov.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7. Ak je podľa odseku 6 členský štát oprávnený zachovať alebo zaviesť</w:t>
      </w:r>
      <w:r w:rsidR="00937258">
        <w:rPr>
          <w:i/>
          <w:szCs w:val="25"/>
        </w:rPr>
        <w:t xml:space="preserve"> </w:t>
      </w:r>
      <w:r w:rsidRPr="00CB3EFE">
        <w:rPr>
          <w:i/>
          <w:szCs w:val="25"/>
        </w:rPr>
        <w:t>vnútroštátne ustanovenia odlišné od zosúlaďovacieho opatrenia, Komisia okamžite preskúma, či treba navrhnúť prispôsobenie tohto opatrenia.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8. Ak členskému štátu vznikne v určitej oblasti, ktorá bola predmetom zosúlaďovacích opatrení, špecifický problém verejného zdravia, dá tento do pozornosti Komisie, ktorá okamžite preskúma, či treba Rade navrhnúť príslušné opatrenia.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9. Odchylne od postupov stanovených v článkoch 258 a 259 môže Komisia alebo ktorýkoľvek členský štát podať vec priamo Súdnemu dvoru Európskej únie, ak sa domnieva, že iný členský štát neprimerane využíva právomoci stanovené v tomto článku.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szCs w:val="25"/>
        </w:rPr>
      </w:pPr>
      <w:r w:rsidRPr="00CB3EFE">
        <w:rPr>
          <w:i/>
          <w:szCs w:val="25"/>
        </w:rPr>
        <w:t>10. Zosúlaďovacie opatrenia uvedené vyššie obsahujú v odôvodnených prípadoch aj ochrannú doložku oprávňujúcu členské štáty, aby z jedného alebo viacerých dôvodov nehospodárskej povahy uvedených v článku 36 prijali dočasné opatrenia podliehajúce kontrolnému postupu Únie.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szCs w:val="25"/>
        </w:rPr>
      </w:pPr>
      <w:r w:rsidRPr="00CB3EFE">
        <w:t>Správa prijatá výborom IMCO 25. apríla 2017 dopĺňa nasledujúcu citáciu, ktorej formulácia naznačuje, že jej účelom je doplniť článok 26 Charty základných práv Európskej únie ako druhý právny základ</w:t>
      </w:r>
      <w:r w:rsidR="00306CFD">
        <w:t>: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szCs w:val="25"/>
        </w:rPr>
      </w:pPr>
      <w:r w:rsidRPr="00CB3EFE">
        <w:rPr>
          <w:i/>
          <w:szCs w:val="25"/>
        </w:rPr>
        <w:t>so zreteľom na Chartu základných práv Európskej únie, najmä na jej článok 26,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szCs w:val="25"/>
        </w:rPr>
      </w:pPr>
      <w:r w:rsidRPr="00CB3EFE">
        <w:t>Článok 26 Charty základných práv Európskej únie znie takto: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</w:rPr>
      </w:pPr>
      <w:r w:rsidRPr="00CB3EFE">
        <w:rPr>
          <w:i/>
          <w:szCs w:val="25"/>
        </w:rPr>
        <w:t>Článok 26</w:t>
      </w:r>
      <w:r w:rsidR="00937258">
        <w:rPr>
          <w:i/>
          <w:szCs w:val="25"/>
        </w:rPr>
        <w:br/>
      </w:r>
      <w:r w:rsidRPr="00CB3EFE">
        <w:rPr>
          <w:i/>
          <w:szCs w:val="25"/>
        </w:rPr>
        <w:t>Integrácia osôb so zdravotným postihnutím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szCs w:val="25"/>
        </w:rPr>
      </w:pPr>
      <w:r w:rsidRPr="00CB3EFE">
        <w:rPr>
          <w:i/>
          <w:szCs w:val="25"/>
        </w:rPr>
        <w:t>Únia uznáva a rešpektuje právo osôb so zdravotným postihnutím využívať opatrenia, ktoré sú určené na zabezpečenie ich nezávislosti, sociálnej integrácie a integrácie v zamestnaní a účasti na spoločenskom živote.</w:t>
      </w:r>
    </w:p>
    <w:p w:rsidR="00CB3EFE" w:rsidRPr="008C394F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i/>
          <w:szCs w:val="25"/>
          <w:u w:val="single"/>
        </w:rPr>
      </w:pPr>
      <w:r w:rsidRPr="008C394F">
        <w:rPr>
          <w:b/>
          <w:i/>
          <w:szCs w:val="25"/>
          <w:u w:val="single"/>
        </w:rPr>
        <w:t>Analýza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rFonts w:cs="EUAlbertina-Regu"/>
          <w:b/>
          <w:szCs w:val="25"/>
        </w:rPr>
      </w:pPr>
      <w:r w:rsidRPr="00CB3EFE">
        <w:rPr>
          <w:b/>
          <w:szCs w:val="25"/>
        </w:rPr>
        <w:lastRenderedPageBreak/>
        <w:t>a) právny základ navrhovaný Komisiou</w:t>
      </w:r>
    </w:p>
    <w:p w:rsidR="00CB3EFE" w:rsidRPr="00CB3EFE" w:rsidRDefault="00CB3EFE" w:rsidP="00CB3EFE">
      <w:pPr>
        <w:widowControl/>
        <w:autoSpaceDE w:val="0"/>
        <w:autoSpaceDN w:val="0"/>
        <w:adjustRightInd w:val="0"/>
        <w:rPr>
          <w:rFonts w:cs="EUAlbertina-Regu"/>
          <w:szCs w:val="25"/>
        </w:rPr>
      </w:pPr>
      <w:r w:rsidRPr="00CB3EFE">
        <w:t>Právny základ navrhovaný Komisiou, t. j. článok 114 ZFEÚ, stanovuje právomoc prijímať opatrenia, ktorých predmetom je vytváranie a fungovanie vnútorného trhu. Výbor IMCO nevzniesol námietku proti vhodnosti tohto článku ako právneho základu návrhu. Vhodnosť článku 114 ZFEÚ ako právneho základu smernice je navyše potvrdená, a to odôvodnením 1, ktoré znie v podobe zmenenej výborom IMCO takto:</w:t>
      </w:r>
    </w:p>
    <w:p w:rsidR="00CB3EFE" w:rsidRPr="00CB3EFE" w:rsidRDefault="00CB3EFE" w:rsidP="00CB3EFE">
      <w:pPr>
        <w:widowControl/>
        <w:autoSpaceDE w:val="0"/>
        <w:autoSpaceDN w:val="0"/>
        <w:adjustRightInd w:val="0"/>
        <w:rPr>
          <w:rFonts w:cs="EUAlbertina-Regu"/>
          <w:szCs w:val="25"/>
        </w:rPr>
      </w:pP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CB3EFE" w:rsidRPr="00CB3EFE" w:rsidTr="00B642B1">
        <w:trPr>
          <w:jc w:val="center"/>
        </w:trPr>
        <w:tc>
          <w:tcPr>
            <w:tcW w:w="4876" w:type="dxa"/>
            <w:hideMark/>
          </w:tcPr>
          <w:p w:rsidR="00CB3EFE" w:rsidRPr="00CB3EFE" w:rsidRDefault="00CB3EFE" w:rsidP="00CB3EFE">
            <w:pPr>
              <w:keepNext/>
              <w:spacing w:after="240"/>
              <w:jc w:val="center"/>
              <w:rPr>
                <w:i/>
              </w:rPr>
            </w:pPr>
            <w:r w:rsidRPr="00CB3EFE">
              <w:rPr>
                <w:i/>
              </w:rPr>
              <w:t>Pozmeňujúci návrh</w:t>
            </w:r>
          </w:p>
        </w:tc>
      </w:tr>
      <w:tr w:rsidR="00CB3EFE" w:rsidRPr="00CB3EFE" w:rsidTr="00B642B1">
        <w:trPr>
          <w:jc w:val="center"/>
        </w:trPr>
        <w:tc>
          <w:tcPr>
            <w:tcW w:w="4876" w:type="dxa"/>
            <w:hideMark/>
          </w:tcPr>
          <w:p w:rsidR="00CB3EFE" w:rsidRPr="00CB3EFE" w:rsidRDefault="00CB3EFE" w:rsidP="00CB3EFE">
            <w:pPr>
              <w:spacing w:after="120"/>
              <w:rPr>
                <w:szCs w:val="24"/>
              </w:rPr>
            </w:pPr>
            <w:r w:rsidRPr="00CB3EFE">
              <w:t>(1)</w:t>
            </w:r>
            <w:r w:rsidRPr="00CB3EFE">
              <w:tab/>
              <w:t xml:space="preserve">Účelom tejto smernice je prispieť k riadnemu fungovaniu vnútorného trhu aproximáciou zákonov, iných právnych predpisov a správnych opatrení členských štátov </w:t>
            </w:r>
            <w:r w:rsidRPr="00CB3EFE">
              <w:rPr>
                <w:b/>
                <w:i/>
              </w:rPr>
              <w:t>a</w:t>
            </w:r>
            <w:r w:rsidRPr="00CB3EFE">
              <w:t xml:space="preserve"> odstránením prekážok voľného pohybu určitých prístupných výrobkov a služieb. Tým sa zvýši dostupnosť prístupných výrobkov a služieb na vnútornom trhu, </w:t>
            </w:r>
            <w:r w:rsidRPr="00CB3EFE">
              <w:rPr>
                <w:b/>
                <w:i/>
              </w:rPr>
              <w:t>ako aj prístupnosť a praktickosť informácií o nich.</w:t>
            </w:r>
          </w:p>
        </w:tc>
      </w:tr>
    </w:tbl>
    <w:p w:rsidR="00CB3EFE" w:rsidRPr="00CB3EFE" w:rsidRDefault="00CB3EFE" w:rsidP="00CB3EFE">
      <w:pPr>
        <w:widowControl/>
        <w:autoSpaceDE w:val="0"/>
        <w:autoSpaceDN w:val="0"/>
        <w:adjustRightInd w:val="0"/>
        <w:rPr>
          <w:rFonts w:cs="EUAlbertina-Regu"/>
          <w:szCs w:val="25"/>
        </w:rPr>
      </w:pPr>
    </w:p>
    <w:p w:rsidR="00CB3EFE" w:rsidRPr="00CB3EFE" w:rsidRDefault="00CB3EFE">
      <w:pPr>
        <w:widowControl/>
        <w:spacing w:after="120"/>
        <w:jc w:val="both"/>
        <w:rPr>
          <w:szCs w:val="24"/>
        </w:rPr>
      </w:pPr>
      <w:r w:rsidRPr="00CB3EFE">
        <w:rPr>
          <w:b/>
          <w:szCs w:val="24"/>
        </w:rPr>
        <w:t xml:space="preserve">b) navrhovaný dodatočný právny základ </w:t>
      </w:r>
    </w:p>
    <w:p w:rsidR="00CB3EFE" w:rsidRPr="00CB3EFE" w:rsidRDefault="00CB3EFE" w:rsidP="008C394F">
      <w:pPr>
        <w:widowControl/>
        <w:spacing w:after="120"/>
        <w:rPr>
          <w:szCs w:val="24"/>
        </w:rPr>
      </w:pPr>
      <w:r w:rsidRPr="00CB3EFE">
        <w:t>Podľa ustálenej judikatúry Súdneho dvora: „voľba právneho základu aktu Spoločenstva (v súčasnosti Únie)</w:t>
      </w:r>
      <w:r w:rsidR="000975D1">
        <w:t xml:space="preserve"> </w:t>
      </w:r>
      <w:r w:rsidRPr="00CB3EFE">
        <w:t xml:space="preserve">musí </w:t>
      </w:r>
      <w:r w:rsidR="000975D1" w:rsidRPr="000975D1">
        <w:t>vychádzať z objektívnych faktorov</w:t>
      </w:r>
      <w:r w:rsidR="000975D1" w:rsidRPr="00CB3EFE">
        <w:t xml:space="preserve"> </w:t>
      </w:r>
      <w:r w:rsidRPr="00CB3EFE">
        <w:t>, ktoré môžu byť súdne preskúmané</w:t>
      </w:r>
      <w:r w:rsidR="000975D1">
        <w:t>,</w:t>
      </w:r>
      <w:r w:rsidRPr="00CB3EFE">
        <w:t xml:space="preserve"> medzi ktoré patria najmä cieľ a obsah </w:t>
      </w:r>
      <w:r w:rsidR="000975D1">
        <w:t>opatrenia</w:t>
      </w:r>
      <w:r w:rsidRPr="00CB3EFE">
        <w:t>“</w:t>
      </w:r>
      <w:r w:rsidRPr="00CB3EFE">
        <w:rPr>
          <w:szCs w:val="24"/>
          <w:vertAlign w:val="superscript"/>
        </w:rPr>
        <w:footnoteReference w:id="2"/>
      </w:r>
      <w:r w:rsidRPr="00CB3EFE">
        <w:t>. Voľba nesprávneho právneho základu môže byť preto dôvodom na zrušenie príslušného aktu</w:t>
      </w:r>
      <w:r w:rsidRPr="00CB3EFE">
        <w:rPr>
          <w:szCs w:val="24"/>
          <w:vertAlign w:val="superscript"/>
        </w:rPr>
        <w:footnoteReference w:id="3"/>
      </w:r>
      <w:r w:rsidR="00937258">
        <w:t>.</w:t>
      </w:r>
    </w:p>
    <w:p w:rsidR="00CB3EFE" w:rsidRPr="00CB3EFE" w:rsidRDefault="00C36887" w:rsidP="008C394F">
      <w:pPr>
        <w:widowControl/>
        <w:spacing w:after="120"/>
        <w:rPr>
          <w:szCs w:val="24"/>
        </w:rPr>
      </w:pPr>
      <w:r w:rsidRPr="00C36887">
        <w:t xml:space="preserve">Pokiaľ ide o viaceré právne základy, ak z preskúmania opatrenia vyplynie, </w:t>
      </w:r>
      <w:r w:rsidR="00CB3EFE" w:rsidRPr="00CB3EFE">
        <w:t xml:space="preserve">, že sleduje dvojaký cieľ alebo že obsahuje dve zložky, a ak jeden z týchto cieľov alebo jednu z týchto zložiek možno označiť za hlavný cieľ alebo hlavnú zložku, zatiaľ čo druhá je iba doplňujúcim cieľom alebo doplňujúcou zložkou, musí byť </w:t>
      </w:r>
      <w:r>
        <w:t>opatrenia</w:t>
      </w:r>
      <w:r w:rsidR="00CB3EFE" w:rsidRPr="00CB3EFE">
        <w:t xml:space="preserve"> založen</w:t>
      </w:r>
      <w:r>
        <w:t>é</w:t>
      </w:r>
      <w:r w:rsidR="00CB3EFE" w:rsidRPr="00CB3EFE">
        <w:t xml:space="preserve"> na jedinom právnom základe, a to na tom, ktorý si vyžaduje hlavný alebo prevažujúci cieľ alebo zložka</w:t>
      </w:r>
      <w:r w:rsidR="00CB3EFE" w:rsidRPr="00CB3EFE">
        <w:rPr>
          <w:szCs w:val="24"/>
          <w:vertAlign w:val="superscript"/>
        </w:rPr>
        <w:footnoteReference w:id="4"/>
      </w:r>
      <w:r w:rsidR="00937258">
        <w:t>.</w:t>
      </w:r>
    </w:p>
    <w:p w:rsidR="00CB3EFE" w:rsidRPr="00CB3EFE" w:rsidRDefault="00CB3EFE" w:rsidP="008C394F">
      <w:pPr>
        <w:widowControl/>
        <w:spacing w:after="120"/>
        <w:rPr>
          <w:szCs w:val="24"/>
        </w:rPr>
      </w:pPr>
      <w:r w:rsidRPr="00CB3EFE">
        <w:t xml:space="preserve">V tomto prípade však nie je potrebné preskúmať cieľ ani obsah navrhovanej smernice, keďže článok 26 charty nemožno použiť ako právny základ. V článku 51 ods. 2 charty sa výslovne uvádza, že </w:t>
      </w:r>
      <w:r w:rsidRPr="00CB3EFE">
        <w:rPr>
          <w:i/>
        </w:rPr>
        <w:t>„Táto charta nerozširuje rozsah pôsobnosti práva Únie nad rámec právomocí Únie, ani nezakladá žiadnu novú právomoc ani úlohu pre Úniu, ani nemení právomoci a úlohy vymedzené v zmluvách.“</w:t>
      </w:r>
    </w:p>
    <w:p w:rsidR="00CB3EFE" w:rsidRPr="00CB3EFE" w:rsidRDefault="00CB3EFE" w:rsidP="008C394F">
      <w:pPr>
        <w:widowControl/>
        <w:spacing w:after="120"/>
        <w:rPr>
          <w:szCs w:val="24"/>
        </w:rPr>
      </w:pPr>
      <w:r w:rsidRPr="00CB3EFE">
        <w:t xml:space="preserve">Okrem toho zo zásady prenesenia právomocí zakotvenej v článku 5 Zmluvy o EÚ vyplýva, že Únia koná len v prípade, že jej na to zmluvy poskytnú právomoc. Článok 289 ZFEÚ objasňuje, že v ustanovení zmluvy je výslovne uvedený postup na prijatie právneho aktu Úniou, ktorý sa týka špecifickej oblasti. Ustanovenie v zmluvách, ktoré neodkazuje na postup pre prijatie aktu, preto nemôže predstavovať právny základ pre legislatívny akt Únie. </w:t>
      </w:r>
    </w:p>
    <w:p w:rsidR="00CB3EFE" w:rsidRPr="00CB3EFE" w:rsidRDefault="00CF120C" w:rsidP="008C394F">
      <w:pPr>
        <w:widowControl/>
        <w:spacing w:after="120"/>
        <w:rPr>
          <w:szCs w:val="24"/>
        </w:rPr>
      </w:pPr>
      <w:r>
        <w:lastRenderedPageBreak/>
        <w:t>Európsky p</w:t>
      </w:r>
      <w:r w:rsidR="00CB3EFE" w:rsidRPr="00CB3EFE">
        <w:t xml:space="preserve">arlament by mal takisto dodržiavať pravidlá týkajúce sa tvorby legislatívnych aktov, na ktoré sa vzťahuje riadny legislatívny postup, pretože tieto pravidlá schválili všetky tri inštitúcie.  </w:t>
      </w:r>
      <w:r w:rsidR="00CB3EFE" w:rsidRPr="00CB3EFE">
        <w:rPr>
          <w:i/>
        </w:rPr>
        <w:t>Spoločný manuál pre prezentáciu a tvorbu aktov, na ktoré sa vzťahuje riadny legislatívny postup,</w:t>
      </w:r>
      <w:r w:rsidR="00CB3EFE" w:rsidRPr="00CB3EFE">
        <w:t xml:space="preserve"> zdôrazňuje, že citácie v takýchto aktoch by mali odkazovať buď na právny základ alebo na postup. Nemali by odkazovať na ustanovenia, ktoré objasňujú obsah:  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i/>
          <w:szCs w:val="24"/>
        </w:rPr>
      </w:pPr>
      <w:r w:rsidRPr="00CB3EFE">
        <w:rPr>
          <w:i/>
          <w:szCs w:val="24"/>
        </w:rPr>
        <w:t>Odkazy, ktoré nie sú citáciami</w:t>
      </w:r>
    </w:p>
    <w:p w:rsidR="00CB3EFE" w:rsidRPr="00CB3EFE" w:rsidRDefault="00CB3EFE" w:rsidP="008C394F">
      <w:pPr>
        <w:widowControl/>
        <w:autoSpaceDE w:val="0"/>
        <w:autoSpaceDN w:val="0"/>
        <w:adjustRightInd w:val="0"/>
        <w:spacing w:after="120"/>
        <w:rPr>
          <w:szCs w:val="24"/>
        </w:rPr>
      </w:pPr>
      <w:r w:rsidRPr="00CB3EFE">
        <w:rPr>
          <w:i/>
          <w:szCs w:val="24"/>
        </w:rPr>
        <w:t>9.13 Pri príprave citácií treba dôsledne dbať na to, aby boli odkazmi na</w:t>
      </w:r>
      <w:r w:rsidR="00844571">
        <w:rPr>
          <w:i/>
          <w:szCs w:val="24"/>
        </w:rPr>
        <w:t xml:space="preserve"> </w:t>
      </w:r>
      <w:r w:rsidRPr="00CB3EFE">
        <w:rPr>
          <w:i/>
          <w:szCs w:val="24"/>
        </w:rPr>
        <w:t>právny základ alebo postup. Ak je na správne pochopenie normatívnej časti</w:t>
      </w:r>
      <w:r w:rsidR="00844571">
        <w:rPr>
          <w:i/>
          <w:szCs w:val="24"/>
        </w:rPr>
        <w:t xml:space="preserve"> </w:t>
      </w:r>
      <w:r w:rsidRPr="00CB3EFE">
        <w:rPr>
          <w:i/>
          <w:szCs w:val="24"/>
        </w:rPr>
        <w:t>alebo na overenie jej zákonnosti potrebný odkaz na obsah iných ustanovení ako na právny základ,</w:t>
      </w:r>
      <w:r w:rsidR="00844571">
        <w:rPr>
          <w:i/>
          <w:szCs w:val="24"/>
        </w:rPr>
        <w:t xml:space="preserve"> </w:t>
      </w:r>
      <w:r w:rsidRPr="00CB3EFE">
        <w:rPr>
          <w:i/>
          <w:szCs w:val="24"/>
        </w:rPr>
        <w:t>mal by sa uviesť v odôvodneniach.</w:t>
      </w:r>
      <w:r w:rsidR="00844571">
        <w:rPr>
          <w:i/>
          <w:szCs w:val="24"/>
        </w:rPr>
        <w:t xml:space="preserve"> </w:t>
      </w:r>
      <w:r w:rsidRPr="00CB3EFE">
        <w:rPr>
          <w:i/>
          <w:szCs w:val="24"/>
        </w:rPr>
        <w:t>Všeobecnejšie odkazy sa môžu pre informáciu uviesť</w:t>
      </w:r>
      <w:r w:rsidR="00844571">
        <w:rPr>
          <w:i/>
          <w:szCs w:val="24"/>
        </w:rPr>
        <w:t xml:space="preserve"> </w:t>
      </w:r>
      <w:r w:rsidRPr="00CB3EFE">
        <w:rPr>
          <w:i/>
          <w:szCs w:val="24"/>
        </w:rPr>
        <w:t>v dôvodovej správe</w:t>
      </w:r>
      <w:r w:rsidRPr="00CB3EFE">
        <w:rPr>
          <w:szCs w:val="24"/>
          <w:vertAlign w:val="superscript"/>
        </w:rPr>
        <w:footnoteReference w:id="5"/>
      </w:r>
      <w:r w:rsidR="00711D96">
        <w:rPr>
          <w:i/>
          <w:szCs w:val="24"/>
        </w:rPr>
        <w:t>.</w:t>
      </w:r>
    </w:p>
    <w:p w:rsidR="00CB3EFE" w:rsidRPr="00CB3EFE" w:rsidRDefault="00CB3EFE" w:rsidP="008C394F">
      <w:pPr>
        <w:widowControl/>
        <w:spacing w:after="120"/>
        <w:rPr>
          <w:szCs w:val="24"/>
        </w:rPr>
      </w:pPr>
      <w:r w:rsidRPr="00CB3EFE">
        <w:t xml:space="preserve">Citáciu odkazujúcu na článok 26 charty preto treba vypustiť. </w:t>
      </w:r>
    </w:p>
    <w:p w:rsidR="00CF120C" w:rsidRDefault="00CF120C" w:rsidP="00CB3EFE">
      <w:pPr>
        <w:widowControl/>
        <w:spacing w:after="120"/>
        <w:jc w:val="both"/>
        <w:rPr>
          <w:b/>
          <w:i/>
          <w:szCs w:val="24"/>
          <w:u w:val="single"/>
        </w:rPr>
      </w:pPr>
    </w:p>
    <w:p w:rsidR="00CB3EFE" w:rsidRPr="008C394F" w:rsidRDefault="00CB3EFE" w:rsidP="00CB3EFE">
      <w:pPr>
        <w:widowControl/>
        <w:spacing w:after="120"/>
        <w:jc w:val="both"/>
        <w:rPr>
          <w:b/>
          <w:i/>
          <w:szCs w:val="24"/>
          <w:u w:val="single"/>
        </w:rPr>
      </w:pPr>
      <w:r w:rsidRPr="008C394F">
        <w:rPr>
          <w:b/>
          <w:i/>
          <w:szCs w:val="24"/>
          <w:u w:val="single"/>
        </w:rPr>
        <w:t>Záver</w:t>
      </w:r>
    </w:p>
    <w:p w:rsidR="00CB3EFE" w:rsidRPr="00CB3EFE" w:rsidRDefault="00CB3EFE" w:rsidP="008C394F">
      <w:pPr>
        <w:widowControl/>
        <w:spacing w:after="120"/>
        <w:rPr>
          <w:szCs w:val="24"/>
        </w:rPr>
      </w:pPr>
      <w:r w:rsidRPr="00CB3EFE">
        <w:t>Správnym právnym základom pre smernicu je článok 114 ZFEÚ. Článok 26 Charty základných práv Európskej únie nemožno použiť ako právny základ. Citáciu odkazujúcu na článok 26 charty treba vypustiť.</w:t>
      </w:r>
    </w:p>
    <w:p w:rsidR="00CB3EFE" w:rsidRPr="00CB3EFE" w:rsidRDefault="00CB3EFE" w:rsidP="00CB3EFE">
      <w:pPr>
        <w:widowControl/>
        <w:ind w:left="5760"/>
        <w:jc w:val="right"/>
        <w:rPr>
          <w:szCs w:val="24"/>
        </w:rPr>
      </w:pPr>
    </w:p>
    <w:p w:rsidR="00CB3EFE" w:rsidRPr="00CB3EFE" w:rsidRDefault="00CB3EFE" w:rsidP="00CB3EFE">
      <w:pPr>
        <w:keepNext/>
        <w:tabs>
          <w:tab w:val="left" w:pos="5670"/>
        </w:tabs>
        <w:spacing w:after="1440"/>
      </w:pPr>
      <w:r w:rsidRPr="00CB3EFE">
        <w:t>S úctou</w:t>
      </w:r>
    </w:p>
    <w:p w:rsidR="00CB3EFE" w:rsidRPr="00CB3EFE" w:rsidRDefault="00CB3EFE" w:rsidP="00CB3EFE">
      <w:pPr>
        <w:tabs>
          <w:tab w:val="left" w:pos="5670"/>
        </w:tabs>
        <w:spacing w:after="480"/>
      </w:pPr>
      <w:r w:rsidRPr="00CB3EFE">
        <w:t>Pavel Svoboda</w:t>
      </w:r>
    </w:p>
    <w:p w:rsidR="0026678F" w:rsidRPr="001876C4" w:rsidRDefault="00CB3EFE" w:rsidP="0026678F">
      <w:pPr>
        <w:pStyle w:val="Normal12Italic"/>
      </w:pPr>
      <w:bookmarkStart w:id="2" w:name="DocEPTmp"/>
      <w:bookmarkEnd w:id="2"/>
      <w:r>
        <w:t>(Týka sa všetkých jazykov</w:t>
      </w:r>
      <w:r w:rsidR="00CF120C">
        <w:t>ých verzií</w:t>
      </w:r>
      <w:r>
        <w:t>.)</w:t>
      </w:r>
      <w:bookmarkStart w:id="3" w:name="DocEPTmp2"/>
      <w:bookmarkEnd w:id="3"/>
    </w:p>
    <w:sectPr w:rsidR="0026678F" w:rsidRPr="001876C4" w:rsidSect="008C3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FA" w:rsidRPr="001876C4" w:rsidRDefault="00E647FA">
      <w:r w:rsidRPr="001876C4">
        <w:separator/>
      </w:r>
    </w:p>
  </w:endnote>
  <w:endnote w:type="continuationSeparator" w:id="0">
    <w:p w:rsidR="00E647FA" w:rsidRPr="001876C4" w:rsidRDefault="00E647FA">
      <w:r w:rsidRPr="001876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4F" w:rsidRDefault="008C394F" w:rsidP="008C394F">
    <w:pPr>
      <w:pStyle w:val="Footer"/>
    </w:pPr>
    <w:r>
      <w:t>PE</w:t>
    </w:r>
    <w:r w:rsidRPr="008C394F">
      <w:rPr>
        <w:rStyle w:val="HideTWBExt"/>
      </w:rPr>
      <w:t>&lt;NoPE&gt;</w:t>
    </w:r>
    <w:r>
      <w:t>597.391</w:t>
    </w:r>
    <w:r w:rsidRPr="008C394F">
      <w:rPr>
        <w:rStyle w:val="HideTWBExt"/>
      </w:rPr>
      <w:t>&lt;/NoPE&gt;&lt;Version&gt;</w:t>
    </w:r>
    <w:r>
      <w:t>v02-00</w:t>
    </w:r>
    <w:r w:rsidRPr="008C394F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A72ED">
      <w:rPr>
        <w:noProof/>
      </w:rPr>
      <w:t>2</w:t>
    </w:r>
    <w:r>
      <w:fldChar w:fldCharType="end"/>
    </w:r>
    <w:r>
      <w:t>/</w:t>
    </w:r>
    <w:fldSimple w:instr=" NUMPAGES  \* MERGEFORMAT ">
      <w:r w:rsidR="00AA72ED">
        <w:rPr>
          <w:noProof/>
        </w:rPr>
        <w:t>5</w:t>
      </w:r>
    </w:fldSimple>
    <w:r>
      <w:tab/>
    </w:r>
    <w:r w:rsidRPr="008C394F">
      <w:rPr>
        <w:rStyle w:val="HideTWBExt"/>
      </w:rPr>
      <w:t>&lt;PathFdR&gt;</w:t>
    </w:r>
    <w:r>
      <w:t>RR\1125427SK.docx</w:t>
    </w:r>
    <w:r w:rsidRPr="008C394F">
      <w:rPr>
        <w:rStyle w:val="HideTWBExt"/>
      </w:rPr>
      <w:t>&lt;/PathFdR&gt;</w:t>
    </w:r>
  </w:p>
  <w:p w:rsidR="00C04425" w:rsidRPr="001876C4" w:rsidRDefault="008C394F" w:rsidP="008C394F">
    <w:pPr>
      <w:pStyle w:val="Footer2"/>
    </w:pPr>
    <w: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4F" w:rsidRDefault="008C394F" w:rsidP="008C394F">
    <w:pPr>
      <w:pStyle w:val="Footer"/>
    </w:pPr>
    <w:r w:rsidRPr="008C394F">
      <w:rPr>
        <w:rStyle w:val="HideTWBExt"/>
      </w:rPr>
      <w:t>&lt;PathFdR&gt;</w:t>
    </w:r>
    <w:r>
      <w:t>RR\1125427SK.docx</w:t>
    </w:r>
    <w:r w:rsidRPr="008C394F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fldSimple w:instr=" NUMPAGES  \* MERGEFORMAT ">
      <w:r>
        <w:rPr>
          <w:noProof/>
        </w:rPr>
        <w:t>5</w:t>
      </w:r>
    </w:fldSimple>
    <w:r>
      <w:tab/>
      <w:t>PE</w:t>
    </w:r>
    <w:r w:rsidRPr="008C394F">
      <w:rPr>
        <w:rStyle w:val="HideTWBExt"/>
      </w:rPr>
      <w:t>&lt;NoPE&gt;</w:t>
    </w:r>
    <w:r>
      <w:t>597.391</w:t>
    </w:r>
    <w:r w:rsidRPr="008C394F">
      <w:rPr>
        <w:rStyle w:val="HideTWBExt"/>
      </w:rPr>
      <w:t>&lt;/NoPE&gt;&lt;Version&gt;</w:t>
    </w:r>
    <w:r>
      <w:t>v02-00</w:t>
    </w:r>
    <w:r w:rsidRPr="008C394F">
      <w:rPr>
        <w:rStyle w:val="HideTWBExt"/>
      </w:rPr>
      <w:t>&lt;/Version&gt;</w:t>
    </w:r>
  </w:p>
  <w:p w:rsidR="00C04425" w:rsidRPr="001876C4" w:rsidRDefault="008C394F" w:rsidP="008C394F">
    <w:pPr>
      <w:pStyle w:val="Footer2"/>
    </w:pPr>
    <w:r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4F" w:rsidRDefault="008C394F" w:rsidP="008C394F">
    <w:pPr>
      <w:pStyle w:val="Footer"/>
    </w:pPr>
    <w:r w:rsidRPr="008C394F">
      <w:rPr>
        <w:rStyle w:val="HideTWBExt"/>
      </w:rPr>
      <w:t>&lt;PathFdR&gt;</w:t>
    </w:r>
    <w:r>
      <w:t>RR\1125427SK.docx</w:t>
    </w:r>
    <w:r w:rsidRPr="008C394F">
      <w:rPr>
        <w:rStyle w:val="HideTWBExt"/>
      </w:rPr>
      <w:t>&lt;/PathFdR&gt;</w:t>
    </w:r>
    <w:r>
      <w:tab/>
    </w:r>
    <w:r>
      <w:tab/>
      <w:t>PE</w:t>
    </w:r>
    <w:r w:rsidRPr="008C394F">
      <w:rPr>
        <w:rStyle w:val="HideTWBExt"/>
      </w:rPr>
      <w:t>&lt;NoPE&gt;</w:t>
    </w:r>
    <w:r>
      <w:t>597.391</w:t>
    </w:r>
    <w:r w:rsidRPr="008C394F">
      <w:rPr>
        <w:rStyle w:val="HideTWBExt"/>
      </w:rPr>
      <w:t>&lt;/NoPE&gt;&lt;Version&gt;</w:t>
    </w:r>
    <w:r>
      <w:t>v02-00</w:t>
    </w:r>
    <w:r w:rsidRPr="008C394F">
      <w:rPr>
        <w:rStyle w:val="HideTWBExt"/>
      </w:rPr>
      <w:t>&lt;/Version&gt;</w:t>
    </w:r>
  </w:p>
  <w:p w:rsidR="00C04425" w:rsidRPr="001876C4" w:rsidRDefault="008C394F" w:rsidP="008C394F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8C394F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FA" w:rsidRPr="001876C4" w:rsidRDefault="00E647FA">
      <w:r w:rsidRPr="001876C4">
        <w:separator/>
      </w:r>
    </w:p>
  </w:footnote>
  <w:footnote w:type="continuationSeparator" w:id="0">
    <w:p w:rsidR="00E647FA" w:rsidRPr="001876C4" w:rsidRDefault="00E647FA">
      <w:r w:rsidRPr="001876C4">
        <w:continuationSeparator/>
      </w:r>
    </w:p>
  </w:footnote>
  <w:footnote w:id="1">
    <w:p w:rsidR="00CB3EFE" w:rsidRPr="006725E2" w:rsidRDefault="00CB3EFE" w:rsidP="00CB3EFE">
      <w:pPr>
        <w:pStyle w:val="FootnoteText"/>
      </w:pPr>
      <w:r w:rsidRPr="006725E2">
        <w:rPr>
          <w:rStyle w:val="FootnoteReference"/>
        </w:rPr>
        <w:footnoteRef/>
      </w:r>
      <w:r w:rsidRPr="006725E2">
        <w:t xml:space="preserve"> Na záverečnom hlasovaní boli prítomní: Pavel Svoboda (predseda), Lidia Joanna Geringer de Oedenberg (podpredsedníčka), Jean-Marie Cavada (podpredseda), Laura Ferrara (podpredsedníčka), Max Andersson, Joëlle Bergeron, Marie-Christine Boutonnet, Dominique Bilde (náhradník Marie-Christine Boutonnetovej v súlade s článkom 200 ods. 2), Antanas Guoga, Heidi Hautala, Mary Honeyball, Bogdan Brunon Wenta (náhradník Tadeusza Zwiefku v súlade s článkom 200 ods. 2), Sylvia-Yvonne Kaufmann, Katerina Konecná (náhradníčka Jiřího Maštálku v súlade s článkom 200 ods. 2), Merja Kyllönen (náhradníčka Kostasa Chrysogonosa v súlade s článkom 200 ods. 2), Gilles Lebreton, Victor Negrescu, António Marinho e Pinto, Emil Radev, Dariusz Rosati (náhradník Rosy Estaràs Ferragutovej v súlade s článkom 200 ods. 2), Virginie Rozière, Sajjad Karim, Elly Schlein (náhradníčka Evelyn Regnerovej v súlade s článkom 200 ods. 2), József Szájer, Axel Voss a Kosma Złotowski.</w:t>
      </w:r>
    </w:p>
  </w:footnote>
  <w:footnote w:id="2">
    <w:p w:rsidR="00CB3EFE" w:rsidRPr="006725E2" w:rsidRDefault="00CB3EFE" w:rsidP="00CB3EFE">
      <w:pPr>
        <w:pStyle w:val="FootnoteText"/>
      </w:pPr>
      <w:r w:rsidRPr="006725E2">
        <w:rPr>
          <w:rStyle w:val="FootnoteReference"/>
        </w:rPr>
        <w:footnoteRef/>
      </w:r>
      <w:r w:rsidRPr="006725E2">
        <w:t xml:space="preserve"> Vec C 411/06 Komisia/Parlament a Rada, Zb. 2009, s. I 7585, bod 45, a vec C 130/10, Európsky parlament/Rada, Zb. 2012, bod 42, a tam citovaná judikatúra.</w:t>
      </w:r>
    </w:p>
  </w:footnote>
  <w:footnote w:id="3">
    <w:p w:rsidR="00CB3EFE" w:rsidRPr="006725E2" w:rsidRDefault="00CB3EFE" w:rsidP="00CB3EFE">
      <w:pPr>
        <w:pStyle w:val="FootnoteText"/>
      </w:pPr>
      <w:r w:rsidRPr="006725E2">
        <w:rPr>
          <w:rStyle w:val="FootnoteReference"/>
        </w:rPr>
        <w:footnoteRef/>
      </w:r>
      <w:r w:rsidRPr="006725E2">
        <w:t xml:space="preserve"> Stanovisko 2/00 Kartagenský protokol, Zb. 2001, s. I-9713, bod 5.</w:t>
      </w:r>
    </w:p>
  </w:footnote>
  <w:footnote w:id="4">
    <w:p w:rsidR="00CB3EFE" w:rsidRPr="006725E2" w:rsidRDefault="00CB3EFE" w:rsidP="00CB3EFE">
      <w:pPr>
        <w:pStyle w:val="FootnoteText"/>
      </w:pPr>
      <w:r w:rsidRPr="006725E2">
        <w:rPr>
          <w:rStyle w:val="FootnoteReference"/>
        </w:rPr>
        <w:footnoteRef/>
      </w:r>
      <w:r w:rsidRPr="006725E2">
        <w:t xml:space="preserve"> Vec C-137/12, Komisia/Rada, EU:C:2013:675, bod 53; vec C-411/06, Komisia/Parlament a Rada, Zb. 2009, s. I</w:t>
      </w:r>
      <w:r w:rsidRPr="006725E2">
        <w:noBreakHyphen/>
        <w:t>7585, bod 46 a tam citovaná judikatúra; vec C-490/10, Parlament/Rada, EU:C:2012:525, bod 45; vec C-155/07, Parlament/Rada, Zb. 2008, s. I-08103, bod 34.</w:t>
      </w:r>
    </w:p>
  </w:footnote>
  <w:footnote w:id="5">
    <w:p w:rsidR="00CB3EFE" w:rsidRPr="006725E2" w:rsidRDefault="00CB3EFE" w:rsidP="00711D96">
      <w:pPr>
        <w:pStyle w:val="FootnoteText"/>
      </w:pPr>
      <w:r w:rsidRPr="006725E2">
        <w:rPr>
          <w:rStyle w:val="FootnoteReference"/>
        </w:rPr>
        <w:footnoteRef/>
      </w:r>
      <w:r w:rsidRPr="006725E2">
        <w:t xml:space="preserve"> </w:t>
      </w:r>
      <w:r w:rsidR="00711D96" w:rsidRPr="008C394F">
        <w:t>Spoločná praktická príručka Európskeho parlamentu, Rady a Komisie pre osoby zapojené do tvorby legislatívy Európskej únie (vydanie z rok</w:t>
      </w:r>
      <w:r w:rsidR="00CF120C" w:rsidRPr="008C394F">
        <w:t>u</w:t>
      </w:r>
      <w:r w:rsidR="00711D96" w:rsidRPr="008C394F">
        <w:t xml:space="preserve"> 2014)</w:t>
      </w:r>
      <w:r w:rsidRPr="006725E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FE" w:rsidRDefault="00CB3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FE" w:rsidRDefault="00CB3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FE" w:rsidRDefault="00CB3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1"/>
    <w:docVar w:name="ERRCOMM" w:val="IMCO"/>
    <w:docVar w:name="ERRDATE" w:val="30/06/2017"/>
    <w:docVar w:name="ERRDOCREF" w:val="4"/>
    <w:docVar w:name="ERRDOCUMENT" w:val="1"/>
    <w:docVar w:name="ERRTYPE" w:val="2"/>
    <w:docVar w:name="LastEditedSection" w:val=" 1"/>
    <w:docVar w:name="strDocTypeID" w:val="ER"/>
    <w:docVar w:name="strSubDir" w:val="1125"/>
    <w:docVar w:name="TA_Type" w:val="TA_Erratum"/>
    <w:docVar w:name="TXTAUTHOR" w:val="Morten Løkkegaard"/>
    <w:docVar w:name="TXTDOCREF" w:val="(COM(2015)0615 – C8-0387/2015 – 2015/0278(COD))"/>
    <w:docVar w:name="TXTERRVERSION" w:val="01"/>
    <w:docVar w:name="TXTLANGUE" w:val="SK"/>
    <w:docVar w:name="TXTLANGUEMIN" w:val="sk"/>
    <w:docVar w:name="TXTNRA" w:val="0188/2017"/>
    <w:docVar w:name="TXTNRAVERSION" w:val="01"/>
    <w:docVar w:name="TXTNRPE" w:val="597.391"/>
    <w:docVar w:name="TXTPEorAP" w:val="PE"/>
    <w:docVar w:name="TXTROUTE" w:val="RR\1125427SK.docx"/>
    <w:docVar w:name="TXTROUTEFDR" w:val="1125427"/>
    <w:docVar w:name="TXTROUTETYPE" w:val="RR"/>
    <w:docVar w:name="TXTTITLE" w:val="k návrhu smernice Európskeho parlamentu a Rady o aproximácii zákonov, iných právnych predpisov a správnych opatrení členských štátov, pokiaľ ide o požiadavky na prístupnosť výrobkov a služieb"/>
    <w:docVar w:name="TXTVERSION" w:val="02-00"/>
  </w:docVars>
  <w:rsids>
    <w:rsidRoot w:val="00E647FA"/>
    <w:rsid w:val="000427ED"/>
    <w:rsid w:val="00051161"/>
    <w:rsid w:val="00055703"/>
    <w:rsid w:val="00082280"/>
    <w:rsid w:val="000975D1"/>
    <w:rsid w:val="000B0781"/>
    <w:rsid w:val="00115E85"/>
    <w:rsid w:val="00141C4C"/>
    <w:rsid w:val="001876C4"/>
    <w:rsid w:val="00231EA7"/>
    <w:rsid w:val="0026678F"/>
    <w:rsid w:val="0027459E"/>
    <w:rsid w:val="00306CFD"/>
    <w:rsid w:val="003A1478"/>
    <w:rsid w:val="00422BB2"/>
    <w:rsid w:val="004716FE"/>
    <w:rsid w:val="0062001B"/>
    <w:rsid w:val="00621183"/>
    <w:rsid w:val="006A2838"/>
    <w:rsid w:val="006D3801"/>
    <w:rsid w:val="00711D96"/>
    <w:rsid w:val="007152AF"/>
    <w:rsid w:val="00815CE5"/>
    <w:rsid w:val="00844571"/>
    <w:rsid w:val="0087709A"/>
    <w:rsid w:val="008B31F4"/>
    <w:rsid w:val="008C394F"/>
    <w:rsid w:val="00937258"/>
    <w:rsid w:val="00942D7B"/>
    <w:rsid w:val="00944F17"/>
    <w:rsid w:val="009949CB"/>
    <w:rsid w:val="009E2EDA"/>
    <w:rsid w:val="009E4A8C"/>
    <w:rsid w:val="00A34442"/>
    <w:rsid w:val="00AA72ED"/>
    <w:rsid w:val="00AC6310"/>
    <w:rsid w:val="00B32CC7"/>
    <w:rsid w:val="00B81F78"/>
    <w:rsid w:val="00B85286"/>
    <w:rsid w:val="00B90B7F"/>
    <w:rsid w:val="00BD01E1"/>
    <w:rsid w:val="00C04425"/>
    <w:rsid w:val="00C32AC7"/>
    <w:rsid w:val="00C36887"/>
    <w:rsid w:val="00C37DE1"/>
    <w:rsid w:val="00C511E4"/>
    <w:rsid w:val="00CB3EFE"/>
    <w:rsid w:val="00CE7EE8"/>
    <w:rsid w:val="00CF120C"/>
    <w:rsid w:val="00D02C73"/>
    <w:rsid w:val="00D13A2E"/>
    <w:rsid w:val="00D31746"/>
    <w:rsid w:val="00D65833"/>
    <w:rsid w:val="00DC4160"/>
    <w:rsid w:val="00E517A4"/>
    <w:rsid w:val="00E57F50"/>
    <w:rsid w:val="00E647FA"/>
    <w:rsid w:val="00EC5E57"/>
    <w:rsid w:val="00EC76F1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F30BC0-4D62-47A8-AB7D-5C433E4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paragraph" w:styleId="FootnoteText">
    <w:name w:val="footnote text"/>
    <w:basedOn w:val="Normal"/>
    <w:link w:val="FootnoteTextChar"/>
    <w:rsid w:val="00CB3EF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B3EFE"/>
    <w:rPr>
      <w:lang w:val="sk-SK"/>
    </w:rPr>
  </w:style>
  <w:style w:type="character" w:styleId="FootnoteReference">
    <w:name w:val="footnote reference"/>
    <w:basedOn w:val="DefaultParagraphFont"/>
    <w:uiPriority w:val="99"/>
    <w:rsid w:val="00CB3EFE"/>
    <w:rPr>
      <w:vertAlign w:val="superscript"/>
    </w:rPr>
  </w:style>
  <w:style w:type="paragraph" w:styleId="BalloonText">
    <w:name w:val="Balloon Text"/>
    <w:basedOn w:val="Normal"/>
    <w:link w:val="BalloonTextChar"/>
    <w:rsid w:val="00CE7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7EE8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8587</Characters>
  <Application>Microsoft Office Word</Application>
  <DocSecurity>0</DocSecurity>
  <Lines>165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SUCHANOVA Monika</dc:creator>
  <cp:keywords/>
  <dc:description/>
  <cp:lastModifiedBy>SUCHANOVA Monika</cp:lastModifiedBy>
  <cp:revision>2</cp:revision>
  <cp:lastPrinted>2005-10-13T14:57:00Z</cp:lastPrinted>
  <dcterms:created xsi:type="dcterms:W3CDTF">2017-07-03T08:06:00Z</dcterms:created>
  <dcterms:modified xsi:type="dcterms:W3CDTF">2017-07-03T08:06:00Z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597.391</vt:lpwstr>
  </property>
  <property fmtid="{D5CDD505-2E9C-101B-9397-08002B2CF9AE}" pid="6" name="Created with">
    <vt:lpwstr>9.0.0 Build [20170325]</vt:lpwstr>
  </property>
  <property fmtid="{D5CDD505-2E9C-101B-9397-08002B2CF9AE}" pid="7" name="LastEdited with">
    <vt:lpwstr>9.0.0 Build [20170325]</vt:lpwstr>
  </property>
  <property fmtid="{D5CDD505-2E9C-101B-9397-08002B2CF9AE}" pid="8" name="&lt;FdR&gt;">
    <vt:lpwstr>a8-0188_2017(ERR01)_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RR\1125427SK.docx</vt:lpwstr>
  </property>
</Properties>
</file>