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7165" w14:textId="77777777" w:rsidR="005909EC" w:rsidRPr="005970D0" w:rsidRDefault="005909EC" w:rsidP="005909EC">
      <w:pPr>
        <w:pStyle w:val="ZDateAM"/>
      </w:pPr>
      <w:r w:rsidRPr="005970D0">
        <w:rPr>
          <w:rStyle w:val="HideTWBExt"/>
          <w:noProof w:val="0"/>
        </w:rPr>
        <w:t>&lt;Amend&gt;&lt;Date&gt;</w:t>
      </w:r>
      <w:r w:rsidRPr="005970D0">
        <w:rPr>
          <w:rStyle w:val="HideTWBInt"/>
        </w:rPr>
        <w:t>{07/06/2017}</w:t>
      </w:r>
      <w:r w:rsidRPr="005970D0">
        <w:t>7.6.2017</w:t>
      </w:r>
      <w:r w:rsidRPr="005970D0">
        <w:rPr>
          <w:rStyle w:val="HideTWBExt"/>
          <w:noProof w:val="0"/>
        </w:rPr>
        <w:t>&lt;/Date&gt;</w:t>
      </w:r>
      <w:r w:rsidRPr="005970D0">
        <w:tab/>
      </w:r>
      <w:r w:rsidRPr="005970D0">
        <w:rPr>
          <w:rStyle w:val="HideTWBExt"/>
          <w:noProof w:val="0"/>
        </w:rPr>
        <w:t>&lt;ANo&gt;</w:t>
      </w:r>
      <w:r w:rsidRPr="005970D0">
        <w:t>A8-0195</w:t>
      </w:r>
      <w:r w:rsidRPr="005970D0">
        <w:rPr>
          <w:rStyle w:val="HideTWBExt"/>
          <w:noProof w:val="0"/>
        </w:rPr>
        <w:t>&lt;/ANo&gt;</w:t>
      </w:r>
      <w:r w:rsidRPr="005970D0">
        <w:t>/</w:t>
      </w:r>
      <w:r w:rsidRPr="005970D0">
        <w:rPr>
          <w:rStyle w:val="HideTWBExt"/>
          <w:noProof w:val="0"/>
        </w:rPr>
        <w:t>&lt;NumAm&gt;</w:t>
      </w:r>
      <w:r w:rsidRPr="005970D0">
        <w:t>7</w:t>
      </w:r>
      <w:r w:rsidRPr="005970D0">
        <w:rPr>
          <w:rStyle w:val="HideTWBExt"/>
          <w:noProof w:val="0"/>
        </w:rPr>
        <w:t>&lt;/NumAm&gt;</w:t>
      </w:r>
    </w:p>
    <w:p w14:paraId="48F4F274" w14:textId="77777777" w:rsidR="005909EC" w:rsidRPr="005970D0" w:rsidRDefault="007D55AF" w:rsidP="005909EC">
      <w:pPr>
        <w:pStyle w:val="AMNumberTabs"/>
      </w:pPr>
      <w:r w:rsidRPr="005970D0">
        <w:t>Amendamentul</w:t>
      </w:r>
      <w:r w:rsidRPr="005970D0">
        <w:tab/>
      </w:r>
      <w:r w:rsidRPr="005970D0">
        <w:tab/>
      </w:r>
      <w:r w:rsidRPr="005970D0">
        <w:rPr>
          <w:rStyle w:val="HideTWBExt"/>
          <w:b w:val="0"/>
          <w:noProof w:val="0"/>
        </w:rPr>
        <w:t>&lt;NumAm&gt;</w:t>
      </w:r>
      <w:r w:rsidRPr="005970D0">
        <w:t>7</w:t>
      </w:r>
      <w:r w:rsidRPr="005970D0">
        <w:rPr>
          <w:rStyle w:val="HideTWBExt"/>
          <w:b w:val="0"/>
          <w:noProof w:val="0"/>
        </w:rPr>
        <w:t>&lt;/NumAm&gt;</w:t>
      </w:r>
    </w:p>
    <w:p w14:paraId="78061FE8" w14:textId="77777777" w:rsidR="005909EC" w:rsidRPr="005970D0" w:rsidRDefault="005909EC" w:rsidP="005909EC">
      <w:pPr>
        <w:pStyle w:val="NormalBold"/>
      </w:pPr>
      <w:r w:rsidRPr="005970D0">
        <w:rPr>
          <w:rStyle w:val="HideTWBExt"/>
          <w:b w:val="0"/>
          <w:noProof w:val="0"/>
        </w:rPr>
        <w:t>&lt;RepeatBlock-By&gt;&lt;Members&gt;</w:t>
      </w:r>
      <w:r w:rsidRPr="005970D0">
        <w:t>Mylène Troszczynski, Mara Bizzotto, Dominique Martin, Angelo Ciocca, Joëlle Mélin</w:t>
      </w:r>
      <w:r w:rsidRPr="005970D0">
        <w:rPr>
          <w:rStyle w:val="HideTWBExt"/>
          <w:b w:val="0"/>
          <w:noProof w:val="0"/>
        </w:rPr>
        <w:t>&lt;/Members&gt;</w:t>
      </w:r>
    </w:p>
    <w:p w14:paraId="1E030A55" w14:textId="77777777" w:rsidR="005909EC" w:rsidRPr="005970D0" w:rsidRDefault="005909EC" w:rsidP="005909EC">
      <w:r w:rsidRPr="005970D0">
        <w:rPr>
          <w:rStyle w:val="HideTWBExt"/>
          <w:noProof w:val="0"/>
        </w:rPr>
        <w:t>&lt;AuNomDe&gt;</w:t>
      </w:r>
      <w:r w:rsidRPr="005970D0">
        <w:rPr>
          <w:rStyle w:val="HideTWBInt"/>
        </w:rPr>
        <w:t>{ENF}</w:t>
      </w:r>
      <w:r w:rsidRPr="005970D0">
        <w:t>în numele Grupului ENF</w:t>
      </w:r>
      <w:r w:rsidRPr="005970D0">
        <w:rPr>
          <w:rStyle w:val="HideTWBExt"/>
          <w:noProof w:val="0"/>
        </w:rPr>
        <w:t>&lt;/AuNomDe&gt;</w:t>
      </w:r>
    </w:p>
    <w:p w14:paraId="75B02CE0" w14:textId="77777777" w:rsidR="005909EC" w:rsidRPr="005970D0" w:rsidRDefault="005909EC" w:rsidP="005909EC">
      <w:r w:rsidRPr="005970D0">
        <w:rPr>
          <w:rStyle w:val="HideTWBExt"/>
          <w:noProof w:val="0"/>
        </w:rPr>
        <w:t>&lt;/RepeatBlock-By&gt;</w:t>
      </w:r>
    </w:p>
    <w:p w14:paraId="02B690F4" w14:textId="77777777" w:rsidR="005909EC" w:rsidRPr="005970D0" w:rsidRDefault="005909EC" w:rsidP="005909EC">
      <w:pPr>
        <w:pStyle w:val="ProjRap"/>
      </w:pPr>
      <w:r w:rsidRPr="005970D0">
        <w:rPr>
          <w:rStyle w:val="HideTWBExt"/>
          <w:b w:val="0"/>
          <w:noProof w:val="0"/>
        </w:rPr>
        <w:t>&lt;TitreType&gt;</w:t>
      </w:r>
      <w:r w:rsidRPr="005970D0">
        <w:t>Raport</w:t>
      </w:r>
      <w:r w:rsidRPr="005970D0">
        <w:rPr>
          <w:rStyle w:val="HideTWBExt"/>
          <w:b w:val="0"/>
          <w:noProof w:val="0"/>
        </w:rPr>
        <w:t>&lt;/TitreType&gt;</w:t>
      </w:r>
      <w:r w:rsidRPr="005970D0">
        <w:tab/>
        <w:t>A8-0195/2017</w:t>
      </w:r>
    </w:p>
    <w:p w14:paraId="30E3929E" w14:textId="77777777" w:rsidR="005909EC" w:rsidRPr="005970D0" w:rsidRDefault="005909EC" w:rsidP="005909EC">
      <w:pPr>
        <w:pStyle w:val="NormalBold"/>
      </w:pPr>
      <w:r w:rsidRPr="005970D0">
        <w:rPr>
          <w:rStyle w:val="HideTWBExt"/>
          <w:b w:val="0"/>
          <w:noProof w:val="0"/>
        </w:rPr>
        <w:t>&lt;Rapporteur&gt;</w:t>
      </w:r>
      <w:r w:rsidRPr="005970D0">
        <w:t>Nicola Danti</w:t>
      </w:r>
      <w:r w:rsidRPr="005970D0">
        <w:rPr>
          <w:rStyle w:val="HideTWBExt"/>
          <w:b w:val="0"/>
          <w:noProof w:val="0"/>
        </w:rPr>
        <w:t>&lt;/Rapporteur&gt;</w:t>
      </w:r>
    </w:p>
    <w:p w14:paraId="257C9729" w14:textId="77777777" w:rsidR="005909EC" w:rsidRPr="005970D0" w:rsidRDefault="005909EC" w:rsidP="005909EC">
      <w:r w:rsidRPr="005970D0">
        <w:rPr>
          <w:rStyle w:val="HideTWBExt"/>
          <w:noProof w:val="0"/>
        </w:rPr>
        <w:t>&lt;Titre&gt;</w:t>
      </w:r>
      <w:r w:rsidRPr="005970D0">
        <w:t>Agenda europeană pentru economia colaborativă</w:t>
      </w:r>
      <w:r w:rsidRPr="005970D0">
        <w:rPr>
          <w:rStyle w:val="HideTWBExt"/>
          <w:noProof w:val="0"/>
        </w:rPr>
        <w:t>&lt;/Titre&gt;</w:t>
      </w:r>
    </w:p>
    <w:p w14:paraId="37BFCF9E" w14:textId="77777777" w:rsidR="005909EC" w:rsidRPr="005970D0" w:rsidRDefault="005909EC" w:rsidP="005909EC">
      <w:pPr>
        <w:pStyle w:val="Normal12"/>
      </w:pPr>
      <w:r w:rsidRPr="005970D0">
        <w:rPr>
          <w:rStyle w:val="HideTWBExt"/>
          <w:noProof w:val="0"/>
        </w:rPr>
        <w:t>&lt;DocRef&gt;</w:t>
      </w:r>
      <w:r w:rsidRPr="005970D0">
        <w:t>2017/2003(INI)</w:t>
      </w:r>
      <w:r w:rsidRPr="005970D0">
        <w:rPr>
          <w:rStyle w:val="HideTWBExt"/>
          <w:noProof w:val="0"/>
        </w:rPr>
        <w:t>&lt;/DocRef&gt;</w:t>
      </w:r>
    </w:p>
    <w:p w14:paraId="548CC46D" w14:textId="706E0C70" w:rsidR="005909EC" w:rsidRPr="005970D0" w:rsidRDefault="005909EC" w:rsidP="005909EC">
      <w:pPr>
        <w:pStyle w:val="Normal12Bold"/>
      </w:pPr>
      <w:r w:rsidRPr="005970D0">
        <w:rPr>
          <w:rStyle w:val="HideTWBExt"/>
          <w:b w:val="0"/>
          <w:noProof w:val="0"/>
        </w:rPr>
        <w:t>&lt;DocAmend&gt;</w:t>
      </w:r>
      <w:r w:rsidRPr="005970D0">
        <w:t>Propunere de rezolu</w:t>
      </w:r>
      <w:r w:rsidR="00782341">
        <w:t>ț</w:t>
      </w:r>
      <w:r w:rsidRPr="005970D0">
        <w:t>ie [articolul 170 alineatul (3) din Regulamentul de procedură] de înlocuire a propunerii de rezolu</w:t>
      </w:r>
      <w:r w:rsidR="00782341">
        <w:t>ț</w:t>
      </w:r>
      <w:r w:rsidRPr="005970D0">
        <w:t>ie fără caracter legislativ A8-0195/2017</w:t>
      </w:r>
      <w:r w:rsidRPr="005970D0">
        <w:rPr>
          <w:rStyle w:val="HideTWBExt"/>
          <w:b w:val="0"/>
          <w:noProof w:val="0"/>
        </w:rPr>
        <w:t>&lt;/DocAmend&gt;</w:t>
      </w:r>
    </w:p>
    <w:p w14:paraId="3758763F" w14:textId="57E6082A" w:rsidR="005909EC" w:rsidRPr="005970D0" w:rsidRDefault="00BC02AC" w:rsidP="005909EC">
      <w:pPr>
        <w:pStyle w:val="Normal12a12bBold"/>
      </w:pPr>
      <w:r w:rsidRPr="005970D0">
        <w:rPr>
          <w:rStyle w:val="HideTWBExt"/>
          <w:b w:val="0"/>
          <w:noProof w:val="0"/>
        </w:rPr>
        <w:t>&lt;Article&gt;</w:t>
      </w:r>
      <w:r w:rsidRPr="005970D0">
        <w:t>Rezolu</w:t>
      </w:r>
      <w:r w:rsidR="00782341">
        <w:t>ț</w:t>
      </w:r>
      <w:r w:rsidRPr="005970D0">
        <w:t>ia Parlamentului European referitoare la o agendă europeană pentru economia colaborativă</w:t>
      </w:r>
      <w:r w:rsidRPr="005970D0">
        <w:rPr>
          <w:rStyle w:val="HideTWBExt"/>
          <w:b w:val="0"/>
          <w:noProof w:val="0"/>
        </w:rPr>
        <w:t>&lt;/Article&gt;</w:t>
      </w:r>
    </w:p>
    <w:p w14:paraId="57BD10E6" w14:textId="77777777" w:rsidR="005909EC" w:rsidRPr="005970D0" w:rsidRDefault="007D55AF" w:rsidP="005909EC">
      <w:pPr>
        <w:pStyle w:val="Normal12"/>
      </w:pPr>
      <w:r w:rsidRPr="005970D0">
        <w:rPr>
          <w:i/>
        </w:rPr>
        <w:t>Parlamentul European</w:t>
      </w:r>
      <w:r w:rsidRPr="005970D0">
        <w:t>,</w:t>
      </w:r>
    </w:p>
    <w:p w14:paraId="0B3E225F" w14:textId="77777777" w:rsidR="005909EC" w:rsidRPr="005970D0" w:rsidRDefault="005909EC" w:rsidP="005909EC">
      <w:pPr>
        <w:pStyle w:val="Normal12Hanging"/>
      </w:pPr>
      <w:r w:rsidRPr="005970D0">
        <w:t>–</w:t>
      </w:r>
      <w:r w:rsidRPr="005970D0">
        <w:tab/>
        <w:t>având în vedere articolul 52 din Regulamentul său de procedură,</w:t>
      </w:r>
    </w:p>
    <w:p w14:paraId="69B94FAE" w14:textId="0CDA3627" w:rsidR="003B378B" w:rsidRPr="005970D0" w:rsidRDefault="005909EC" w:rsidP="003B378B">
      <w:pPr>
        <w:pStyle w:val="Normal12Hanging"/>
      </w:pPr>
      <w:r w:rsidRPr="005970D0">
        <w:t>A.</w:t>
      </w:r>
      <w:r w:rsidRPr="005970D0">
        <w:tab/>
        <w:t>întrucât toate economiile cu caracter colaborativ, de la cele orientate pe pia</w:t>
      </w:r>
      <w:r w:rsidR="00782341">
        <w:t>ț</w:t>
      </w:r>
      <w:r w:rsidRPr="005970D0">
        <w:t>ă la cele orientate pe dona</w:t>
      </w:r>
      <w:r w:rsidR="00782341">
        <w:t>ț</w:t>
      </w:r>
      <w:r w:rsidRPr="005970D0">
        <w:t xml:space="preserve">ii, prevăd un model de consum cooperativ (închiriere, împrumut, schimb, partajare, barter </w:t>
      </w:r>
      <w:r w:rsidR="00782341">
        <w:t>ș</w:t>
      </w:r>
      <w:r w:rsidRPr="005970D0">
        <w:t>i dona</w:t>
      </w:r>
      <w:r w:rsidR="00782341">
        <w:t>ț</w:t>
      </w:r>
      <w:r w:rsidRPr="005970D0">
        <w:t xml:space="preserve">ie), care se realizează în moduri diferite </w:t>
      </w:r>
      <w:r w:rsidR="00782341">
        <w:t>ș</w:t>
      </w:r>
      <w:r w:rsidRPr="005970D0">
        <w:t>i la niveluri care nu erau posibile în trecut, datorită utilizării intensive a tehnologiilor informa</w:t>
      </w:r>
      <w:r w:rsidR="00782341">
        <w:t>ț</w:t>
      </w:r>
      <w:r w:rsidRPr="005970D0">
        <w:t xml:space="preserve">iei </w:t>
      </w:r>
      <w:r w:rsidR="00782341">
        <w:t>ș</w:t>
      </w:r>
      <w:r w:rsidRPr="005970D0">
        <w:t>i comunica</w:t>
      </w:r>
      <w:r w:rsidR="00782341">
        <w:t>ț</w:t>
      </w:r>
      <w:r w:rsidRPr="005970D0">
        <w:t>iilor ca factor catalizator;</w:t>
      </w:r>
    </w:p>
    <w:p w14:paraId="0532B6C2" w14:textId="2F3493E7" w:rsidR="003B378B" w:rsidRPr="005970D0" w:rsidRDefault="003B378B" w:rsidP="003B378B">
      <w:pPr>
        <w:pStyle w:val="Normal12Hanging"/>
      </w:pPr>
      <w:r w:rsidRPr="005970D0">
        <w:t>B.</w:t>
      </w:r>
      <w:r w:rsidRPr="005970D0">
        <w:tab/>
        <w:t>întrucât economia colaborativă se dezvoltă în contextul unei dereglementări economice organizate, în cadrul căreia multe sectoare de activitate se confruntă deja cu o concuren</w:t>
      </w:r>
      <w:r w:rsidR="00782341">
        <w:t>ț</w:t>
      </w:r>
      <w:r w:rsidRPr="005970D0">
        <w:t>ă neloială acerbă;</w:t>
      </w:r>
    </w:p>
    <w:p w14:paraId="0599DD36" w14:textId="714AF3C8" w:rsidR="003B378B" w:rsidRPr="005970D0" w:rsidRDefault="003B378B" w:rsidP="003B378B">
      <w:pPr>
        <w:pStyle w:val="Normal12Hanging"/>
      </w:pPr>
      <w:r w:rsidRPr="005970D0">
        <w:t>C.</w:t>
      </w:r>
      <w:r w:rsidRPr="005970D0">
        <w:tab/>
        <w:t>întrucât în Comunicarea Comisiei intitulată „O agendă europeană pentru economia colaborativă” se subliniază importan</w:t>
      </w:r>
      <w:r w:rsidR="00782341">
        <w:t>ț</w:t>
      </w:r>
      <w:r w:rsidRPr="005970D0">
        <w:t xml:space="preserve">a tot mai mare a economiei platformelor online </w:t>
      </w:r>
      <w:r w:rsidR="00782341">
        <w:t>ș</w:t>
      </w:r>
      <w:r w:rsidRPr="005970D0">
        <w:t xml:space="preserve">i impactul acesteia asupra politicilor economice </w:t>
      </w:r>
      <w:r w:rsidR="00782341">
        <w:t>ș</w:t>
      </w:r>
      <w:r w:rsidRPr="005970D0">
        <w:t>i ocupa</w:t>
      </w:r>
      <w:r w:rsidR="00782341">
        <w:t>ț</w:t>
      </w:r>
      <w:r w:rsidRPr="005970D0">
        <w:t>ionale, care conduce, după cum se poate prevedea încă de pe acum, la o muta</w:t>
      </w:r>
      <w:r w:rsidR="00782341">
        <w:t>ț</w:t>
      </w:r>
      <w:r w:rsidRPr="005970D0">
        <w:t>ie necontrolată în detrimentul actorilor din economia tradi</w:t>
      </w:r>
      <w:r w:rsidR="00782341">
        <w:t>ț</w:t>
      </w:r>
      <w:r w:rsidRPr="005970D0">
        <w:t>ională;</w:t>
      </w:r>
    </w:p>
    <w:p w14:paraId="7AC824F3" w14:textId="3A749446" w:rsidR="003B378B" w:rsidRPr="005970D0" w:rsidRDefault="003B378B" w:rsidP="003B378B">
      <w:pPr>
        <w:pStyle w:val="Normal12Hanging"/>
      </w:pPr>
      <w:r w:rsidRPr="005970D0">
        <w:t>D.</w:t>
      </w:r>
      <w:r w:rsidRPr="005970D0">
        <w:tab/>
        <w:t>întrucât, ca urmare a digitalizării, ini</w:t>
      </w:r>
      <w:r w:rsidR="00782341">
        <w:t>ț</w:t>
      </w:r>
      <w:r w:rsidRPr="005970D0">
        <w:t>iativele economice din ziua de azi se caracterizează prin intensitate scăzută a for</w:t>
      </w:r>
      <w:r w:rsidR="00782341">
        <w:t>ț</w:t>
      </w:r>
      <w:r w:rsidRPr="005970D0">
        <w:t xml:space="preserve">ei de muncă </w:t>
      </w:r>
      <w:r w:rsidR="00782341">
        <w:t>ș</w:t>
      </w:r>
      <w:r w:rsidRPr="005970D0">
        <w:t>i un grad înalt de specializare;</w:t>
      </w:r>
    </w:p>
    <w:p w14:paraId="6B3E714A" w14:textId="23119FCD" w:rsidR="003B378B" w:rsidRPr="005970D0" w:rsidRDefault="003B378B" w:rsidP="003B378B">
      <w:pPr>
        <w:pStyle w:val="Normal12Hanging"/>
      </w:pPr>
      <w:r w:rsidRPr="005970D0">
        <w:t>E.</w:t>
      </w:r>
      <w:r w:rsidRPr="005970D0">
        <w:tab/>
        <w:t xml:space="preserve">întrucât platformele nu ar trebui considerate drept simple servicii de intermediere, întrucât o asemenea intermediere este furnizată în domenii care sunt deja reglementate în statele membre </w:t>
      </w:r>
      <w:r w:rsidR="00782341">
        <w:t>ș</w:t>
      </w:r>
      <w:r w:rsidRPr="005970D0">
        <w:t>i în multe cazuri ea se face prin stabilirea pre</w:t>
      </w:r>
      <w:r w:rsidR="00782341">
        <w:t>ț</w:t>
      </w:r>
      <w:r w:rsidRPr="005970D0">
        <w:t xml:space="preserve">ului final pentru client </w:t>
      </w:r>
      <w:r w:rsidR="00782341">
        <w:t>ș</w:t>
      </w:r>
      <w:r w:rsidRPr="005970D0">
        <w:t>i a remunera</w:t>
      </w:r>
      <w:r w:rsidR="00782341">
        <w:t>ț</w:t>
      </w:r>
      <w:r w:rsidRPr="005970D0">
        <w:t>iei pentru furnizorul de servicii, care se presupune că este un lucrător independent, nu un angajat;</w:t>
      </w:r>
    </w:p>
    <w:p w14:paraId="558D1D31" w14:textId="61AA655C" w:rsidR="005909EC" w:rsidRPr="005970D0" w:rsidRDefault="003B378B" w:rsidP="003B378B">
      <w:pPr>
        <w:pStyle w:val="Normal12Hanging"/>
      </w:pPr>
      <w:r w:rsidRPr="005970D0">
        <w:t>F.</w:t>
      </w:r>
      <w:r w:rsidRPr="005970D0">
        <w:tab/>
        <w:t>întrucât dezvoltarea economiei colaborative reprezintă o provoca</w:t>
      </w:r>
      <w:bookmarkStart w:id="0" w:name="_GoBack"/>
      <w:bookmarkEnd w:id="0"/>
      <w:r w:rsidRPr="005970D0">
        <w:t>re semnificativă pentru apărarea suveranită</w:t>
      </w:r>
      <w:r w:rsidR="00782341">
        <w:t>ț</w:t>
      </w:r>
      <w:r w:rsidRPr="005970D0">
        <w:t>ii digitale, pentru protec</w:t>
      </w:r>
      <w:r w:rsidR="00782341">
        <w:t>ț</w:t>
      </w:r>
      <w:r w:rsidRPr="005970D0">
        <w:t>ia datelor strategice, pentru independen</w:t>
      </w:r>
      <w:r w:rsidR="00782341">
        <w:t>ț</w:t>
      </w:r>
      <w:r w:rsidRPr="005970D0">
        <w:t xml:space="preserve">a digitală </w:t>
      </w:r>
      <w:r w:rsidR="00782341">
        <w:t>ș</w:t>
      </w:r>
      <w:r w:rsidRPr="005970D0">
        <w:t>i industrială a statelor membre, dând na</w:t>
      </w:r>
      <w:r w:rsidR="00782341">
        <w:t>ș</w:t>
      </w:r>
      <w:r w:rsidRPr="005970D0">
        <w:t>tere unor întrebări esen</w:t>
      </w:r>
      <w:r w:rsidR="00782341">
        <w:t>ț</w:t>
      </w:r>
      <w:r w:rsidRPr="005970D0">
        <w:t xml:space="preserve">iale cu privire </w:t>
      </w:r>
      <w:r w:rsidRPr="005970D0">
        <w:lastRenderedPageBreak/>
        <w:t xml:space="preserve">la transferul automat al datelor cu caracter personal către „supercomputerele” situate în </w:t>
      </w:r>
      <w:r w:rsidR="00782341">
        <w:t>ț</w:t>
      </w:r>
      <w:r w:rsidRPr="005970D0">
        <w:t>ări ter</w:t>
      </w:r>
      <w:r w:rsidR="00782341">
        <w:t>ț</w:t>
      </w:r>
      <w:r w:rsidRPr="005970D0">
        <w:t>i;</w:t>
      </w:r>
    </w:p>
    <w:p w14:paraId="21A5BDA4" w14:textId="3C383428" w:rsidR="003B378B" w:rsidRPr="005970D0" w:rsidRDefault="005909EC" w:rsidP="003B378B">
      <w:pPr>
        <w:pStyle w:val="Normal12Hanging"/>
      </w:pPr>
      <w:r w:rsidRPr="005970D0">
        <w:t>1.</w:t>
      </w:r>
      <w:r w:rsidRPr="005970D0">
        <w:tab/>
        <w:t>subliniază că nu acest fenomen nu presupune o revolu</w:t>
      </w:r>
      <w:r w:rsidR="00782341">
        <w:t>ț</w:t>
      </w:r>
      <w:r w:rsidRPr="005970D0">
        <w:t>ie tehnologică sau triumful unei idei care, ac</w:t>
      </w:r>
      <w:r w:rsidR="00782341">
        <w:t>ț</w:t>
      </w:r>
      <w:r w:rsidRPr="005970D0">
        <w:t>ionând asupra structurii unei activită</w:t>
      </w:r>
      <w:r w:rsidR="00782341">
        <w:t>ț</w:t>
      </w:r>
      <w:r w:rsidRPr="005970D0">
        <w:t>i tradi</w:t>
      </w:r>
      <w:r w:rsidR="00782341">
        <w:t>ț</w:t>
      </w:r>
      <w:r w:rsidRPr="005970D0">
        <w:t>ionale, îi permite acesteia să î</w:t>
      </w:r>
      <w:r w:rsidR="00782341">
        <w:t>ș</w:t>
      </w:r>
      <w:r w:rsidRPr="005970D0">
        <w:t>i crească eficien</w:t>
      </w:r>
      <w:r w:rsidR="00782341">
        <w:t>ț</w:t>
      </w:r>
      <w:r w:rsidRPr="005970D0">
        <w:t>a, „realizând mai multe cu mai pu</w:t>
      </w:r>
      <w:r w:rsidR="00782341">
        <w:t>ț</w:t>
      </w:r>
      <w:r w:rsidRPr="005970D0">
        <w:t xml:space="preserve">ine resurse”; constată că singura inovare veritabilă a economiilor cu caracter colaborativ </w:t>
      </w:r>
      <w:r w:rsidR="00782341">
        <w:t>ș</w:t>
      </w:r>
      <w:r w:rsidRPr="005970D0">
        <w:t xml:space="preserve">i a economiei bazate pe partajare, în general, este eliminarea intermedierii sub toate formele sale, atât comercială, cât </w:t>
      </w:r>
      <w:r w:rsidR="00782341">
        <w:t>ș</w:t>
      </w:r>
      <w:r w:rsidRPr="005970D0">
        <w:t>i publică (în ceea ce prive</w:t>
      </w:r>
      <w:r w:rsidR="00782341">
        <w:t>ș</w:t>
      </w:r>
      <w:r w:rsidRPr="005970D0">
        <w:t xml:space="preserve">te reglementarea </w:t>
      </w:r>
      <w:r w:rsidR="00782341">
        <w:t>ș</w:t>
      </w:r>
      <w:r w:rsidRPr="005970D0">
        <w:t>i impozitarea);</w:t>
      </w:r>
    </w:p>
    <w:p w14:paraId="6E68F213" w14:textId="044CFDE5" w:rsidR="003B378B" w:rsidRPr="005970D0" w:rsidRDefault="003B378B" w:rsidP="003B378B">
      <w:pPr>
        <w:pStyle w:val="Normal12Hanging"/>
      </w:pPr>
      <w:r w:rsidRPr="005970D0">
        <w:t>2.</w:t>
      </w:r>
      <w:r w:rsidRPr="005970D0">
        <w:tab/>
        <w:t>subliniază faptul că marile platforme transna</w:t>
      </w:r>
      <w:r w:rsidR="00782341">
        <w:t>ț</w:t>
      </w:r>
      <w:r w:rsidRPr="005970D0">
        <w:t xml:space="preserve">ionale ale economiei bazate pe partajare, care colectează </w:t>
      </w:r>
      <w:r w:rsidR="00782341">
        <w:t>ș</w:t>
      </w:r>
      <w:r w:rsidRPr="005970D0">
        <w:t>i redistribuie un flux imens de informa</w:t>
      </w:r>
      <w:r w:rsidR="00782341">
        <w:t>ț</w:t>
      </w:r>
      <w:r w:rsidRPr="005970D0">
        <w:t>ii, se constituie drept noi intermediari; constată că, în ciuda unei structuri mai greoaie a costurilor (costurile de intermediere pot depă</w:t>
      </w:r>
      <w:r w:rsidR="00782341">
        <w:t>ș</w:t>
      </w:r>
      <w:r w:rsidRPr="005970D0">
        <w:t xml:space="preserve">i chiar </w:t>
      </w:r>
      <w:r w:rsidR="00782341">
        <w:t>ș</w:t>
      </w:r>
      <w:r w:rsidRPr="005970D0">
        <w:t>i 20 %), aceste platforme pot stabili pre</w:t>
      </w:r>
      <w:r w:rsidR="00782341">
        <w:t>ț</w:t>
      </w:r>
      <w:r w:rsidRPr="005970D0">
        <w:t>uri mai mici, datorită faptului că tehnologia inovării presupune investi</w:t>
      </w:r>
      <w:r w:rsidR="00782341">
        <w:t>ț</w:t>
      </w:r>
      <w:r w:rsidRPr="005970D0">
        <w:t xml:space="preserve">ii fixe derizorii </w:t>
      </w:r>
      <w:r w:rsidR="00782341">
        <w:t>ș</w:t>
      </w:r>
      <w:r w:rsidRPr="005970D0">
        <w:t xml:space="preserve">i asimetrice </w:t>
      </w:r>
      <w:r w:rsidR="00782341">
        <w:t>ș</w:t>
      </w:r>
      <w:r w:rsidRPr="005970D0">
        <w:t>i, prin urmare, costul pe care îl reflectă aceste pre</w:t>
      </w:r>
      <w:r w:rsidR="00782341">
        <w:t>ț</w:t>
      </w:r>
      <w:r w:rsidRPr="005970D0">
        <w:t>uri nu se răsfrânge asupra platformelor, ci asupra lucrătorilor sau clien</w:t>
      </w:r>
      <w:r w:rsidR="00782341">
        <w:t>ț</w:t>
      </w:r>
      <w:r w:rsidRPr="005970D0">
        <w:t>ilor; rezultă că, în anumite circumstan</w:t>
      </w:r>
      <w:r w:rsidR="00782341">
        <w:t>ț</w:t>
      </w:r>
      <w:r w:rsidRPr="005970D0">
        <w:t xml:space="preserve">e, astfel de platforme pot fi chiar un obstacol pentru crearea </w:t>
      </w:r>
      <w:r w:rsidR="00782341">
        <w:t>ș</w:t>
      </w:r>
      <w:r w:rsidRPr="005970D0">
        <w:t>i dezvoltarea unor ini</w:t>
      </w:r>
      <w:r w:rsidR="00782341">
        <w:t>ț</w:t>
      </w:r>
      <w:r w:rsidRPr="005970D0">
        <w:t>iative locale ale economiei cu caracter colaborativ;</w:t>
      </w:r>
    </w:p>
    <w:p w14:paraId="4B1BB744" w14:textId="190B6CE9" w:rsidR="003B378B" w:rsidRPr="005970D0" w:rsidRDefault="003B378B" w:rsidP="003B378B">
      <w:pPr>
        <w:pStyle w:val="Normal12Hanging"/>
      </w:pPr>
      <w:r w:rsidRPr="005970D0">
        <w:t>3.</w:t>
      </w:r>
      <w:r w:rsidRPr="005970D0">
        <w:tab/>
        <w:t xml:space="preserve">subliniază că distribuirea </w:t>
      </w:r>
      <w:r w:rsidR="00782341">
        <w:t>ș</w:t>
      </w:r>
      <w:r w:rsidRPr="005970D0">
        <w:t>i monetizarea propriilor active subutilizate ale unui operator ia amploare, în special, într-o economie unde cererea internă este saturată, acolo unde economisirea cheltuielilor este esen</w:t>
      </w:r>
      <w:r w:rsidR="00782341">
        <w:t>ț</w:t>
      </w:r>
      <w:r w:rsidRPr="005970D0">
        <w:t xml:space="preserve">ială </w:t>
      </w:r>
      <w:r w:rsidR="00782341">
        <w:t>ș</w:t>
      </w:r>
      <w:r w:rsidRPr="005970D0">
        <w:t>i, prin urmare, criteriul decisiv devine pre</w:t>
      </w:r>
      <w:r w:rsidR="00782341">
        <w:t>ț</w:t>
      </w:r>
      <w:r w:rsidRPr="005970D0">
        <w:t>ul, în detrimentul calită</w:t>
      </w:r>
      <w:r w:rsidR="00782341">
        <w:t>ț</w:t>
      </w:r>
      <w:r w:rsidRPr="005970D0">
        <w:t xml:space="preserve">ii </w:t>
      </w:r>
      <w:r w:rsidR="00782341">
        <w:t>ș</w:t>
      </w:r>
      <w:r w:rsidRPr="005970D0">
        <w:t>i siguran</w:t>
      </w:r>
      <w:r w:rsidR="00782341">
        <w:t>ț</w:t>
      </w:r>
      <w:r w:rsidRPr="005970D0">
        <w:t>ei; prin urmare, observă că „valoarea adăugată” a economiei bazate pe partajare reprezintă sistematizarea economiei de subzisten</w:t>
      </w:r>
      <w:r w:rsidR="00782341">
        <w:t>ț</w:t>
      </w:r>
      <w:r w:rsidRPr="005970D0">
        <w:t>ă, în absen</w:t>
      </w:r>
      <w:r w:rsidR="00782341">
        <w:t>ț</w:t>
      </w:r>
      <w:r w:rsidRPr="005970D0">
        <w:t>a unei economii bazată pe valoarea adăugată; este o economie de tip „fend-for-yourself” (economie de tip descurcă-te singur);</w:t>
      </w:r>
    </w:p>
    <w:p w14:paraId="015288FE" w14:textId="142902FC" w:rsidR="003B378B" w:rsidRPr="005970D0" w:rsidRDefault="003B378B" w:rsidP="003B378B">
      <w:pPr>
        <w:pStyle w:val="Normal12Hanging"/>
      </w:pPr>
      <w:r w:rsidRPr="005970D0">
        <w:t>4.</w:t>
      </w:r>
      <w:r w:rsidRPr="005970D0">
        <w:tab/>
        <w:t>subliniază că în majoritatea cazurilor, profiturile astfel generate, apar</w:t>
      </w:r>
      <w:r w:rsidR="00782341">
        <w:t>ț</w:t>
      </w:r>
      <w:r w:rsidRPr="005970D0">
        <w:t xml:space="preserve">in proprietarilor de hardware </w:t>
      </w:r>
      <w:r w:rsidR="00782341">
        <w:t>ș</w:t>
      </w:r>
      <w:r w:rsidRPr="005970D0">
        <w:t>i software, oligopoli</w:t>
      </w:r>
      <w:r w:rsidR="00782341">
        <w:t>ș</w:t>
      </w:r>
      <w:r w:rsidRPr="005970D0">
        <w:t>tilor de pe pia</w:t>
      </w:r>
      <w:r w:rsidR="00782341">
        <w:t>ț</w:t>
      </w:r>
      <w:r w:rsidRPr="005970D0">
        <w:t xml:space="preserve">a digitală </w:t>
      </w:r>
      <w:r w:rsidR="00782341">
        <w:t>ș</w:t>
      </w:r>
      <w:r w:rsidRPr="005970D0">
        <w:t>i celor care gestionează plă</w:t>
      </w:r>
      <w:r w:rsidR="00782341">
        <w:t>ț</w:t>
      </w:r>
      <w:r w:rsidRPr="005970D0">
        <w:t xml:space="preserve">ile </w:t>
      </w:r>
      <w:r w:rsidR="00782341">
        <w:t>ș</w:t>
      </w:r>
      <w:r w:rsidRPr="005970D0">
        <w:t>i tranzac</w:t>
      </w:r>
      <w:r w:rsidR="00782341">
        <w:t>ț</w:t>
      </w:r>
      <w:r w:rsidRPr="005970D0">
        <w:t>iile, care, de altfel, pot evita în mod legal impozitarea, datorită liberei circula</w:t>
      </w:r>
      <w:r w:rsidR="00782341">
        <w:t>ț</w:t>
      </w:r>
      <w:r w:rsidRPr="005970D0">
        <w:t>ii a capitalurilor;</w:t>
      </w:r>
    </w:p>
    <w:p w14:paraId="565E3138" w14:textId="7273A5DE" w:rsidR="003B378B" w:rsidRPr="005970D0" w:rsidRDefault="003B378B" w:rsidP="003B378B">
      <w:pPr>
        <w:pStyle w:val="Normal12Hanging"/>
      </w:pPr>
      <w:r w:rsidRPr="005970D0">
        <w:t>5.</w:t>
      </w:r>
      <w:r w:rsidRPr="005970D0">
        <w:tab/>
        <w:t>afirmă că to</w:t>
      </w:r>
      <w:r w:rsidR="00782341">
        <w:t>ț</w:t>
      </w:r>
      <w:r w:rsidRPr="005970D0">
        <w:t>i lucrătorii din economia platformelor sunt fie angaja</w:t>
      </w:r>
      <w:r w:rsidR="00782341">
        <w:t>ț</w:t>
      </w:r>
      <w:r w:rsidRPr="005970D0">
        <w:t>i, fie lucrători independen</w:t>
      </w:r>
      <w:r w:rsidR="00782341">
        <w:t>ț</w:t>
      </w:r>
      <w:r w:rsidRPr="005970D0">
        <w:t>i, în func</w:t>
      </w:r>
      <w:r w:rsidR="00782341">
        <w:t>ț</w:t>
      </w:r>
      <w:r w:rsidRPr="005970D0">
        <w:t>ie de preponderen</w:t>
      </w:r>
      <w:r w:rsidR="00782341">
        <w:t>ț</w:t>
      </w:r>
      <w:r w:rsidRPr="005970D0">
        <w:t>a activită</w:t>
      </w:r>
      <w:r w:rsidR="00782341">
        <w:t>ț</w:t>
      </w:r>
      <w:r w:rsidRPr="005970D0">
        <w:t>ilor; reaminte</w:t>
      </w:r>
      <w:r w:rsidR="00782341">
        <w:t>ș</w:t>
      </w:r>
      <w:r w:rsidRPr="005970D0">
        <w:t>te, în acest context, că Curtea de Justi</w:t>
      </w:r>
      <w:r w:rsidR="00782341">
        <w:t>ț</w:t>
      </w:r>
      <w:r w:rsidRPr="005970D0">
        <w:t>ie a definit conceptul de „lucrător” pe baza unei rela</w:t>
      </w:r>
      <w:r w:rsidR="00782341">
        <w:t>ț</w:t>
      </w:r>
      <w:r w:rsidRPr="005970D0">
        <w:t>ii de muncă care îndepline</w:t>
      </w:r>
      <w:r w:rsidR="00782341">
        <w:t>ș</w:t>
      </w:r>
      <w:r w:rsidRPr="005970D0">
        <w:t>te anumite criterii, cum ar fi subordonarea, remunera</w:t>
      </w:r>
      <w:r w:rsidR="00782341">
        <w:t>ț</w:t>
      </w:r>
      <w:r w:rsidRPr="005970D0">
        <w:t xml:space="preserve">ia </w:t>
      </w:r>
      <w:r w:rsidR="00782341">
        <w:t>ș</w:t>
      </w:r>
      <w:r w:rsidRPr="005970D0">
        <w:t xml:space="preserve">i natura muncii, precum </w:t>
      </w:r>
      <w:r w:rsidR="00782341">
        <w:t>ș</w:t>
      </w:r>
      <w:r w:rsidRPr="005970D0">
        <w:t>i încheierea unui contract de angajare sau de colaborare în regulă;</w:t>
      </w:r>
    </w:p>
    <w:p w14:paraId="76930CFB" w14:textId="06612B34" w:rsidR="003B378B" w:rsidRPr="005970D0" w:rsidRDefault="003B378B" w:rsidP="003B378B">
      <w:pPr>
        <w:pStyle w:val="Normal12Hanging"/>
      </w:pPr>
      <w:r w:rsidRPr="005970D0">
        <w:t>6.</w:t>
      </w:r>
      <w:r w:rsidRPr="005970D0">
        <w:tab/>
        <w:t>subliniază că statele membre au competen</w:t>
      </w:r>
      <w:r w:rsidR="00782341">
        <w:t>ț</w:t>
      </w:r>
      <w:r w:rsidRPr="005970D0">
        <w:t>a să combată caracterul precar al locurilor de muncă din economia colaborativă pentru a garanta lucrătorilor siguran</w:t>
      </w:r>
      <w:r w:rsidR="00782341">
        <w:t>ț</w:t>
      </w:r>
      <w:r w:rsidRPr="005970D0">
        <w:t xml:space="preserve">a locului de muncă; subliniază că accesibilitatea permanentă din economia platformelor reprezintă un pericol grav pentru sănătate </w:t>
      </w:r>
      <w:r w:rsidR="00782341">
        <w:t>ș</w:t>
      </w:r>
      <w:r w:rsidRPr="005970D0">
        <w:t>i siguran</w:t>
      </w:r>
      <w:r w:rsidR="00782341">
        <w:t>ț</w:t>
      </w:r>
      <w:r w:rsidRPr="005970D0">
        <w:t>ă; pledează pentru instituirea unui „drept de deconectare”, astfel cum este definit de fiecare stat membru.</w:t>
      </w:r>
    </w:p>
    <w:p w14:paraId="0265E41C" w14:textId="4035D022" w:rsidR="003B378B" w:rsidRPr="005970D0" w:rsidRDefault="003B378B" w:rsidP="003B378B">
      <w:pPr>
        <w:pStyle w:val="Normal12Hanging"/>
      </w:pPr>
      <w:r w:rsidRPr="005970D0">
        <w:t>7.</w:t>
      </w:r>
      <w:r w:rsidRPr="005970D0">
        <w:tab/>
        <w:t>reaminte</w:t>
      </w:r>
      <w:r w:rsidR="00782341">
        <w:t>ș</w:t>
      </w:r>
      <w:r w:rsidRPr="005970D0">
        <w:t>te că, întrucât dreptul muncii rămâne o prerogativă na</w:t>
      </w:r>
      <w:r w:rsidR="00782341">
        <w:t>ț</w:t>
      </w:r>
      <w:r w:rsidRPr="005970D0">
        <w:t>ională, statele membre au dreptul să reglementeze condi</w:t>
      </w:r>
      <w:r w:rsidR="00782341">
        <w:t>ț</w:t>
      </w:r>
      <w:r w:rsidRPr="005970D0">
        <w:t>iile de muncă în economia platformelor, pentru a fixa situa</w:t>
      </w:r>
      <w:r w:rsidR="00782341">
        <w:t>ț</w:t>
      </w:r>
      <w:r w:rsidRPr="005970D0">
        <w:t>ia juridică a lucrătorilor pe platformă, adesea gestionate de întreprinderi multina</w:t>
      </w:r>
      <w:r w:rsidR="00782341">
        <w:t>ț</w:t>
      </w:r>
      <w:r w:rsidRPr="005970D0">
        <w:t xml:space="preserve">ionale sau de companii din afara Europei, </w:t>
      </w:r>
      <w:r w:rsidR="00782341">
        <w:t>ș</w:t>
      </w:r>
      <w:r w:rsidRPr="005970D0">
        <w:t>i pentru a se asigura că to</w:t>
      </w:r>
      <w:r w:rsidR="00782341">
        <w:t>ț</w:t>
      </w:r>
      <w:r w:rsidRPr="005970D0">
        <w:t>i lucrătorii din economia platformelor beneficiază de acelea</w:t>
      </w:r>
      <w:r w:rsidR="00782341">
        <w:t>ș</w:t>
      </w:r>
      <w:r w:rsidRPr="005970D0">
        <w:t xml:space="preserve">i drepturi sociale </w:t>
      </w:r>
      <w:r w:rsidR="00782341">
        <w:t>ș</w:t>
      </w:r>
      <w:r w:rsidRPr="005970D0">
        <w:t xml:space="preserve">i de muncă </w:t>
      </w:r>
      <w:r w:rsidR="00782341">
        <w:t>ș</w:t>
      </w:r>
      <w:r w:rsidRPr="005970D0">
        <w:t xml:space="preserve">i de </w:t>
      </w:r>
      <w:r w:rsidRPr="005970D0">
        <w:lastRenderedPageBreak/>
        <w:t>aceea</w:t>
      </w:r>
      <w:r w:rsidR="00782341">
        <w:t>ș</w:t>
      </w:r>
      <w:r w:rsidRPr="005970D0">
        <w:t>i protec</w:t>
      </w:r>
      <w:r w:rsidR="00782341">
        <w:t>ț</w:t>
      </w:r>
      <w:r w:rsidRPr="005970D0">
        <w:t>ie a sănătă</w:t>
      </w:r>
      <w:r w:rsidR="00782341">
        <w:t>ț</w:t>
      </w:r>
      <w:r w:rsidRPr="005970D0">
        <w:t xml:space="preserve">ii </w:t>
      </w:r>
      <w:r w:rsidR="00782341">
        <w:t>ș</w:t>
      </w:r>
      <w:r w:rsidRPr="005970D0">
        <w:t>i siguran</w:t>
      </w:r>
      <w:r w:rsidR="00782341">
        <w:t>ț</w:t>
      </w:r>
      <w:r w:rsidRPr="005970D0">
        <w:t xml:space="preserve">ei ca </w:t>
      </w:r>
      <w:r w:rsidR="00782341">
        <w:t>ș</w:t>
      </w:r>
      <w:r w:rsidRPr="005970D0">
        <w:t>i lucrătorii din economia tradi</w:t>
      </w:r>
      <w:r w:rsidR="00782341">
        <w:t>ț</w:t>
      </w:r>
      <w:r w:rsidRPr="005970D0">
        <w:t>ională;</w:t>
      </w:r>
    </w:p>
    <w:p w14:paraId="19ECC171" w14:textId="5814891B" w:rsidR="003B378B" w:rsidRPr="005970D0" w:rsidRDefault="003B378B" w:rsidP="003B378B">
      <w:pPr>
        <w:pStyle w:val="Normal12Hanging"/>
      </w:pPr>
      <w:r w:rsidRPr="005970D0">
        <w:t>8.</w:t>
      </w:r>
      <w:r w:rsidRPr="005970D0">
        <w:tab/>
        <w:t>observă necesitatea de a asigura o securitate socială adecvată pentru lucrătorii independen</w:t>
      </w:r>
      <w:r w:rsidR="00782341">
        <w:t>ț</w:t>
      </w:r>
      <w:r w:rsidRPr="005970D0">
        <w:t>i, care sunt actori esen</w:t>
      </w:r>
      <w:r w:rsidR="00782341">
        <w:t>ț</w:t>
      </w:r>
      <w:r w:rsidRPr="005970D0">
        <w:t>iali ai pie</w:t>
      </w:r>
      <w:r w:rsidR="00782341">
        <w:t>ț</w:t>
      </w:r>
      <w:r w:rsidRPr="005970D0">
        <w:t xml:space="preserve">ei digitale a muncii </w:t>
      </w:r>
      <w:r w:rsidR="00782341">
        <w:t>ș</w:t>
      </w:r>
      <w:r w:rsidRPr="005970D0">
        <w:t>i subliniază că numai statele membre sunt în măsură să ac</w:t>
      </w:r>
      <w:r w:rsidR="00782341">
        <w:t>ț</w:t>
      </w:r>
      <w:r w:rsidRPr="005970D0">
        <w:t>ioneze rapid în această privin</w:t>
      </w:r>
      <w:r w:rsidR="00782341">
        <w:t>ț</w:t>
      </w:r>
      <w:r w:rsidRPr="005970D0">
        <w:t xml:space="preserve">ă; subliniază că libertatea de asociere </w:t>
      </w:r>
      <w:r w:rsidR="00782341">
        <w:t>ș</w:t>
      </w:r>
      <w:r w:rsidRPr="005970D0">
        <w:t>i de ac</w:t>
      </w:r>
      <w:r w:rsidR="00782341">
        <w:t>ț</w:t>
      </w:r>
      <w:r w:rsidRPr="005970D0">
        <w:t>iune colectivă sunt drepturi fundamentale, care trebuie să se aplice tuturor lucrătorilor;</w:t>
      </w:r>
    </w:p>
    <w:p w14:paraId="2AC5D988" w14:textId="1E261152" w:rsidR="003B378B" w:rsidRPr="005970D0" w:rsidRDefault="003B378B" w:rsidP="003B378B">
      <w:pPr>
        <w:pStyle w:val="Normal12Hanging"/>
      </w:pPr>
      <w:r w:rsidRPr="005970D0">
        <w:t>9.</w:t>
      </w:r>
      <w:r w:rsidRPr="005970D0">
        <w:tab/>
        <w:t>este preocupat de faptul că o mare parte din economia colaborativă „în fa</w:t>
      </w:r>
      <w:r w:rsidR="00782341">
        <w:t>ș</w:t>
      </w:r>
      <w:r w:rsidRPr="005970D0">
        <w:t>ă” rămâne nereglementată; consideră că autorită</w:t>
      </w:r>
      <w:r w:rsidR="00782341">
        <w:t>ț</w:t>
      </w:r>
      <w:r w:rsidRPr="005970D0">
        <w:t>ile na</w:t>
      </w:r>
      <w:r w:rsidR="00782341">
        <w:t>ț</w:t>
      </w:r>
      <w:r w:rsidRPr="005970D0">
        <w:t xml:space="preserve">ionale, regionale </w:t>
      </w:r>
      <w:r w:rsidR="00782341">
        <w:t>ș</w:t>
      </w:r>
      <w:r w:rsidRPr="005970D0">
        <w:t>i locale au un spa</w:t>
      </w:r>
      <w:r w:rsidR="00782341">
        <w:t>ț</w:t>
      </w:r>
      <w:r w:rsidRPr="005970D0">
        <w:t>iu de manevră amplu pentru a adopta reglementări adaptate contextului pentru a răspunde unor obiective de interes public;</w:t>
      </w:r>
    </w:p>
    <w:p w14:paraId="0336F9D9" w14:textId="45271C4E" w:rsidR="003B378B" w:rsidRPr="005970D0" w:rsidRDefault="003B378B" w:rsidP="003B378B">
      <w:pPr>
        <w:pStyle w:val="Normal12Hanging"/>
      </w:pPr>
      <w:r w:rsidRPr="005970D0">
        <w:t>10.</w:t>
      </w:r>
      <w:r w:rsidRPr="005970D0">
        <w:tab/>
        <w:t>observă că statele membre pot să instituie standarde de transparen</w:t>
      </w:r>
      <w:r w:rsidR="00782341">
        <w:t>ț</w:t>
      </w:r>
      <w:r w:rsidRPr="005970D0">
        <w:t xml:space="preserve">ă </w:t>
      </w:r>
      <w:r w:rsidR="00782341">
        <w:t>ș</w:t>
      </w:r>
      <w:r w:rsidRPr="005970D0">
        <w:t>i obliga</w:t>
      </w:r>
      <w:r w:rsidR="00782341">
        <w:t>ț</w:t>
      </w:r>
      <w:r w:rsidRPr="005970D0">
        <w:t>ii de comunicare pentru operatorii platformelor pentru ca ace</w:t>
      </w:r>
      <w:r w:rsidR="00782341">
        <w:t>ș</w:t>
      </w:r>
      <w:r w:rsidRPr="005970D0">
        <w:t>tia să nu mai eludeze legisla</w:t>
      </w:r>
      <w:r w:rsidR="00782341">
        <w:t>ț</w:t>
      </w:r>
      <w:r w:rsidRPr="005970D0">
        <w:t>iile na</w:t>
      </w:r>
      <w:r w:rsidR="00782341">
        <w:t>ț</w:t>
      </w:r>
      <w:r w:rsidRPr="005970D0">
        <w:t>ionale în unicul scop de a-</w:t>
      </w:r>
      <w:r w:rsidR="00782341">
        <w:t>ș</w:t>
      </w:r>
      <w:r w:rsidRPr="005970D0">
        <w:t>i mări profiturile; aceste standarde vor permite monitorizarea plă</w:t>
      </w:r>
      <w:r w:rsidR="00782341">
        <w:t>ț</w:t>
      </w:r>
      <w:r w:rsidRPr="005970D0">
        <w:t xml:space="preserve">ii impozitelor </w:t>
      </w:r>
      <w:r w:rsidR="00782341">
        <w:t>ș</w:t>
      </w:r>
      <w:r w:rsidRPr="005970D0">
        <w:t>i a contribu</w:t>
      </w:r>
      <w:r w:rsidR="00782341">
        <w:t>ț</w:t>
      </w:r>
      <w:r w:rsidRPr="005970D0">
        <w:t xml:space="preserve">iilor la securitatea socială, precum </w:t>
      </w:r>
      <w:r w:rsidR="00782341">
        <w:t>ș</w:t>
      </w:r>
      <w:r w:rsidRPr="005970D0">
        <w:t>i a practicilor de notare a serviciilor pe platformele digitale;</w:t>
      </w:r>
    </w:p>
    <w:p w14:paraId="6F1B9939" w14:textId="021B652C" w:rsidR="003B378B" w:rsidRPr="005970D0" w:rsidRDefault="003B378B" w:rsidP="003B378B">
      <w:pPr>
        <w:pStyle w:val="Normal12Hanging"/>
      </w:pPr>
      <w:r w:rsidRPr="005970D0">
        <w:t>11.</w:t>
      </w:r>
      <w:r w:rsidRPr="005970D0">
        <w:tab/>
        <w:t>invită statelor membre să coopereze pentru a fi sigure că platformele respectă legisla</w:t>
      </w:r>
      <w:r w:rsidR="00782341">
        <w:t>ț</w:t>
      </w:r>
      <w:r w:rsidRPr="005970D0">
        <w:t xml:space="preserve">ia din </w:t>
      </w:r>
      <w:r w:rsidR="00782341">
        <w:t>ț</w:t>
      </w:r>
      <w:r w:rsidRPr="005970D0">
        <w:t xml:space="preserve">ara unde este furnizat serviciul </w:t>
      </w:r>
      <w:r w:rsidR="00782341">
        <w:t>ș</w:t>
      </w:r>
      <w:r w:rsidRPr="005970D0">
        <w:t xml:space="preserve">i plătesc impozitele acolo, că site-ul web este domiciliat pe un domeniu din statul membru în care platforma furnizează serviciul </w:t>
      </w:r>
      <w:r w:rsidR="00782341">
        <w:t>ș</w:t>
      </w:r>
      <w:r w:rsidRPr="005970D0">
        <w:t>i că proprietarul său este o persoană fizică sau juridică care î</w:t>
      </w:r>
      <w:r w:rsidR="00782341">
        <w:t>ș</w:t>
      </w:r>
      <w:r w:rsidRPr="005970D0">
        <w:t xml:space="preserve">i are sediul juridic </w:t>
      </w:r>
      <w:r w:rsidR="00782341">
        <w:t>ș</w:t>
      </w:r>
      <w:r w:rsidRPr="005970D0">
        <w:t>i fiscal în acela</w:t>
      </w:r>
      <w:r w:rsidR="00782341">
        <w:t>ș</w:t>
      </w:r>
      <w:r w:rsidRPr="005970D0">
        <w:t xml:space="preserve">i stat membru </w:t>
      </w:r>
      <w:r w:rsidR="00782341">
        <w:t>ș</w:t>
      </w:r>
      <w:r w:rsidRPr="005970D0">
        <w:t>i că contul în care se fac plă</w:t>
      </w:r>
      <w:r w:rsidR="00782341">
        <w:t>ț</w:t>
      </w:r>
      <w:r w:rsidRPr="005970D0">
        <w:t xml:space="preserve">ile </w:t>
      </w:r>
      <w:r w:rsidR="00782341">
        <w:t>ș</w:t>
      </w:r>
      <w:r w:rsidRPr="005970D0">
        <w:t>i tranzac</w:t>
      </w:r>
      <w:r w:rsidR="00782341">
        <w:t>ț</w:t>
      </w:r>
      <w:r w:rsidRPr="005970D0">
        <w:t>iile este deschis în acela</w:t>
      </w:r>
      <w:r w:rsidR="00782341">
        <w:t>ș</w:t>
      </w:r>
      <w:r w:rsidRPr="005970D0">
        <w:t>i stat membru;</w:t>
      </w:r>
    </w:p>
    <w:p w14:paraId="10D22409" w14:textId="23F11030" w:rsidR="003B378B" w:rsidRPr="005970D0" w:rsidRDefault="003B378B" w:rsidP="003B378B">
      <w:pPr>
        <w:pStyle w:val="Normal12Hanging"/>
      </w:pPr>
      <w:r w:rsidRPr="005970D0">
        <w:t>12.</w:t>
      </w:r>
      <w:r w:rsidRPr="005970D0">
        <w:tab/>
        <w:t>subliniază că statele membre au dreptul să ia măsuri na</w:t>
      </w:r>
      <w:r w:rsidR="00782341">
        <w:t>ț</w:t>
      </w:r>
      <w:r w:rsidRPr="005970D0">
        <w:t>ionale pentru a garanta securitate juridică, însemnând că acelea</w:t>
      </w:r>
      <w:r w:rsidR="00782341">
        <w:t>ș</w:t>
      </w:r>
      <w:r w:rsidRPr="005970D0">
        <w:t>i norme trebuie să li se aplice tuturor, indiferent dacă operează prin canalele tradi</w:t>
      </w:r>
      <w:r w:rsidR="00782341">
        <w:t>ț</w:t>
      </w:r>
      <w:r w:rsidRPr="005970D0">
        <w:t xml:space="preserve">ionale sau prin canalele economiei cu caracter colaborativ </w:t>
      </w:r>
      <w:r w:rsidR="00782341">
        <w:t>ș</w:t>
      </w:r>
      <w:r w:rsidRPr="005970D0">
        <w:t>i a economiei bazate pe partajare, în general: certificate, autoriza</w:t>
      </w:r>
      <w:r w:rsidR="00782341">
        <w:t>ț</w:t>
      </w:r>
      <w:r w:rsidRPr="005970D0">
        <w:t>ii, licen</w:t>
      </w:r>
      <w:r w:rsidR="00782341">
        <w:t>ț</w:t>
      </w:r>
      <w:r w:rsidRPr="005970D0">
        <w:t>e, licen</w:t>
      </w:r>
      <w:r w:rsidR="00782341">
        <w:t>ț</w:t>
      </w:r>
      <w:r w:rsidRPr="005970D0">
        <w:t>ă profesională, protocoale de sănătate, conformitatea spa</w:t>
      </w:r>
      <w:r w:rsidR="00782341">
        <w:t>ț</w:t>
      </w:r>
      <w:r w:rsidRPr="005970D0">
        <w:t>iilor, taxe, asigurări, reglementarea pie</w:t>
      </w:r>
      <w:r w:rsidR="00782341">
        <w:t>ț</w:t>
      </w:r>
      <w:r w:rsidRPr="005970D0">
        <w:t>ei muncii etc.; în acest sens, subliniază că este esen</w:t>
      </w:r>
      <w:r w:rsidR="00782341">
        <w:t>ț</w:t>
      </w:r>
      <w:r w:rsidRPr="005970D0">
        <w:t>ial, în primul rând, să se evite concuren</w:t>
      </w:r>
      <w:r w:rsidR="00782341">
        <w:t>ț</w:t>
      </w:r>
      <w:r w:rsidRPr="005970D0">
        <w:t>a neloială în detrimentul activită</w:t>
      </w:r>
      <w:r w:rsidR="00782341">
        <w:t>ț</w:t>
      </w:r>
      <w:r w:rsidRPr="005970D0">
        <w:t>ilor tradi</w:t>
      </w:r>
      <w:r w:rsidR="00782341">
        <w:t>ț</w:t>
      </w:r>
      <w:r w:rsidRPr="005970D0">
        <w:t xml:space="preserve">ionale </w:t>
      </w:r>
      <w:r w:rsidR="00782341">
        <w:t>ș</w:t>
      </w:r>
      <w:r w:rsidRPr="005970D0">
        <w:t>i să asigure protec</w:t>
      </w:r>
      <w:r w:rsidR="00782341">
        <w:t>ț</w:t>
      </w:r>
      <w:r w:rsidRPr="005970D0">
        <w:t xml:space="preserve">ie socială egală lucrătorilor </w:t>
      </w:r>
      <w:r w:rsidR="00782341">
        <w:t>ș</w:t>
      </w:r>
      <w:r w:rsidRPr="005970D0">
        <w:t>i garan</w:t>
      </w:r>
      <w:r w:rsidR="00782341">
        <w:t>ț</w:t>
      </w:r>
      <w:r w:rsidRPr="005970D0">
        <w:t>ii egale de siguran</w:t>
      </w:r>
      <w:r w:rsidR="00782341">
        <w:t>ț</w:t>
      </w:r>
      <w:r w:rsidRPr="005970D0">
        <w:t>ă pentru clien</w:t>
      </w:r>
      <w:r w:rsidR="00782341">
        <w:t>ț</w:t>
      </w:r>
      <w:r w:rsidRPr="005970D0">
        <w:t>i;</w:t>
      </w:r>
    </w:p>
    <w:p w14:paraId="68BD2F47" w14:textId="32A7D0A9" w:rsidR="003B378B" w:rsidRPr="005970D0" w:rsidRDefault="003B378B" w:rsidP="003B378B">
      <w:pPr>
        <w:pStyle w:val="Normal12Hanging"/>
      </w:pPr>
      <w:r w:rsidRPr="005970D0">
        <w:t>13.</w:t>
      </w:r>
      <w:r w:rsidRPr="005970D0">
        <w:tab/>
        <w:t>subliniază necesitatea unei suveranită</w:t>
      </w:r>
      <w:r w:rsidR="00782341">
        <w:t>ț</w:t>
      </w:r>
      <w:r w:rsidRPr="005970D0">
        <w:t>i digitale reale la nivel na</w:t>
      </w:r>
      <w:r w:rsidR="00782341">
        <w:t>ț</w:t>
      </w:r>
      <w:r w:rsidRPr="005970D0">
        <w:t>ional prin introducerea unor politici de investi</w:t>
      </w:r>
      <w:r w:rsidR="00782341">
        <w:t>ț</w:t>
      </w:r>
      <w:r w:rsidRPr="005970D0">
        <w:t xml:space="preserve">ii strategice în industriile digitale </w:t>
      </w:r>
      <w:r w:rsidR="00782341">
        <w:t>ș</w:t>
      </w:r>
      <w:r w:rsidRPr="005970D0">
        <w:t>i prin garantarea protec</w:t>
      </w:r>
      <w:r w:rsidR="00782341">
        <w:t>ț</w:t>
      </w:r>
      <w:r w:rsidRPr="005970D0">
        <w:t>iei datelor, ambele sub unica responsabilitate a statelor membre;</w:t>
      </w:r>
    </w:p>
    <w:p w14:paraId="3CCBB7F8" w14:textId="62E7A9A4" w:rsidR="005909EC" w:rsidRPr="005970D0" w:rsidRDefault="003B378B" w:rsidP="003B378B">
      <w:pPr>
        <w:pStyle w:val="Normal12Hanging"/>
      </w:pPr>
      <w:r w:rsidRPr="005970D0">
        <w:t>14.</w:t>
      </w:r>
      <w:r w:rsidRPr="005970D0">
        <w:tab/>
        <w:t>încredin</w:t>
      </w:r>
      <w:r w:rsidR="00782341">
        <w:t>ț</w:t>
      </w:r>
      <w:r w:rsidRPr="005970D0">
        <w:t>ează Pre</w:t>
      </w:r>
      <w:r w:rsidR="00782341">
        <w:t>ș</w:t>
      </w:r>
      <w:r w:rsidRPr="005970D0">
        <w:t>edintelui sarcina de a transmite prezenta rezolu</w:t>
      </w:r>
      <w:r w:rsidR="00782341">
        <w:t>ț</w:t>
      </w:r>
      <w:r w:rsidRPr="005970D0">
        <w:t xml:space="preserve">ie Consiliului, Comisiei, precum </w:t>
      </w:r>
      <w:r w:rsidR="00782341">
        <w:t>ș</w:t>
      </w:r>
      <w:r w:rsidRPr="005970D0">
        <w:t xml:space="preserve">i guvernelor </w:t>
      </w:r>
      <w:r w:rsidR="00782341">
        <w:t>ș</w:t>
      </w:r>
      <w:r w:rsidRPr="005970D0">
        <w:t>i parlamentelor statelor membre.</w:t>
      </w:r>
    </w:p>
    <w:p w14:paraId="6E5D84A0" w14:textId="77777777" w:rsidR="005909EC" w:rsidRPr="005970D0" w:rsidRDefault="005909EC" w:rsidP="005909EC">
      <w:pPr>
        <w:pStyle w:val="Olang"/>
      </w:pPr>
      <w:r w:rsidRPr="005970D0">
        <w:t>Or. </w:t>
      </w:r>
      <w:r w:rsidRPr="005970D0">
        <w:rPr>
          <w:rStyle w:val="HideTWBExt"/>
          <w:noProof w:val="0"/>
        </w:rPr>
        <w:t>&lt;Original&gt;</w:t>
      </w:r>
      <w:r w:rsidR="003B378B" w:rsidRPr="005970D0">
        <w:rPr>
          <w:rStyle w:val="HideTWBInt"/>
        </w:rPr>
        <w:t>{EN}</w:t>
      </w:r>
      <w:r w:rsidR="003B378B" w:rsidRPr="005970D0">
        <w:t>en</w:t>
      </w:r>
      <w:r w:rsidRPr="005970D0">
        <w:rPr>
          <w:rStyle w:val="HideTWBExt"/>
          <w:noProof w:val="0"/>
        </w:rPr>
        <w:t>&lt;/Original&gt;</w:t>
      </w:r>
    </w:p>
    <w:p w14:paraId="14B5DEAC" w14:textId="77777777" w:rsidR="005909EC" w:rsidRPr="005970D0" w:rsidRDefault="005909EC" w:rsidP="005909EC">
      <w:r w:rsidRPr="005970D0">
        <w:rPr>
          <w:rStyle w:val="HideTWBExt"/>
          <w:noProof w:val="0"/>
        </w:rPr>
        <w:t>&lt;/Amend&gt;</w:t>
      </w:r>
    </w:p>
    <w:p w14:paraId="202C195E" w14:textId="77777777" w:rsidR="00744581" w:rsidRPr="005970D0" w:rsidRDefault="00744581" w:rsidP="005909EC"/>
    <w:sectPr w:rsidR="00744581" w:rsidRPr="00597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D68BC" w14:textId="77777777" w:rsidR="007D55AF" w:rsidRPr="008807EE" w:rsidRDefault="007D55AF">
      <w:r w:rsidRPr="008807EE">
        <w:separator/>
      </w:r>
    </w:p>
  </w:endnote>
  <w:endnote w:type="continuationSeparator" w:id="0">
    <w:p w14:paraId="17BA1A3C" w14:textId="77777777" w:rsidR="007D55AF" w:rsidRPr="008807EE" w:rsidRDefault="007D55AF">
      <w:r w:rsidRPr="008807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2340" w14:textId="77777777" w:rsidR="00782341" w:rsidRDefault="00782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FA981" w14:textId="77777777" w:rsidR="00782341" w:rsidRDefault="00782341" w:rsidP="00782341">
    <w:pPr>
      <w:pStyle w:val="Footer"/>
    </w:pPr>
    <w:r w:rsidRPr="00782341">
      <w:rPr>
        <w:rStyle w:val="HideTWBExt"/>
      </w:rPr>
      <w:t>&lt;PathFdR&gt;</w:t>
    </w:r>
    <w:r>
      <w:t>AM\1127600RO.docx</w:t>
    </w:r>
    <w:r w:rsidRPr="00782341">
      <w:rPr>
        <w:rStyle w:val="HideTWBExt"/>
      </w:rPr>
      <w:t>&lt;/PathFdR&gt;</w:t>
    </w:r>
    <w:r>
      <w:tab/>
    </w:r>
    <w:r>
      <w:tab/>
      <w:t>PE</w:t>
    </w:r>
    <w:r w:rsidRPr="00782341">
      <w:rPr>
        <w:rStyle w:val="HideTWBExt"/>
      </w:rPr>
      <w:t>&lt;NoPE&gt;</w:t>
    </w:r>
    <w:r>
      <w:t>605.503</w:t>
    </w:r>
    <w:r w:rsidRPr="00782341">
      <w:rPr>
        <w:rStyle w:val="HideTWBExt"/>
      </w:rPr>
      <w:t>&lt;/NoPE&gt;&lt;Version&gt;</w:t>
    </w:r>
    <w:r>
      <w:t>v01-00</w:t>
    </w:r>
    <w:r w:rsidRPr="00782341">
      <w:rPr>
        <w:rStyle w:val="HideTWBExt"/>
      </w:rPr>
      <w:t>&lt;/Version&gt;</w:t>
    </w:r>
  </w:p>
  <w:p w14:paraId="41E10EF9" w14:textId="3CC18B5A" w:rsidR="005909EC" w:rsidRPr="005970D0" w:rsidRDefault="00782341" w:rsidP="00782341">
    <w:pPr>
      <w:pStyle w:val="Footer2"/>
      <w:tabs>
        <w:tab w:val="center" w:pos="4535"/>
      </w:tabs>
    </w:pPr>
    <w:r>
      <w:t>RO</w:t>
    </w:r>
    <w:r>
      <w:tab/>
    </w:r>
    <w:r w:rsidRPr="00782341">
      <w:rPr>
        <w:b w:val="0"/>
        <w:i/>
        <w:color w:val="C0C0C0"/>
        <w:sz w:val="22"/>
      </w:rPr>
      <w:t>Unită în diversitate</w:t>
    </w:r>
    <w:r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C425" w14:textId="77777777" w:rsidR="00782341" w:rsidRDefault="00782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088B" w14:textId="77777777" w:rsidR="007D55AF" w:rsidRPr="008807EE" w:rsidRDefault="007D55AF">
      <w:r w:rsidRPr="008807EE">
        <w:separator/>
      </w:r>
    </w:p>
  </w:footnote>
  <w:footnote w:type="continuationSeparator" w:id="0">
    <w:p w14:paraId="273B52FD" w14:textId="77777777" w:rsidR="007D55AF" w:rsidRPr="008807EE" w:rsidRDefault="007D55AF">
      <w:r w:rsidRPr="008807E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4D34" w14:textId="77777777" w:rsidR="00782341" w:rsidRDefault="00782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2ACF3" w14:textId="77777777" w:rsidR="00782341" w:rsidRDefault="00782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B113" w14:textId="77777777" w:rsidR="00782341" w:rsidRDefault="00782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-1"/>
    <w:docVar w:name="DOCDT" w:val="07/06/2017"/>
    <w:docVar w:name="iNoAmend" w:val="7"/>
    <w:docVar w:name="LastEditedSection" w:val=" 1"/>
    <w:docVar w:name="NRAKEY" w:val="0195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718885 HideTWBExt;}}{\*\rsidtbl \rsid24658\rsid735077\rsid2718885\rsid2892074\rsid4666813\rsid6641733\rsid9636012\rsid11215221\rsid12154954\rsid12543836\rsid14424199\rsid15204470\rsid15285974_x000d__x000a_\rsid15950462\rsid16324206\rsid16662270}{\mmathPr\mmathFont34\mbrkBin0\mbrkBinSub0\msmallFrac0\mdispDef1\mlMargin0\mrMargin0\mdefJc1\mwrapIndent1440\mintLim0\mnaryLim1}{\info{\author DE WILDE Alice}{\operator DE WILDE Alice}_x000d__x000a_{\creatim\yr2017\mo6\dy7\hr15\min20}{\revtim\yr2017\mo6\dy7\hr15\min20}{\version1}{\edmins0}{\nofpages1}{\nofwords0}{\nofchars7}{\*\company European Parliament}{\nofcharsws7}{\vern57443}}{\*\xmlnstbl {\xmlns1 http://schemas.microsoft.com/office/word/2003/_x000d__x000a_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71888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4383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438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438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4383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2718885\charrsid8213935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c_x000d__x000a_97d690d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Alternative"/>
    <w:docVar w:name="strSubDir" w:val="1127"/>
    <w:docVar w:name="TVTMEMBERS1" w:val="Mylène Troszczynski, Mara Bizzotto, Dominique Martin, Angelo Ciocca, Joëlle Mélin"/>
    <w:docVar w:name="TXTLANGUE" w:val="EN"/>
    <w:docVar w:name="TXTLANGUEMIN" w:val="en"/>
    <w:docVar w:name="TXTNRPE" w:val="605.503"/>
    <w:docVar w:name="TXTPEorAP" w:val="PE"/>
    <w:docVar w:name="TXTROUTE" w:val="AM\1127600EN.docx"/>
    <w:docVar w:name="TXTVERSION" w:val="01-00"/>
  </w:docVars>
  <w:rsids>
    <w:rsidRoot w:val="007D55AF"/>
    <w:rsid w:val="000A574D"/>
    <w:rsid w:val="00166767"/>
    <w:rsid w:val="001B6C00"/>
    <w:rsid w:val="00206FC8"/>
    <w:rsid w:val="0035429D"/>
    <w:rsid w:val="00354CCD"/>
    <w:rsid w:val="0037612D"/>
    <w:rsid w:val="0039383D"/>
    <w:rsid w:val="00394F63"/>
    <w:rsid w:val="003B378B"/>
    <w:rsid w:val="00487692"/>
    <w:rsid w:val="005909EC"/>
    <w:rsid w:val="005970D0"/>
    <w:rsid w:val="006F7ACD"/>
    <w:rsid w:val="00744581"/>
    <w:rsid w:val="00782341"/>
    <w:rsid w:val="007D55AF"/>
    <w:rsid w:val="008077F3"/>
    <w:rsid w:val="00874091"/>
    <w:rsid w:val="00874F51"/>
    <w:rsid w:val="008807EE"/>
    <w:rsid w:val="008F3D36"/>
    <w:rsid w:val="00B678EC"/>
    <w:rsid w:val="00BC02AC"/>
    <w:rsid w:val="00CD728B"/>
    <w:rsid w:val="00D5608B"/>
    <w:rsid w:val="00D85985"/>
    <w:rsid w:val="00DE1C38"/>
    <w:rsid w:val="00DE6754"/>
    <w:rsid w:val="00E1396C"/>
    <w:rsid w:val="00E356D6"/>
    <w:rsid w:val="00E71740"/>
    <w:rsid w:val="00E7191F"/>
    <w:rsid w:val="00F12BE8"/>
    <w:rsid w:val="00F33547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174C"/>
  <w15:chartTrackingRefBased/>
  <w15:docId w15:val="{75C27DD2-CE97-4D11-AE2A-711EF3E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1B6C00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E1396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1B6C00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character" w:customStyle="1" w:styleId="NormalBoldChar">
    <w:name w:val="NormalBold Char"/>
    <w:link w:val="NormalBold"/>
    <w:rsid w:val="005909EC"/>
    <w:rPr>
      <w:b/>
      <w:sz w:val="24"/>
      <w:lang w:val="ro-RO" w:eastAsia="en-GB" w:bidi="ar-SA"/>
    </w:rPr>
  </w:style>
  <w:style w:type="paragraph" w:customStyle="1" w:styleId="AMNumberTabs">
    <w:name w:val="AMNumberTabs"/>
    <w:basedOn w:val="Normal"/>
    <w:rsid w:val="005909EC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styleId="CommentReference">
    <w:name w:val="annotation reference"/>
    <w:basedOn w:val="DefaultParagraphFont"/>
    <w:rsid w:val="003761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1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612D"/>
  </w:style>
  <w:style w:type="paragraph" w:styleId="CommentSubject">
    <w:name w:val="annotation subject"/>
    <w:basedOn w:val="CommentText"/>
    <w:next w:val="CommentText"/>
    <w:link w:val="CommentSubjectChar"/>
    <w:rsid w:val="0037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12D"/>
    <w:rPr>
      <w:b/>
      <w:bCs/>
    </w:rPr>
  </w:style>
  <w:style w:type="paragraph" w:styleId="BalloonText">
    <w:name w:val="Balloon Text"/>
    <w:basedOn w:val="Normal"/>
    <w:link w:val="BalloonTextChar"/>
    <w:rsid w:val="00376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8A1E86AF.dotm</Template>
  <TotalTime>1</TotalTime>
  <Pages>3</Pages>
  <Words>1255</Words>
  <Characters>7710</Characters>
  <Application>Microsoft Office Word</Application>
  <DocSecurity>0</DocSecurity>
  <Lines>122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AM_Ple_NonLegAlternative</vt:lpstr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AM_Ple_NonLegAlternative</dc:title>
  <dc:subject/>
  <dc:creator>DE WILDE Alice</dc:creator>
  <cp:keywords/>
  <dc:description/>
  <cp:lastModifiedBy>SAVA Maricica</cp:lastModifiedBy>
  <cp:revision>2</cp:revision>
  <cp:lastPrinted>2004-11-28T13:16:00Z</cp:lastPrinted>
  <dcterms:created xsi:type="dcterms:W3CDTF">2017-06-09T14:49:00Z</dcterms:created>
  <dcterms:modified xsi:type="dcterms:W3CDTF">2017-06-09T14:49:00Z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[20170325]</vt:lpwstr>
  </property>
  <property fmtid="{D5CDD505-2E9C-101B-9397-08002B2CF9AE}" pid="3" name="LastEdited with">
    <vt:lpwstr>9.0.0 Build [20170325]</vt:lpwstr>
  </property>
  <property fmtid="{D5CDD505-2E9C-101B-9397-08002B2CF9AE}" pid="4" name="&lt;FdR&gt;">
    <vt:lpwstr>1127600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\\eiciLUXpr1\pdocep$\DocEP\DOCS\General\AM\AM_NonLeg\AM_Ple_NonLeg\AM_Ple_NonLegAlternative.dot(17/02/2016 11:46:13)</vt:lpwstr>
  </property>
  <property fmtid="{D5CDD505-2E9C-101B-9397-08002B2CF9AE}" pid="7" name="&lt;ModelTra&gt;">
    <vt:lpwstr>\\eiciLUXpr1\pdocep$\DocEP\TRANSFIL\EN\AM_Ple_NonLegAlternative.EN(26/05/2015 07:20:32)</vt:lpwstr>
  </property>
  <property fmtid="{D5CDD505-2E9C-101B-9397-08002B2CF9AE}" pid="8" name="&lt;Model&gt;">
    <vt:lpwstr>AM_Ple_NonLegAlternative</vt:lpwstr>
  </property>
  <property fmtid="{D5CDD505-2E9C-101B-9397-08002B2CF9AE}" pid="9" name="FooterPath">
    <vt:lpwstr>AM\1127600RO.docx</vt:lpwstr>
  </property>
  <property fmtid="{D5CDD505-2E9C-101B-9397-08002B2CF9AE}" pid="10" name="PE Number">
    <vt:lpwstr>605.503</vt:lpwstr>
  </property>
  <property fmtid="{D5CDD505-2E9C-101B-9397-08002B2CF9AE}" pid="11" name="Bookout">
    <vt:lpwstr>OK - 2017/06/09 16:49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