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EC" w:rsidRPr="000872B4" w:rsidRDefault="005909EC" w:rsidP="005909EC">
      <w:pPr>
        <w:pStyle w:val="ZDateAM"/>
      </w:pPr>
      <w:bookmarkStart w:id="0" w:name="_GoBack"/>
      <w:bookmarkEnd w:id="0"/>
      <w:r>
        <w:rPr>
          <w:rStyle w:val="HideTWBExt"/>
          <w:noProof w:val="0"/>
        </w:rPr>
        <w:t>&lt;Amend&gt;&lt;Date&gt;</w:t>
      </w:r>
      <w:r w:rsidRPr="003C4B9B">
        <w:rPr>
          <w:rStyle w:val="HideTWBInt"/>
          <w:color w:val="auto"/>
        </w:rPr>
        <w:t>{28/06/2017}</w:t>
      </w:r>
      <w:r w:rsidRPr="003C4B9B">
        <w:t>28.6.2017</w:t>
      </w:r>
      <w:r>
        <w:rPr>
          <w:rStyle w:val="HideTWBExt"/>
          <w:noProof w:val="0"/>
        </w:rPr>
        <w:t>&lt;/Date&gt;</w:t>
      </w:r>
      <w:r w:rsidRPr="003C4B9B">
        <w:tab/>
      </w:r>
      <w:r>
        <w:rPr>
          <w:rStyle w:val="HideTWBExt"/>
          <w:noProof w:val="0"/>
        </w:rPr>
        <w:t>&lt;ANo&gt;</w:t>
      </w:r>
      <w:r w:rsidRPr="003C4B9B">
        <w:t>A8-0224</w:t>
      </w:r>
      <w:r>
        <w:rPr>
          <w:rStyle w:val="HideTWBExt"/>
          <w:noProof w:val="0"/>
        </w:rPr>
        <w:t>&lt;/ANo&gt;</w:t>
      </w:r>
      <w:r w:rsidRPr="003C4B9B">
        <w:t>/</w:t>
      </w:r>
      <w:r>
        <w:rPr>
          <w:rStyle w:val="HideTWBExt"/>
          <w:noProof w:val="0"/>
        </w:rPr>
        <w:t>&lt;NumAm&gt;</w:t>
      </w:r>
      <w:r w:rsidRPr="003C4B9B">
        <w:t>2</w:t>
      </w:r>
      <w:r>
        <w:rPr>
          <w:rStyle w:val="HideTWBExt"/>
          <w:noProof w:val="0"/>
        </w:rPr>
        <w:t>&lt;/NumAm&gt;</w:t>
      </w:r>
    </w:p>
    <w:p w:rsidR="005909EC" w:rsidRPr="000872B4" w:rsidRDefault="000872B4" w:rsidP="005909EC">
      <w:pPr>
        <w:pStyle w:val="AMNumberTabs"/>
      </w:pPr>
      <w:r w:rsidRPr="003C4B9B">
        <w:t>Predlog spremembe</w:t>
      </w:r>
      <w:r w:rsidRPr="003C4B9B">
        <w:tab/>
      </w:r>
      <w:r w:rsidRPr="003C4B9B">
        <w:tab/>
      </w:r>
      <w:r>
        <w:rPr>
          <w:rStyle w:val="HideTWBExt"/>
          <w:b w:val="0"/>
          <w:noProof w:val="0"/>
        </w:rPr>
        <w:t>&lt;NumAm&gt;</w:t>
      </w:r>
      <w:r w:rsidRPr="003C4B9B">
        <w:t>2</w:t>
      </w:r>
      <w:r>
        <w:rPr>
          <w:rStyle w:val="HideTWBExt"/>
          <w:b w:val="0"/>
          <w:noProof w:val="0"/>
        </w:rPr>
        <w:t>&lt;/NumAm&gt;</w:t>
      </w:r>
    </w:p>
    <w:p w:rsidR="005909EC" w:rsidRPr="000872B4" w:rsidRDefault="005909EC" w:rsidP="005909EC">
      <w:pPr>
        <w:pStyle w:val="NormalBold"/>
      </w:pPr>
      <w:r>
        <w:rPr>
          <w:rStyle w:val="HideTWBExt"/>
          <w:b w:val="0"/>
          <w:noProof w:val="0"/>
        </w:rPr>
        <w:t>&lt;RepeatBlock-By&gt;&lt;Members&gt;</w:t>
      </w:r>
      <w:r w:rsidRPr="003C4B9B">
        <w:t>Dominique Martin, Mara Bizzotto, Joëlle Mélin</w:t>
      </w:r>
      <w:r>
        <w:rPr>
          <w:rStyle w:val="HideTWBExt"/>
          <w:b w:val="0"/>
          <w:noProof w:val="0"/>
        </w:rPr>
        <w:t>&lt;/Members&gt;</w:t>
      </w:r>
    </w:p>
    <w:p w:rsidR="005909EC" w:rsidRPr="000872B4" w:rsidRDefault="005909EC" w:rsidP="005909EC">
      <w:r>
        <w:rPr>
          <w:rStyle w:val="HideTWBExt"/>
          <w:noProof w:val="0"/>
        </w:rPr>
        <w:t>&lt;AuNomDe&gt;</w:t>
      </w:r>
      <w:r w:rsidRPr="003C4B9B">
        <w:rPr>
          <w:rStyle w:val="HideTWBInt"/>
          <w:color w:val="auto"/>
        </w:rPr>
        <w:t>{ENL}</w:t>
      </w:r>
      <w:r w:rsidRPr="003C4B9B">
        <w:t>v imenu skupine ENL</w:t>
      </w:r>
      <w:r>
        <w:rPr>
          <w:rStyle w:val="HideTWBExt"/>
          <w:noProof w:val="0"/>
        </w:rPr>
        <w:t>&lt;/AuNomDe&gt;</w:t>
      </w:r>
    </w:p>
    <w:p w:rsidR="005909EC" w:rsidRPr="000872B4" w:rsidRDefault="005909EC" w:rsidP="005909EC">
      <w:r>
        <w:rPr>
          <w:rStyle w:val="HideTWBExt"/>
          <w:noProof w:val="0"/>
        </w:rPr>
        <w:t>&lt;/RepeatBlock-By&gt;</w:t>
      </w:r>
    </w:p>
    <w:p w:rsidR="005909EC" w:rsidRPr="003C4B9B" w:rsidRDefault="005909EC" w:rsidP="005909EC">
      <w:pPr>
        <w:pStyle w:val="ProjRap"/>
      </w:pPr>
      <w:r>
        <w:rPr>
          <w:rStyle w:val="HideTWBExt"/>
          <w:b w:val="0"/>
          <w:noProof w:val="0"/>
        </w:rPr>
        <w:t>&lt;TitreType&gt;</w:t>
      </w:r>
      <w:r w:rsidRPr="003C4B9B">
        <w:t>Poročilo</w:t>
      </w:r>
      <w:r>
        <w:rPr>
          <w:rStyle w:val="HideTWBExt"/>
          <w:b w:val="0"/>
          <w:noProof w:val="0"/>
        </w:rPr>
        <w:t>&lt;/TitreType&gt;</w:t>
      </w:r>
      <w:r w:rsidRPr="003C4B9B">
        <w:tab/>
        <w:t>A8-0224/2017</w:t>
      </w:r>
    </w:p>
    <w:p w:rsidR="005909EC" w:rsidRPr="000872B4" w:rsidRDefault="00214448" w:rsidP="005909EC">
      <w:pPr>
        <w:pStyle w:val="NormalBold"/>
      </w:pPr>
      <w:r>
        <w:t>Neoklis Silikiotis (</w:t>
      </w:r>
      <w:r>
        <w:rPr>
          <w:rStyle w:val="HideTWBExt"/>
          <w:b w:val="0"/>
          <w:noProof w:val="0"/>
        </w:rPr>
        <w:t>&lt;Rapporteur&gt;</w:t>
      </w:r>
      <w:r>
        <w:t>Neoklis Sylikiotis</w:t>
      </w:r>
      <w:r>
        <w:rPr>
          <w:rStyle w:val="HideTWBExt"/>
          <w:b w:val="0"/>
          <w:noProof w:val="0"/>
        </w:rPr>
        <w:t>&lt;/Rapporteur&gt;</w:t>
      </w:r>
      <w:r>
        <w:t>)</w:t>
      </w:r>
    </w:p>
    <w:p w:rsidR="005909EC" w:rsidRPr="000872B4" w:rsidRDefault="005909EC" w:rsidP="005909EC">
      <w:r>
        <w:rPr>
          <w:rStyle w:val="HideTWBExt"/>
          <w:noProof w:val="0"/>
        </w:rPr>
        <w:t>&lt;Titre&gt;</w:t>
      </w:r>
      <w:r>
        <w:t>Delovni pogoji in prekarna zaposlitev</w:t>
      </w:r>
      <w:r>
        <w:rPr>
          <w:rStyle w:val="HideTWBExt"/>
          <w:noProof w:val="0"/>
        </w:rPr>
        <w:t>&lt;/Titre&gt;</w:t>
      </w:r>
    </w:p>
    <w:p w:rsidR="005909EC" w:rsidRPr="000872B4" w:rsidRDefault="005909EC" w:rsidP="005909EC">
      <w:pPr>
        <w:pStyle w:val="Normal12"/>
      </w:pPr>
      <w:r>
        <w:rPr>
          <w:rStyle w:val="HideTWBExt"/>
          <w:noProof w:val="0"/>
        </w:rPr>
        <w:t>&lt;DocRef&gt;</w:t>
      </w:r>
      <w:r w:rsidRPr="003C4B9B">
        <w:t>2016/2221(INI)</w:t>
      </w:r>
      <w:r>
        <w:rPr>
          <w:rStyle w:val="HideTWBExt"/>
          <w:noProof w:val="0"/>
        </w:rPr>
        <w:t>&lt;/DocRef&gt;</w:t>
      </w:r>
    </w:p>
    <w:p w:rsidR="005909EC" w:rsidRPr="000872B4" w:rsidRDefault="005909EC" w:rsidP="005909EC">
      <w:pPr>
        <w:pStyle w:val="Normal12Bold"/>
      </w:pPr>
      <w:r>
        <w:rPr>
          <w:rStyle w:val="HideTWBExt"/>
          <w:b w:val="0"/>
          <w:noProof w:val="0"/>
        </w:rPr>
        <w:t>&lt;DocAmend&gt;</w:t>
      </w:r>
      <w:r w:rsidRPr="003C4B9B">
        <w:t>Predlog resolucije po členu 170(3) Poslovnika, ki nadomesti nezakonodajni predlog resolucije A8-0224/2017</w:t>
      </w:r>
      <w:r>
        <w:rPr>
          <w:rStyle w:val="HideTWBExt"/>
          <w:b w:val="0"/>
          <w:noProof w:val="0"/>
        </w:rPr>
        <w:t>&lt;/DocAmend&gt;</w:t>
      </w:r>
    </w:p>
    <w:p w:rsidR="005909EC" w:rsidRPr="000872B4" w:rsidRDefault="00BC02AC" w:rsidP="005909EC">
      <w:pPr>
        <w:pStyle w:val="Normal12a12bBold"/>
      </w:pPr>
      <w:r>
        <w:rPr>
          <w:rStyle w:val="HideTWBExt"/>
          <w:b w:val="0"/>
          <w:noProof w:val="0"/>
        </w:rPr>
        <w:t>&lt;Article&gt;</w:t>
      </w:r>
      <w:r w:rsidRPr="003C4B9B">
        <w:t>Resolucija Evropskega parlamenta o delovnih pogojih in prekarni zaposlitvi</w:t>
      </w:r>
      <w:r>
        <w:rPr>
          <w:rStyle w:val="HideTWBExt"/>
          <w:b w:val="0"/>
          <w:noProof w:val="0"/>
        </w:rPr>
        <w:t>&lt;/Article&gt;</w:t>
      </w:r>
    </w:p>
    <w:p w:rsidR="005909EC" w:rsidRPr="000872B4" w:rsidRDefault="000872B4" w:rsidP="005909EC">
      <w:pPr>
        <w:pStyle w:val="Normal12"/>
      </w:pPr>
      <w:r>
        <w:rPr>
          <w:i/>
        </w:rPr>
        <w:t>Evropski parlament</w:t>
      </w:r>
      <w:r>
        <w:t>,</w:t>
      </w:r>
    </w:p>
    <w:p w:rsidR="00214448" w:rsidRPr="0002056B" w:rsidRDefault="00214448" w:rsidP="00214448">
      <w:pPr>
        <w:pStyle w:val="Normal12Hanging"/>
      </w:pPr>
      <w:r>
        <w:t>–</w:t>
      </w:r>
      <w:r>
        <w:tab/>
        <w:t>ob upoštevanju člena 52 Poslovnika,</w:t>
      </w:r>
    </w:p>
    <w:p w:rsidR="00214448" w:rsidRDefault="00214448" w:rsidP="00214448">
      <w:pPr>
        <w:pStyle w:val="Normal12Hanging"/>
      </w:pPr>
      <w:r>
        <w:t>A.</w:t>
      </w:r>
      <w:r>
        <w:tab/>
        <w:t>ker se obseg nestandardnih oblik zaposlitve na trgu v zadnjih desetih letih vse bolj povečuje, obseg standardnih oblik pogodb pa zmanjšal z 62 % na 59 %;</w:t>
      </w:r>
    </w:p>
    <w:p w:rsidR="00214448" w:rsidRDefault="00214448" w:rsidP="00214448">
      <w:pPr>
        <w:pStyle w:val="Normal12Hanging"/>
      </w:pPr>
      <w:r>
        <w:t>B.</w:t>
      </w:r>
      <w:r>
        <w:tab/>
        <w:t xml:space="preserve">ker je bilo aprila 2017 v EU-28 19,121 milijona brezposelnih moških in žensk, od tega 15,04 milijona v evroobmočju; </w:t>
      </w:r>
    </w:p>
    <w:p w:rsidR="00214448" w:rsidRDefault="00214448" w:rsidP="00214448">
      <w:pPr>
        <w:pStyle w:val="Normal12Hanging"/>
      </w:pPr>
      <w:r>
        <w:t>C.</w:t>
      </w:r>
      <w:r>
        <w:tab/>
        <w:t>ker je bilo aprila 2017 med mladimi (mlajšimi od 25 let) v EU-28 3,746 milijona brezposelnih, od tega 2,617 milijona v evroobmočju;</w:t>
      </w:r>
    </w:p>
    <w:p w:rsidR="00214448" w:rsidRDefault="00214448" w:rsidP="00214448">
      <w:pPr>
        <w:pStyle w:val="Normal12Hanging"/>
      </w:pPr>
      <w:r>
        <w:t>D.</w:t>
      </w:r>
      <w:r>
        <w:tab/>
        <w:t>ker v EU-28 trenutno živi v revščini 122 milijona ljudi, kar je 24,4 % prebivalstva, medtem ko jih je bilo leta 2008 23,8 %; ker si 9,5 % evropskih državljanov, kar je skoraj vsak deseti, ne more vsaj vsak drugi dan privoščiti z beljakovinami bogatega obroka;</w:t>
      </w:r>
    </w:p>
    <w:p w:rsidR="00214448" w:rsidRDefault="00214448" w:rsidP="00214448">
      <w:pPr>
        <w:pStyle w:val="Normal12Hanging"/>
      </w:pPr>
      <w:r>
        <w:t>E.</w:t>
      </w:r>
      <w:r>
        <w:tab/>
        <w:t xml:space="preserve">ker so se v zadnjih 15 letih razširile prekarne pogodbe o zaposlitvi, kot so tiste brez zagotovljene minimalne delovne obveznosti, neplačano delo in neprostovoljno delo s krajšim delovnim časom; </w:t>
      </w:r>
    </w:p>
    <w:p w:rsidR="00214448" w:rsidRDefault="00214448" w:rsidP="00214448">
      <w:pPr>
        <w:pStyle w:val="Normal12Hanging"/>
      </w:pPr>
      <w:r>
        <w:t>F.</w:t>
      </w:r>
      <w:r>
        <w:tab/>
        <w:t>ker se zaradi teh novih oblik prekarne zaposlitve povečuje tveganje revščine in neenakosti predvsem med mladimi, imajo pa tudi dolgotrajne posledice za pokojninske pravice in socialno varnost;</w:t>
      </w:r>
    </w:p>
    <w:p w:rsidR="00214448" w:rsidRDefault="00214448" w:rsidP="00214448">
      <w:pPr>
        <w:pStyle w:val="Normal12Hanging"/>
      </w:pPr>
      <w:r>
        <w:t>G.</w:t>
      </w:r>
      <w:r>
        <w:tab/>
        <w:t>ker so podpiranje javnih naložb in zahteve po njih temeljnega pomena za spodbujanje realnega sektorja ter zagotavljanje kakovostnih javnih in socialnih storitev za državljane, zlasti na področju izobraževanja, pokojnin in zdravja;</w:t>
      </w:r>
    </w:p>
    <w:p w:rsidR="00214448" w:rsidRDefault="00214448" w:rsidP="00214448">
      <w:pPr>
        <w:pStyle w:val="Normal12Hanging"/>
      </w:pPr>
      <w:r>
        <w:t>H.</w:t>
      </w:r>
      <w:r>
        <w:tab/>
        <w:t xml:space="preserve">ker so strukturna, ekonomska in trgovinska politika Evropske unije ter spodbujanje neoliberalnega načela prožnosti v mnogih državah povzročili močan upad domačega povpraševanja, dvig ravni brezposelnosti in eksplozijo socialnih in ekonomskih razlik, </w:t>
      </w:r>
      <w:r>
        <w:lastRenderedPageBreak/>
        <w:t xml:space="preserve">ki spodkopavajo pravice in varstvo delavcev; </w:t>
      </w:r>
    </w:p>
    <w:p w:rsidR="00214448" w:rsidRDefault="00214448" w:rsidP="00214448">
      <w:pPr>
        <w:pStyle w:val="Normal12Hanging"/>
      </w:pPr>
      <w:r>
        <w:t>I.</w:t>
      </w:r>
      <w:r>
        <w:tab/>
        <w:t>ker so varčevalni ukrepi EU od leta 2008 med glavnimi vzroki za neenakost, nalaganje regresivnih davkov delavcem namesto tistim, ki ustvarjajo dobiček, reze socialnih prejemkov, zniževanje plač in poslabšanje delovnih pogojev, zaradi česar nosijo breme krize najšibkejši člani naše družbe;</w:t>
      </w:r>
    </w:p>
    <w:p w:rsidR="00214448" w:rsidRDefault="00214448" w:rsidP="00214448">
      <w:pPr>
        <w:pStyle w:val="Normal12Hanging"/>
      </w:pPr>
      <w:r>
        <w:t>J.</w:t>
      </w:r>
      <w:r>
        <w:tab/>
        <w:t>ker je Grčija najboljši primer, kako se stanje zaradi ekonomskih politik EU poslabšuje, namesto da bi se izboljšalo, saj je BDP upadel s 354,461 milijarde dolarjev v letu 2008 na 194,851 milijarde dolarjev v letu 2015, evropska pomoč pa se je začela leta 2010;</w:t>
      </w:r>
    </w:p>
    <w:p w:rsidR="00214448" w:rsidRDefault="00214448" w:rsidP="00214448">
      <w:pPr>
        <w:pStyle w:val="Normal12Hanging"/>
      </w:pPr>
      <w:r>
        <w:t>K.</w:t>
      </w:r>
      <w:r>
        <w:tab/>
        <w:t>ker je enotna valuta, ki preprečuje običajno prilagajanje konkurence med državami in državam članicam onemogoča uporabo glavnih orodij gospodarske politike, s katerimi bi lahko ublažile asimetrične pretrese, glavni krivec za porast neenakosti in prekarnosti v EU ter povečevanje makroekonomskih neravnotežij in razlik med osrednjimi in obrobnimi državami;</w:t>
      </w:r>
    </w:p>
    <w:p w:rsidR="00214448" w:rsidRDefault="00214448" w:rsidP="00214448">
      <w:pPr>
        <w:pStyle w:val="Normal12Hanging"/>
      </w:pPr>
      <w:r>
        <w:t>L.</w:t>
      </w:r>
      <w:r>
        <w:tab/>
        <w:t>ker se je pojavila nova vrsta prekarnosti v obliki revnega zaposlenega, ki kljub službi ne more dostojno živeti;</w:t>
      </w:r>
    </w:p>
    <w:p w:rsidR="00214448" w:rsidRDefault="00214448" w:rsidP="00214448">
      <w:pPr>
        <w:pStyle w:val="Normal12Hanging"/>
      </w:pPr>
      <w:r>
        <w:t>1.</w:t>
      </w:r>
      <w:r>
        <w:tab/>
        <w:t>poudarja, da je Komisija s svojimi  propagandnimi strategijami, kot je Evropa 2020, popolnoma odpovedala pri reševanju krize brezposelnosti;</w:t>
      </w:r>
    </w:p>
    <w:p w:rsidR="00214448" w:rsidRDefault="00214448" w:rsidP="00214448">
      <w:pPr>
        <w:pStyle w:val="Normal12Hanging"/>
      </w:pPr>
      <w:r>
        <w:t>2.</w:t>
      </w:r>
      <w:r>
        <w:tab/>
        <w:t>poudarja, da EU povrhu krize brezposelnosti in finančne krize, ki je prizadela evropske državljane, v nasprotju z vso logiko še naprej brani svojo politiko odprtih vrat in podžiga pobude, katerih namen je uvoziti milijone delavcev za izkoriščanje na evropskem trgu dela;</w:t>
      </w:r>
    </w:p>
    <w:p w:rsidR="00214448" w:rsidRDefault="00214448" w:rsidP="00214448">
      <w:pPr>
        <w:pStyle w:val="Normal12Hanging"/>
      </w:pPr>
      <w:r>
        <w:t>3.</w:t>
      </w:r>
      <w:r>
        <w:tab/>
        <w:t>meni, da so Komisija in njene (strukturne) politike glavni vzrok za upad neto razpoložljivega dohodka povprečnega državljana v EU, zaradi česar se širi revščina in razpadajo nacionalni pokojninski sistemi;</w:t>
      </w:r>
    </w:p>
    <w:p w:rsidR="00214448" w:rsidRDefault="00214448" w:rsidP="00214448">
      <w:pPr>
        <w:pStyle w:val="Normal12Hanging"/>
      </w:pPr>
      <w:r>
        <w:t>4.</w:t>
      </w:r>
      <w:r>
        <w:tab/>
        <w:t>poziva k popolnemu spoštovanju nacionalne ekonomske suverenosti ter začasni prekinitvi pogodbe o stabilnosti, usklajevanju in upravljanju, ki je glavna ovira za javne naložbe; poudarja, da morajo države članice za ustvarjanje dostojnih delovnih mest izvajati s primanjkljajem financirane javne naložbe, ki so usmerjene v njihove posebne potrebe na ravni države in spodbujajo posamezne gospodarske sektorje; opozarja, da lahko samo države članice s svojimi domačimi politikami spodbujajo povpraševanje in tako mladim pomagajo poiskati kakovostna delovna mesta;</w:t>
      </w:r>
    </w:p>
    <w:p w:rsidR="00214448" w:rsidRDefault="00214448" w:rsidP="00214448">
      <w:pPr>
        <w:pStyle w:val="Normal12Hanging"/>
      </w:pPr>
      <w:r>
        <w:t>5.</w:t>
      </w:r>
      <w:r>
        <w:tab/>
        <w:t>obsoja nesimetrični in izkrivljajoči učinek, ki ga ima enotna valuta po euroobmočju, in poziva k takojšnji uvedbi postopka za izstop za vse države, ki želijo ekonomsko in monetarno unijo zapustiti;</w:t>
      </w:r>
    </w:p>
    <w:p w:rsidR="00214448" w:rsidRDefault="00214448" w:rsidP="00214448">
      <w:pPr>
        <w:pStyle w:val="Normal12Hanging"/>
      </w:pPr>
      <w:r>
        <w:t>6.</w:t>
      </w:r>
      <w:r>
        <w:tab/>
        <w:t>poudarja, da so prav priporočila Komisije za posamezne države, v katerih poziva k varčevanju, vzrok za porast neenakosti in revščine;</w:t>
      </w:r>
    </w:p>
    <w:p w:rsidR="00214448" w:rsidRDefault="00214448" w:rsidP="00214448">
      <w:pPr>
        <w:pStyle w:val="Normal12Hanging"/>
      </w:pPr>
      <w:r>
        <w:t>7.</w:t>
      </w:r>
      <w:r>
        <w:tab/>
        <w:t xml:space="preserve">priznava, da je prilagodljivost do neke mere dobrodošla, če ustreza tako delodajalcu kot delavci ter se obe strani pravilno sporazumeta zanjo; </w:t>
      </w:r>
    </w:p>
    <w:p w:rsidR="00214448" w:rsidRDefault="00214448" w:rsidP="00214448">
      <w:pPr>
        <w:pStyle w:val="Normal12Hanging"/>
      </w:pPr>
      <w:r>
        <w:lastRenderedPageBreak/>
        <w:t>8.</w:t>
      </w:r>
      <w:r>
        <w:tab/>
        <w:t>poziva Komisijo, naj zaustavi svoje neuravnovešene politike za vso EU, državam članicam pa dovoli, da izvajajo ukrepe na nacionalni ravni, s katerimi bodo ustrezno reševale težave in skrbi svojih državljanov;</w:t>
      </w:r>
    </w:p>
    <w:p w:rsidR="00214448" w:rsidRDefault="00214448" w:rsidP="00214448">
      <w:pPr>
        <w:pStyle w:val="Normal12Hanging"/>
      </w:pPr>
      <w:r>
        <w:t>9.</w:t>
      </w:r>
      <w:r>
        <w:tab/>
        <w:t>opozarja, da so mladi ključni za našo prihodnost, vendar so trenutno žrtve politik EU; zato opozarja, da morajo imeti države članice možnost izvajati politike, ki so potrebne za ustvarjanje delovnih mest za mlade;</w:t>
      </w:r>
    </w:p>
    <w:p w:rsidR="00214448" w:rsidRDefault="00214448" w:rsidP="00214448">
      <w:pPr>
        <w:pStyle w:val="Normal12Hanging"/>
      </w:pPr>
      <w:r>
        <w:t>10.</w:t>
      </w:r>
      <w:r>
        <w:tab/>
        <w:t>opozarja, da lahko samo države članice odločajo o ukrepih, ki so potrebni za preprečitev pojava revnih zaposlenih, in da morajo imeti možnost odločati o tem, katere politike je treba izvajati za boj proti temu trendu na nacionalni ravni;</w:t>
      </w:r>
    </w:p>
    <w:p w:rsidR="00214448" w:rsidRDefault="00214448" w:rsidP="00214448">
      <w:pPr>
        <w:pStyle w:val="Normal12Hanging"/>
      </w:pPr>
      <w:r>
        <w:t>11.</w:t>
      </w:r>
      <w:r>
        <w:tab/>
        <w:t>naroči svojemu predsedniku, naj to resolucijo posreduje Svetu in Komisiji ter vladam in parlamentom držav članic.</w:t>
      </w:r>
    </w:p>
    <w:p w:rsidR="005909EC" w:rsidRPr="000872B4" w:rsidRDefault="005909EC" w:rsidP="005909EC">
      <w:pPr>
        <w:pStyle w:val="Olang"/>
      </w:pPr>
      <w:r w:rsidRPr="000872B4">
        <w:t>Or. </w:t>
      </w:r>
      <w:r w:rsidRPr="000872B4">
        <w:rPr>
          <w:rStyle w:val="HideTWBExt"/>
          <w:noProof w:val="0"/>
        </w:rPr>
        <w:t>&lt;Original&gt;</w:t>
      </w:r>
      <w:r w:rsidR="00214448" w:rsidRPr="00214448">
        <w:rPr>
          <w:rStyle w:val="HideTWBInt"/>
        </w:rPr>
        <w:t>{EN}</w:t>
      </w:r>
      <w:r w:rsidR="00214448">
        <w:t>en</w:t>
      </w:r>
      <w:r w:rsidRPr="000872B4">
        <w:rPr>
          <w:rStyle w:val="HideTWBExt"/>
          <w:noProof w:val="0"/>
        </w:rPr>
        <w:t>&lt;/Original&gt;</w:t>
      </w:r>
    </w:p>
    <w:p w:rsidR="005909EC" w:rsidRPr="000872B4" w:rsidRDefault="005909EC" w:rsidP="005909EC">
      <w:r>
        <w:rPr>
          <w:rStyle w:val="HideTWBExt"/>
          <w:noProof w:val="0"/>
        </w:rPr>
        <w:t>&lt;/Amend&gt;</w:t>
      </w:r>
    </w:p>
    <w:p w:rsidR="00744581" w:rsidRPr="000872B4" w:rsidRDefault="00744581" w:rsidP="005909EC"/>
    <w:sectPr w:rsidR="00744581" w:rsidRPr="000872B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B4" w:rsidRPr="000872B4" w:rsidRDefault="000872B4">
      <w:r w:rsidRPr="000872B4">
        <w:separator/>
      </w:r>
    </w:p>
  </w:endnote>
  <w:endnote w:type="continuationSeparator" w:id="0">
    <w:p w:rsidR="000872B4" w:rsidRPr="000872B4" w:rsidRDefault="000872B4">
      <w:r w:rsidRPr="000872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D8" w:rsidRDefault="00FD0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EC" w:rsidRPr="000872B4" w:rsidRDefault="005909EC">
    <w:pPr>
      <w:pStyle w:val="Footer"/>
    </w:pPr>
    <w:bookmarkStart w:id="1" w:name="InsideFooter"/>
    <w:r w:rsidRPr="000872B4">
      <w:rPr>
        <w:rStyle w:val="HideTWBExt"/>
        <w:noProof w:val="0"/>
      </w:rPr>
      <w:t>&lt;PathFdR&gt;</w:t>
    </w:r>
    <w:r w:rsidR="00214448" w:rsidRPr="00214448">
      <w:t>AM\1129567SL.docx</w:t>
    </w:r>
    <w:r w:rsidRPr="000872B4">
      <w:rPr>
        <w:rStyle w:val="HideTWBExt"/>
        <w:noProof w:val="0"/>
      </w:rPr>
      <w:t>&lt;/PathFdR&gt;</w:t>
    </w:r>
    <w:bookmarkEnd w:id="1"/>
    <w:r w:rsidRPr="000872B4">
      <w:tab/>
    </w:r>
    <w:r w:rsidRPr="000872B4">
      <w:tab/>
    </w:r>
    <w:bookmarkStart w:id="2" w:name="OutsideFooter"/>
    <w:r w:rsidRPr="000872B4">
      <w:t>PE</w:t>
    </w:r>
    <w:r w:rsidRPr="000872B4">
      <w:rPr>
        <w:rStyle w:val="HideTWBExt"/>
        <w:noProof w:val="0"/>
      </w:rPr>
      <w:t>&lt;NoPE&gt;</w:t>
    </w:r>
    <w:r w:rsidR="00214448">
      <w:t>605.567</w:t>
    </w:r>
    <w:r w:rsidRPr="000872B4">
      <w:rPr>
        <w:rStyle w:val="HideTWBExt"/>
        <w:noProof w:val="0"/>
      </w:rPr>
      <w:t>&lt;/NoPE&gt;&lt;Version&gt;</w:t>
    </w:r>
    <w:r w:rsidR="000872B4" w:rsidRPr="000872B4">
      <w:t>v</w:t>
    </w:r>
    <w:r w:rsidR="00214448">
      <w:t>01-00</w:t>
    </w:r>
    <w:r w:rsidRPr="000872B4">
      <w:rPr>
        <w:rStyle w:val="HideTWBExt"/>
        <w:noProof w:val="0"/>
      </w:rPr>
      <w:t>&lt;/Version&gt;</w:t>
    </w:r>
    <w:bookmarkEnd w:id="2"/>
  </w:p>
  <w:p w:rsidR="005909EC" w:rsidRPr="000872B4" w:rsidRDefault="00FD00D8" w:rsidP="006F7ACD">
    <w:pPr>
      <w:pStyle w:val="Footer2"/>
      <w:tabs>
        <w:tab w:val="center" w:pos="4535"/>
      </w:tabs>
    </w:pPr>
    <w:r>
      <w:fldChar w:fldCharType="begin"/>
    </w:r>
    <w:r>
      <w:instrText xml:space="preserve"> DOCPROPERTY "&lt;Extension&gt;" </w:instrText>
    </w:r>
    <w:r>
      <w:fldChar w:fldCharType="separate"/>
    </w:r>
    <w:r>
      <w:t>SL</w:t>
    </w:r>
    <w:r>
      <w:fldChar w:fldCharType="end"/>
    </w:r>
    <w:r w:rsidR="00F33547" w:rsidRPr="000872B4">
      <w:rPr>
        <w:color w:val="C0C0C0"/>
      </w:rPr>
      <w:tab/>
    </w:r>
    <w:r w:rsidR="00214448">
      <w:rPr>
        <w:b w:val="0"/>
        <w:i/>
        <w:color w:val="C0C0C0"/>
        <w:sz w:val="22"/>
        <w:szCs w:val="22"/>
      </w:rPr>
      <w:t>Združena v raznolikosti</w:t>
    </w:r>
    <w:r w:rsidR="00F33547" w:rsidRPr="000872B4">
      <w:rPr>
        <w:color w:val="C0C0C0"/>
      </w:rPr>
      <w:tab/>
    </w:r>
    <w:r>
      <w:fldChar w:fldCharType="begin"/>
    </w:r>
    <w:r>
      <w:instrText xml:space="preserve"> DOCPROPERTY "&lt;Extension&gt;" </w:instrText>
    </w:r>
    <w:r>
      <w:fldChar w:fldCharType="separate"/>
    </w:r>
    <w:r>
      <w:t>SL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D8" w:rsidRDefault="00FD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B4" w:rsidRPr="000872B4" w:rsidRDefault="000872B4">
      <w:r w:rsidRPr="000872B4">
        <w:separator/>
      </w:r>
    </w:p>
  </w:footnote>
  <w:footnote w:type="continuationSeparator" w:id="0">
    <w:p w:rsidR="000872B4" w:rsidRPr="000872B4" w:rsidRDefault="000872B4">
      <w:r w:rsidRPr="000872B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D8" w:rsidRDefault="00FD0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D8" w:rsidRDefault="00FD0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D8" w:rsidRDefault="00FD0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DT" w:val="28/06/2017"/>
    <w:docVar w:name="iNoAmend" w:val="2"/>
    <w:docVar w:name="LastEditedSection" w:val=" 1"/>
    <w:docVar w:name="NRAKEY" w:val="0224"/>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33873 HideTWBExt;}}{\*\rsidtbl \rsid24658\rsid735077\rsid2892074\rsid4666813\rsid5387163\rsid6641733\rsid9636012\rsid11215221\rsid12154954\rsid12733873\rsid14424199\rsid15204470_x000d__x000a_\rsid15285974\rsid15950462\rsid16324206\rsid16662270}{\mmathPr\mmathFont34\mbrkBin0\mbrkBinSub0\msmallFrac0\mdispDef1\mlMargin0\mrMargin0\mdefJc1\mwrapIndent1440\mintLim0\mnaryLim1}{\info{\author FIC KUHARIC Romanca}{\operator FIC KUHARIC Romanca}_x000d__x000a_{\creatim\yr2017\mo6\dy29\hr8\min52}{\revtim\yr2017\mo6\dy29\hr8\min52}{\version1}{\edmins0}{\nofpages1}{\nofwords0}{\nofchars7}{\*\company European Parliament}{\nofcharsws7}{\vern57443}}{\*\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33873\utinl \fet0{\*\wgrffmtfilter 013f}\ilfomacatclnup0{\*\template C:\\Users\\rfic\\AppData\\Local\\Temp\\Blank1.dot}{\*\ftnsep \ltrpar \pard\plain \ltrpar_x000d__x000a_\ql \li0\ri0\widctlpar\wrapdefault\aspalpha\aspnum\faauto\adjustright\rin0\lin0\itap0 \rtlch\fcs1 \af0\afs20\alang1025 \ltrch\fcs0 \fs24\lang2057\langfe2057\cgrid\langnp2057\langfenp2057 {\rtlch\fcs1 \af0 \ltrch\fcs0 \insrsid5387163 \chftnsep _x000d__x000a_\par }}{\*\ftnsepc \ltrpar \pard\plain \ltrpar\ql \li0\ri0\widctlpar\wrapdefault\aspalpha\aspnum\faauto\adjustright\rin0\lin0\itap0 \rtlch\fcs1 \af0\afs20\alang1025 \ltrch\fcs0 \fs24\lang2057\langfe2057\cgrid\langnp2057\langfenp2057 {\rtlch\fcs1 \af0 _x000d__x000a_\ltrch\fcs0 \insrsid5387163 \chftnsepc _x000d__x000a_\par }}{\*\aftnsep \ltrpar \pard\plain \ltrpar\ql \li0\ri0\widctlpar\wrapdefault\aspalpha\aspnum\faauto\adjustright\rin0\lin0\itap0 \rtlch\fcs1 \af0\afs20\alang1025 \ltrch\fcs0 \fs24\lang2057\langfe2057\cgrid\langnp2057\langfenp2057 {\rtlch\fcs1 \af0 _x000d__x000a_\ltrch\fcs0 \insrsid5387163 \chftnsep _x000d__x000a_\par }}{\*\aftnsepc \ltrpar \pard\plain \ltrpar\ql \li0\ri0\widctlpar\wrapdefault\aspalpha\aspnum\faauto\adjustright\rin0\lin0\itap0 \rtlch\fcs1 \af0\afs20\alang1025 \ltrch\fcs0 \fs24\lang2057\langfe2057\cgrid\langnp2057\langfenp2057 {\rtlch\fcs1 \af0 _x000d__x000a_\ltrch\fcs0 \insrsid53871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60\langfe2057\langnp1060\insrsid12733873\charrsid55365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7_x000d__x000a_9f42a4f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Alternative"/>
    <w:docVar w:name="strSubDir" w:val="1129"/>
    <w:docVar w:name="TVTMEMBERS1" w:val="Dominique Martin, Mara Bizzotto, Joëlle Mélin"/>
    <w:docVar w:name="TXTLANGUE" w:val="SL"/>
    <w:docVar w:name="TXTLANGUEMIN" w:val="sl"/>
    <w:docVar w:name="TXTNRPE" w:val="605.567"/>
    <w:docVar w:name="TXTPEorAP" w:val="PE"/>
    <w:docVar w:name="TXTROUTE" w:val="AM\1129567SL.docx"/>
    <w:docVar w:name="TXTVERSION" w:val="01-00"/>
  </w:docVars>
  <w:rsids>
    <w:rsidRoot w:val="000872B4"/>
    <w:rsid w:val="000872B4"/>
    <w:rsid w:val="001870B6"/>
    <w:rsid w:val="001B6C00"/>
    <w:rsid w:val="00206FC8"/>
    <w:rsid w:val="00214448"/>
    <w:rsid w:val="0035429D"/>
    <w:rsid w:val="00394F63"/>
    <w:rsid w:val="003C4B9B"/>
    <w:rsid w:val="00573EFE"/>
    <w:rsid w:val="005909EC"/>
    <w:rsid w:val="006B1D75"/>
    <w:rsid w:val="006F7ACD"/>
    <w:rsid w:val="00744581"/>
    <w:rsid w:val="00763678"/>
    <w:rsid w:val="00803538"/>
    <w:rsid w:val="008077F3"/>
    <w:rsid w:val="00874091"/>
    <w:rsid w:val="00B678EC"/>
    <w:rsid w:val="00BC02AC"/>
    <w:rsid w:val="00CD728B"/>
    <w:rsid w:val="00D20AF2"/>
    <w:rsid w:val="00D5608B"/>
    <w:rsid w:val="00DE6754"/>
    <w:rsid w:val="00DF5897"/>
    <w:rsid w:val="00E1396C"/>
    <w:rsid w:val="00E356D6"/>
    <w:rsid w:val="00F33547"/>
    <w:rsid w:val="00F95359"/>
    <w:rsid w:val="00FC7DE5"/>
    <w:rsid w:val="00FD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BB8E5-EABA-4FFA-AF33-A0C35EFB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1B6C0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E1396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1B6C0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12"/>
    <w:pPr>
      <w:ind w:left="567" w:hanging="567"/>
    </w:pPr>
  </w:style>
  <w:style w:type="character" w:customStyle="1" w:styleId="NormalBoldChar">
    <w:name w:val="NormalBold Char"/>
    <w:link w:val="NormalBold"/>
    <w:rsid w:val="005909EC"/>
    <w:rPr>
      <w:b/>
      <w:sz w:val="24"/>
      <w:lang w:val="sl-SI" w:eastAsia="en-GB" w:bidi="ar-SA"/>
    </w:rPr>
  </w:style>
  <w:style w:type="paragraph" w:customStyle="1" w:styleId="AMNumberTabs">
    <w:name w:val="AMNumberTabs"/>
    <w:basedOn w:val="Normal"/>
    <w:rsid w:val="005909E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AAFEF3F.dotm</Template>
  <TotalTime>0</TotalTime>
  <Pages>1</Pages>
  <Words>817</Words>
  <Characters>5055</Characters>
  <Application>Microsoft Office Word</Application>
  <DocSecurity>0</DocSecurity>
  <Lines>93</Lines>
  <Paragraphs>44</Paragraphs>
  <ScaleCrop>false</ScaleCrop>
  <HeadingPairs>
    <vt:vector size="2" baseType="variant">
      <vt:variant>
        <vt:lpstr>Title</vt:lpstr>
      </vt:variant>
      <vt:variant>
        <vt:i4>1</vt:i4>
      </vt:variant>
    </vt:vector>
  </HeadingPairs>
  <TitlesOfParts>
    <vt:vector size="1" baseType="lpstr">
      <vt:lpstr>AM_Ple_NonLegAlternative</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AM_Ple_NonLegAlternative</dc:title>
  <dc:subject/>
  <dc:creator>FIC KUHARIC Romanca</dc:creator>
  <cp:keywords/>
  <dc:description/>
  <cp:lastModifiedBy>SOSTARIC Manca</cp:lastModifiedBy>
  <cp:revision>2</cp:revision>
  <cp:lastPrinted>2004-11-28T13:16:00Z</cp:lastPrinted>
  <dcterms:created xsi:type="dcterms:W3CDTF">2017-06-29T15:32:00Z</dcterms:created>
  <dcterms:modified xsi:type="dcterms:W3CDTF">2017-06-29T15:32:00Z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1129567</vt:lpwstr>
  </property>
  <property fmtid="{D5CDD505-2E9C-101B-9397-08002B2CF9AE}" pid="5" name="&lt;Type&gt;">
    <vt:lpwstr>AM</vt:lpwstr>
  </property>
  <property fmtid="{D5CDD505-2E9C-101B-9397-08002B2CF9AE}" pid="6" name="&lt;ModelCod&gt;">
    <vt:lpwstr>\\eiciLUXpr1\pdocep$\DocEP\DOCS\General\AM\AM_NonLeg\AM_Ple_NonLeg\AM_Ple_NonLegAlternative.dot(17/02/2016 11:46:13)</vt:lpwstr>
  </property>
  <property fmtid="{D5CDD505-2E9C-101B-9397-08002B2CF9AE}" pid="7" name="&lt;ModelTra&gt;">
    <vt:lpwstr>\\eiciLUXpr1\pdocep$\DocEP\TRANSFIL\SL\AM_Ple_NonLegAlternative.SL(16/09/2016 09:42:19)</vt:lpwstr>
  </property>
  <property fmtid="{D5CDD505-2E9C-101B-9397-08002B2CF9AE}" pid="8" name="&lt;Model&gt;">
    <vt:lpwstr>AM_Ple_NonLegAlternative</vt:lpwstr>
  </property>
  <property fmtid="{D5CDD505-2E9C-101B-9397-08002B2CF9AE}" pid="9" name="FooterPath">
    <vt:lpwstr>AM\1129567SL.docx</vt:lpwstr>
  </property>
  <property fmtid="{D5CDD505-2E9C-101B-9397-08002B2CF9AE}" pid="10" name="PE number">
    <vt:lpwstr>605.567</vt:lpwstr>
  </property>
  <property fmtid="{D5CDD505-2E9C-101B-9397-08002B2CF9AE}" pid="11" name="Bookout">
    <vt:lpwstr>OK - 2017/06/29 17:32</vt:lpwstr>
  </property>
  <property fmtid="{D5CDD505-2E9C-101B-9397-08002B2CF9AE}" pid="12" name="SDLStudio">
    <vt:lpwstr>YES</vt:lpwstr>
  </property>
  <property fmtid="{D5CDD505-2E9C-101B-9397-08002B2CF9AE}" pid="13" name="&lt;Extension&gt;">
    <vt:lpwstr>SL</vt:lpwstr>
  </property>
  <property fmtid="{D5CDD505-2E9C-101B-9397-08002B2CF9AE}" pid="14" name="SubscribeElise">
    <vt:lpwstr/>
  </property>
</Properties>
</file>