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745191" w:rsidTr="00BB70F1">
        <w:trPr>
          <w:trHeight w:hRule="exact" w:val="1418"/>
        </w:trPr>
        <w:tc>
          <w:tcPr>
            <w:tcW w:w="6804" w:type="dxa"/>
            <w:shd w:val="clear" w:color="auto" w:fill="auto"/>
            <w:vAlign w:val="center"/>
          </w:tcPr>
          <w:p w:rsidR="002544DF" w:rsidRPr="00745191" w:rsidRDefault="008C6B1E" w:rsidP="00BB70F1">
            <w:pPr>
              <w:pStyle w:val="EPName"/>
            </w:pPr>
            <w:r w:rsidRPr="00745191">
              <w:t>Evropský parlament</w:t>
            </w:r>
          </w:p>
          <w:p w:rsidR="002544DF" w:rsidRPr="00745191" w:rsidRDefault="0001521B" w:rsidP="0001521B">
            <w:pPr>
              <w:pStyle w:val="EPTerm"/>
              <w:rPr>
                <w:rStyle w:val="HideTWBExt"/>
                <w:noProof w:val="0"/>
                <w:vanish w:val="0"/>
                <w:color w:val="auto"/>
              </w:rPr>
            </w:pPr>
            <w:r w:rsidRPr="00745191">
              <w:t>2014-2019</w:t>
            </w:r>
          </w:p>
        </w:tc>
        <w:tc>
          <w:tcPr>
            <w:tcW w:w="2268" w:type="dxa"/>
            <w:shd w:val="clear" w:color="auto" w:fill="auto"/>
          </w:tcPr>
          <w:p w:rsidR="002544DF" w:rsidRPr="00745191" w:rsidRDefault="00302D40" w:rsidP="00BB70F1">
            <w:pPr>
              <w:pStyle w:val="EPLogo"/>
            </w:pPr>
            <w:r w:rsidRPr="00745191">
              <w:rPr>
                <w:lang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745191" w:rsidRDefault="00E3537C" w:rsidP="00E3537C">
      <w:pPr>
        <w:pStyle w:val="LineTop"/>
      </w:pPr>
    </w:p>
    <w:p w:rsidR="00E3537C" w:rsidRPr="00745191" w:rsidRDefault="00A114B2" w:rsidP="00E3537C">
      <w:pPr>
        <w:pStyle w:val="ZCommittee"/>
      </w:pPr>
      <w:r w:rsidRPr="00745191">
        <w:t>Dokument ze zasedání</w:t>
      </w:r>
    </w:p>
    <w:p w:rsidR="00E3537C" w:rsidRPr="00745191" w:rsidRDefault="00E3537C" w:rsidP="00E3537C">
      <w:pPr>
        <w:pStyle w:val="LineBottom"/>
      </w:pPr>
    </w:p>
    <w:p w:rsidR="00100069" w:rsidRPr="00745191" w:rsidRDefault="00A114B2">
      <w:pPr>
        <w:pStyle w:val="RefProc"/>
      </w:pPr>
      <w:r w:rsidRPr="00745191">
        <w:rPr>
          <w:rStyle w:val="HideTWBExt"/>
          <w:noProof w:val="0"/>
        </w:rPr>
        <w:t>&lt;NoDocSe&gt;</w:t>
      </w:r>
      <w:r w:rsidRPr="00745191">
        <w:t>A8-0238/2017</w:t>
      </w:r>
      <w:r w:rsidRPr="00745191">
        <w:rPr>
          <w:rStyle w:val="HideTWBExt"/>
          <w:noProof w:val="0"/>
        </w:rPr>
        <w:t>&lt;/NoDocSe&gt;</w:t>
      </w:r>
    </w:p>
    <w:p w:rsidR="00100069" w:rsidRPr="00745191" w:rsidRDefault="00100069">
      <w:pPr>
        <w:pStyle w:val="ZDate"/>
      </w:pPr>
      <w:r w:rsidRPr="00745191">
        <w:rPr>
          <w:rStyle w:val="HideTWBExt"/>
          <w:noProof w:val="0"/>
        </w:rPr>
        <w:t>&lt;Date&gt;</w:t>
      </w:r>
      <w:r w:rsidRPr="00745191">
        <w:rPr>
          <w:rStyle w:val="HideTWBInt"/>
        </w:rPr>
        <w:t>{</w:t>
      </w:r>
      <w:r w:rsidR="00745191" w:rsidRPr="00745191">
        <w:rPr>
          <w:rStyle w:val="HideTWBInt"/>
        </w:rPr>
        <w:t>27</w:t>
      </w:r>
      <w:r w:rsidRPr="00745191">
        <w:rPr>
          <w:rStyle w:val="HideTWBInt"/>
        </w:rPr>
        <w:t>/0</w:t>
      </w:r>
      <w:r w:rsidR="00745191" w:rsidRPr="00745191">
        <w:rPr>
          <w:rStyle w:val="HideTWBInt"/>
        </w:rPr>
        <w:t>6</w:t>
      </w:r>
      <w:r w:rsidRPr="00745191">
        <w:rPr>
          <w:rStyle w:val="HideTWBInt"/>
        </w:rPr>
        <w:t>/2017}</w:t>
      </w:r>
      <w:r w:rsidRPr="00745191">
        <w:t>27.6.2017</w:t>
      </w:r>
      <w:r w:rsidRPr="00745191">
        <w:rPr>
          <w:rStyle w:val="HideTWBExt"/>
          <w:noProof w:val="0"/>
        </w:rPr>
        <w:t>&lt;/Date&gt;</w:t>
      </w:r>
    </w:p>
    <w:p w:rsidR="00100069" w:rsidRPr="00745191" w:rsidRDefault="00100069">
      <w:pPr>
        <w:pStyle w:val="TypeDoc"/>
      </w:pPr>
      <w:r w:rsidRPr="00745191">
        <w:rPr>
          <w:rStyle w:val="HideTWBExt"/>
          <w:b w:val="0"/>
          <w:noProof w:val="0"/>
        </w:rPr>
        <w:t>&lt;TitreType&gt;</w:t>
      </w:r>
      <w:r w:rsidRPr="00745191">
        <w:t>ZPRÁVA</w:t>
      </w:r>
      <w:r w:rsidRPr="00745191">
        <w:rPr>
          <w:rStyle w:val="HideTWBExt"/>
          <w:b w:val="0"/>
          <w:noProof w:val="0"/>
        </w:rPr>
        <w:t>&lt;/TitreType&gt;</w:t>
      </w:r>
    </w:p>
    <w:p w:rsidR="00100069" w:rsidRPr="00745191" w:rsidRDefault="00100069">
      <w:pPr>
        <w:pStyle w:val="CoverNormal"/>
      </w:pPr>
      <w:r w:rsidRPr="00745191">
        <w:rPr>
          <w:rStyle w:val="HideTWBExt"/>
          <w:noProof w:val="0"/>
        </w:rPr>
        <w:t>&lt;Titre&gt;</w:t>
      </w:r>
      <w:r w:rsidRPr="00745191">
        <w:t>o provádění směrnice Evropského parlamentu</w:t>
      </w:r>
      <w:r w:rsidR="00745191">
        <w:t xml:space="preserve"> a </w:t>
      </w:r>
      <w:r w:rsidRPr="00745191">
        <w:t>Rady 2008/52/ES ze dne 21. května 2008</w:t>
      </w:r>
      <w:r w:rsidR="00745191">
        <w:t xml:space="preserve"> o </w:t>
      </w:r>
      <w:r w:rsidRPr="00745191">
        <w:t>některých aspektech mediace</w:t>
      </w:r>
      <w:r w:rsidR="00745191">
        <w:t xml:space="preserve"> v </w:t>
      </w:r>
      <w:r w:rsidRPr="00745191">
        <w:t>občanských</w:t>
      </w:r>
      <w:r w:rsidR="00745191">
        <w:t xml:space="preserve"> a </w:t>
      </w:r>
      <w:r w:rsidRPr="00745191">
        <w:t>obchodních věcech („směrnice</w:t>
      </w:r>
      <w:r w:rsidR="00745191">
        <w:t xml:space="preserve"> o </w:t>
      </w:r>
      <w:r w:rsidRPr="00745191">
        <w:t>mediaci“)</w:t>
      </w:r>
      <w:r w:rsidRPr="00745191">
        <w:rPr>
          <w:rStyle w:val="HideTWBExt"/>
          <w:noProof w:val="0"/>
        </w:rPr>
        <w:t>&lt;/Titre&gt;</w:t>
      </w:r>
    </w:p>
    <w:p w:rsidR="00100069" w:rsidRPr="00745191" w:rsidRDefault="00100069">
      <w:pPr>
        <w:pStyle w:val="Cover24"/>
      </w:pPr>
      <w:r w:rsidRPr="00745191">
        <w:rPr>
          <w:rStyle w:val="HideTWBExt"/>
          <w:noProof w:val="0"/>
        </w:rPr>
        <w:t>&lt;DocRef&gt;</w:t>
      </w:r>
      <w:r w:rsidRPr="00745191">
        <w:t>(2016/2066(INI))</w:t>
      </w:r>
      <w:r w:rsidRPr="00745191">
        <w:rPr>
          <w:rStyle w:val="HideTWBExt"/>
          <w:noProof w:val="0"/>
        </w:rPr>
        <w:t>&lt;/DocRef&gt;</w:t>
      </w:r>
    </w:p>
    <w:p w:rsidR="00100069" w:rsidRPr="00745191" w:rsidRDefault="00100069">
      <w:pPr>
        <w:pStyle w:val="Cover24"/>
      </w:pPr>
      <w:r w:rsidRPr="00745191">
        <w:rPr>
          <w:rStyle w:val="HideTWBExt"/>
          <w:noProof w:val="0"/>
        </w:rPr>
        <w:t>&lt;Commission&gt;</w:t>
      </w:r>
      <w:r w:rsidRPr="00745191">
        <w:rPr>
          <w:rStyle w:val="HideTWBInt"/>
        </w:rPr>
        <w:t>{JURI}</w:t>
      </w:r>
      <w:r w:rsidRPr="00745191">
        <w:t>Výbor pro právní záležitosti</w:t>
      </w:r>
      <w:r w:rsidRPr="00745191">
        <w:rPr>
          <w:rStyle w:val="HideTWBExt"/>
          <w:noProof w:val="0"/>
        </w:rPr>
        <w:t>&lt;/Commission&gt;</w:t>
      </w:r>
    </w:p>
    <w:p w:rsidR="00100069" w:rsidRPr="00745191" w:rsidRDefault="008C6B1E">
      <w:pPr>
        <w:pStyle w:val="Cover24"/>
      </w:pPr>
      <w:r w:rsidRPr="00745191">
        <w:t xml:space="preserve">Zpravodaj: </w:t>
      </w:r>
      <w:r w:rsidRPr="00745191">
        <w:rPr>
          <w:rStyle w:val="HideTWBExt"/>
          <w:noProof w:val="0"/>
        </w:rPr>
        <w:t>&lt;Depute&gt;</w:t>
      </w:r>
      <w:r w:rsidRPr="00745191">
        <w:t>Kostas Chrysogonos</w:t>
      </w:r>
      <w:r w:rsidRPr="00745191">
        <w:rPr>
          <w:rStyle w:val="HideTWBExt"/>
          <w:noProof w:val="0"/>
        </w:rPr>
        <w:t>&lt;/Depute&gt;</w:t>
      </w:r>
      <w:bookmarkStart w:id="0" w:name="_GoBack"/>
      <w:bookmarkEnd w:id="0"/>
    </w:p>
    <w:p w:rsidR="00E155CA" w:rsidRPr="00745191" w:rsidRDefault="00E155CA" w:rsidP="00E155CA">
      <w:pPr>
        <w:pStyle w:val="CoverNormal"/>
      </w:pPr>
    </w:p>
    <w:p w:rsidR="00100069" w:rsidRPr="00745191" w:rsidRDefault="00100069" w:rsidP="002544DF">
      <w:pPr>
        <w:widowControl/>
        <w:tabs>
          <w:tab w:val="center" w:pos="4677"/>
        </w:tabs>
      </w:pPr>
      <w:r w:rsidRPr="00745191">
        <w:br w:type="page"/>
      </w:r>
    </w:p>
    <w:p w:rsidR="00100069" w:rsidRPr="00745191" w:rsidRDefault="008C6B1E" w:rsidP="002544DF">
      <w:pPr>
        <w:widowControl/>
        <w:tabs>
          <w:tab w:val="center" w:pos="4677"/>
        </w:tabs>
      </w:pPr>
      <w:r w:rsidRPr="00745191">
        <w:lastRenderedPageBreak/>
        <w:t>PR_INI_ImplReport</w:t>
      </w:r>
    </w:p>
    <w:p w:rsidR="00100069" w:rsidRPr="00745191" w:rsidRDefault="008C6B1E">
      <w:pPr>
        <w:pStyle w:val="TOCHeading"/>
      </w:pPr>
      <w:r w:rsidRPr="00745191">
        <w:t>OBSAH</w:t>
      </w:r>
    </w:p>
    <w:p w:rsidR="00100069" w:rsidRPr="00745191" w:rsidRDefault="008C6B1E">
      <w:pPr>
        <w:pStyle w:val="TOCPage"/>
      </w:pPr>
      <w:r w:rsidRPr="00745191">
        <w:t>Strana</w:t>
      </w:r>
    </w:p>
    <w:p w:rsidR="00745191"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745191">
        <w:rPr>
          <w:b/>
        </w:rPr>
        <w:fldChar w:fldCharType="begin"/>
      </w:r>
      <w:r w:rsidRPr="00745191">
        <w:rPr>
          <w:b/>
        </w:rPr>
        <w:instrText xml:space="preserve"> TOC \t "PageHeading</w:instrText>
      </w:r>
      <w:r w:rsidR="00745191" w:rsidRPr="00745191">
        <w:rPr>
          <w:b/>
        </w:rPr>
        <w:instrText>;</w:instrText>
      </w:r>
      <w:r w:rsidRPr="00745191">
        <w:rPr>
          <w:b/>
        </w:rPr>
        <w:instrText xml:space="preserve">1" </w:instrText>
      </w:r>
      <w:r w:rsidRPr="00745191">
        <w:rPr>
          <w:b/>
        </w:rPr>
        <w:fldChar w:fldCharType="separate"/>
      </w:r>
      <w:r w:rsidR="00745191">
        <w:rPr>
          <w:noProof/>
        </w:rPr>
        <w:t>VYSVĚTLUJÍCÍ PROHLÁŠENÍ – SHRNUTÍ SKUTEČNOSTÍ A ZJIŠTĚNÍ</w:t>
      </w:r>
      <w:r w:rsidR="00745191">
        <w:rPr>
          <w:noProof/>
        </w:rPr>
        <w:tab/>
      </w:r>
      <w:r w:rsidR="00745191">
        <w:rPr>
          <w:noProof/>
        </w:rPr>
        <w:fldChar w:fldCharType="begin"/>
      </w:r>
      <w:r w:rsidR="00745191">
        <w:rPr>
          <w:noProof/>
        </w:rPr>
        <w:instrText xml:space="preserve"> PAGEREF _Toc491359618 \h </w:instrText>
      </w:r>
      <w:r w:rsidR="00745191">
        <w:rPr>
          <w:noProof/>
        </w:rPr>
      </w:r>
      <w:r w:rsidR="00745191">
        <w:rPr>
          <w:noProof/>
        </w:rPr>
        <w:fldChar w:fldCharType="separate"/>
      </w:r>
      <w:r w:rsidR="00745191">
        <w:rPr>
          <w:noProof/>
        </w:rPr>
        <w:t>3</w:t>
      </w:r>
      <w:r w:rsidR="00745191">
        <w:rPr>
          <w:noProof/>
        </w:rPr>
        <w:fldChar w:fldCharType="end"/>
      </w:r>
    </w:p>
    <w:p w:rsidR="00745191" w:rsidRDefault="0074519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NÁVRH USNESENÍ EVROPSKÉHO PARLAMENTU</w:t>
      </w:r>
      <w:r>
        <w:rPr>
          <w:noProof/>
        </w:rPr>
        <w:tab/>
      </w:r>
      <w:r>
        <w:rPr>
          <w:noProof/>
        </w:rPr>
        <w:fldChar w:fldCharType="begin"/>
      </w:r>
      <w:r>
        <w:rPr>
          <w:noProof/>
        </w:rPr>
        <w:instrText xml:space="preserve"> PAGEREF _Toc491359619 \h </w:instrText>
      </w:r>
      <w:r>
        <w:rPr>
          <w:noProof/>
        </w:rPr>
      </w:r>
      <w:r>
        <w:rPr>
          <w:noProof/>
        </w:rPr>
        <w:fldChar w:fldCharType="separate"/>
      </w:r>
      <w:r>
        <w:rPr>
          <w:noProof/>
        </w:rPr>
        <w:t>6</w:t>
      </w:r>
      <w:r>
        <w:rPr>
          <w:noProof/>
        </w:rPr>
        <w:fldChar w:fldCharType="end"/>
      </w:r>
    </w:p>
    <w:p w:rsidR="00745191" w:rsidRDefault="0074519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INFORMACE O PŘIJETÍ V PŘÍSLUŠNÉM VÝBORU</w:t>
      </w:r>
      <w:r>
        <w:rPr>
          <w:noProof/>
        </w:rPr>
        <w:tab/>
      </w:r>
      <w:r>
        <w:rPr>
          <w:noProof/>
        </w:rPr>
        <w:fldChar w:fldCharType="begin"/>
      </w:r>
      <w:r>
        <w:rPr>
          <w:noProof/>
        </w:rPr>
        <w:instrText xml:space="preserve"> PAGEREF _Toc491359620 \h </w:instrText>
      </w:r>
      <w:r>
        <w:rPr>
          <w:noProof/>
        </w:rPr>
      </w:r>
      <w:r>
        <w:rPr>
          <w:noProof/>
        </w:rPr>
        <w:fldChar w:fldCharType="separate"/>
      </w:r>
      <w:r>
        <w:rPr>
          <w:noProof/>
        </w:rPr>
        <w:t>11</w:t>
      </w:r>
      <w:r>
        <w:rPr>
          <w:noProof/>
        </w:rPr>
        <w:fldChar w:fldCharType="end"/>
      </w:r>
    </w:p>
    <w:p w:rsidR="00745191" w:rsidRDefault="0074519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JMENOVITÉ KONEČNÉ HLASOVÁNÍ V PŘÍSLUŠNÉM VÝBORU</w:t>
      </w:r>
      <w:r>
        <w:rPr>
          <w:noProof/>
        </w:rPr>
        <w:tab/>
      </w:r>
      <w:r>
        <w:rPr>
          <w:noProof/>
        </w:rPr>
        <w:fldChar w:fldCharType="begin"/>
      </w:r>
      <w:r>
        <w:rPr>
          <w:noProof/>
        </w:rPr>
        <w:instrText xml:space="preserve"> PAGEREF _Toc491359621 \h </w:instrText>
      </w:r>
      <w:r>
        <w:rPr>
          <w:noProof/>
        </w:rPr>
      </w:r>
      <w:r>
        <w:rPr>
          <w:noProof/>
        </w:rPr>
        <w:fldChar w:fldCharType="separate"/>
      </w:r>
      <w:r>
        <w:rPr>
          <w:noProof/>
        </w:rPr>
        <w:t>12</w:t>
      </w:r>
      <w:r>
        <w:rPr>
          <w:noProof/>
        </w:rPr>
        <w:fldChar w:fldCharType="end"/>
      </w:r>
    </w:p>
    <w:p w:rsidR="00785482" w:rsidRPr="00745191" w:rsidRDefault="002544DF">
      <w:pPr>
        <w:pStyle w:val="TOC1"/>
        <w:tabs>
          <w:tab w:val="right" w:leader="dot" w:pos="9060"/>
        </w:tabs>
        <w:rPr>
          <w:rFonts w:asciiTheme="minorHAnsi" w:eastAsiaTheme="minorEastAsia" w:hAnsiTheme="minorHAnsi" w:cstheme="minorBidi"/>
          <w:sz w:val="22"/>
          <w:szCs w:val="22"/>
        </w:rPr>
      </w:pPr>
      <w:r w:rsidRPr="00745191">
        <w:rPr>
          <w:b/>
        </w:rPr>
        <w:fldChar w:fldCharType="end"/>
      </w:r>
    </w:p>
    <w:p w:rsidR="00D644FF" w:rsidRPr="00745191" w:rsidRDefault="00100069" w:rsidP="00D644FF">
      <w:pPr>
        <w:pStyle w:val="PageHeading"/>
      </w:pPr>
      <w:r w:rsidRPr="00745191">
        <w:br w:type="page"/>
      </w:r>
      <w:bookmarkStart w:id="1" w:name="_Toc476815742"/>
      <w:bookmarkStart w:id="2" w:name="_Toc26759888"/>
      <w:bookmarkStart w:id="3" w:name="_Toc86200285"/>
      <w:bookmarkStart w:id="4" w:name="_Toc491359618"/>
      <w:r w:rsidRPr="00745191">
        <w:lastRenderedPageBreak/>
        <w:t>VYSVĚTLUJÍCÍ PROHLÁŠENÍ – SHRNUTÍ SKUTEČNOSTÍ</w:t>
      </w:r>
      <w:r w:rsidR="00745191">
        <w:t xml:space="preserve"> A </w:t>
      </w:r>
      <w:r w:rsidRPr="00745191">
        <w:t>ZJIŠTĚNÍ</w:t>
      </w:r>
      <w:bookmarkEnd w:id="1"/>
      <w:bookmarkEnd w:id="4"/>
    </w:p>
    <w:p w:rsidR="00F431BF" w:rsidRPr="00745191" w:rsidRDefault="009579FE" w:rsidP="009579FE">
      <w:pPr>
        <w:pStyle w:val="ListParagraph"/>
        <w:snapToGrid w:val="0"/>
        <w:ind w:left="1080" w:hanging="360"/>
        <w:rPr>
          <w:b/>
          <w:sz w:val="24"/>
          <w:szCs w:val="24"/>
        </w:rPr>
      </w:pPr>
      <w:r w:rsidRPr="00745191">
        <w:rPr>
          <w:b/>
          <w:sz w:val="24"/>
        </w:rPr>
        <w:t>I.</w:t>
      </w:r>
      <w:r w:rsidRPr="00745191">
        <w:tab/>
      </w:r>
      <w:r w:rsidRPr="00745191">
        <w:rPr>
          <w:b/>
          <w:sz w:val="24"/>
        </w:rPr>
        <w:t>Cíl</w:t>
      </w:r>
    </w:p>
    <w:p w:rsidR="00F431BF" w:rsidRPr="00745191" w:rsidRDefault="00F431BF" w:rsidP="00F431BF">
      <w:pPr>
        <w:rPr>
          <w:b/>
          <w:szCs w:val="24"/>
        </w:rPr>
      </w:pPr>
    </w:p>
    <w:p w:rsidR="00F431BF" w:rsidRPr="00745191" w:rsidRDefault="00F431BF" w:rsidP="00F431BF">
      <w:pPr>
        <w:rPr>
          <w:szCs w:val="24"/>
        </w:rPr>
      </w:pPr>
      <w:r w:rsidRPr="00745191">
        <w:t>Cílem směrnice</w:t>
      </w:r>
      <w:r w:rsidR="00745191">
        <w:t xml:space="preserve"> o </w:t>
      </w:r>
      <w:r w:rsidRPr="00745191">
        <w:t>mediaci je usnadnit přístup</w:t>
      </w:r>
      <w:r w:rsidR="00745191">
        <w:t xml:space="preserve"> k </w:t>
      </w:r>
      <w:r w:rsidRPr="00745191">
        <w:t>alternativnímu řešení sporů</w:t>
      </w:r>
      <w:r w:rsidR="00745191">
        <w:t xml:space="preserve"> a </w:t>
      </w:r>
      <w:r w:rsidRPr="00745191">
        <w:t>podporovat smírné řešení sporů,</w:t>
      </w:r>
      <w:r w:rsidR="00745191">
        <w:t xml:space="preserve"> a </w:t>
      </w:r>
      <w:r w:rsidRPr="00745191">
        <w:t>to podporou využívání mediace</w:t>
      </w:r>
      <w:r w:rsidR="00745191">
        <w:t xml:space="preserve"> a </w:t>
      </w:r>
      <w:r w:rsidRPr="00745191">
        <w:t>zároveň zabezpečením vyváženého vztahu mezi mediací</w:t>
      </w:r>
      <w:r w:rsidR="00745191">
        <w:t xml:space="preserve"> a </w:t>
      </w:r>
      <w:r w:rsidRPr="00745191">
        <w:t xml:space="preserve">soudním řízením. </w:t>
      </w:r>
    </w:p>
    <w:p w:rsidR="00F431BF" w:rsidRPr="00745191" w:rsidRDefault="00F431BF" w:rsidP="00F431BF">
      <w:pPr>
        <w:rPr>
          <w:szCs w:val="24"/>
        </w:rPr>
      </w:pPr>
    </w:p>
    <w:p w:rsidR="00F431BF" w:rsidRPr="00745191" w:rsidRDefault="00F431BF" w:rsidP="00F431BF">
      <w:pPr>
        <w:rPr>
          <w:szCs w:val="24"/>
        </w:rPr>
      </w:pPr>
      <w:r w:rsidRPr="00745191">
        <w:t>V souladu</w:t>
      </w:r>
      <w:r w:rsidR="00745191">
        <w:t xml:space="preserve"> s </w:t>
      </w:r>
      <w:r w:rsidRPr="00745191">
        <w:t>článkem 11 směrnice 2008/52/ES je Komise povinna předložit Evropskému parlamentu, Radě</w:t>
      </w:r>
      <w:r w:rsidR="00745191">
        <w:t xml:space="preserve"> a </w:t>
      </w:r>
      <w:r w:rsidRPr="00745191">
        <w:t>Evropskému hospodářskému</w:t>
      </w:r>
      <w:r w:rsidR="00745191">
        <w:t xml:space="preserve"> a </w:t>
      </w:r>
      <w:r w:rsidRPr="00745191">
        <w:t>sociálnímu výboru zprávu</w:t>
      </w:r>
      <w:r w:rsidR="00745191">
        <w:t xml:space="preserve"> o </w:t>
      </w:r>
      <w:r w:rsidRPr="00745191">
        <w:t>uplatňování této směrnice, posuzující vývoj mediace</w:t>
      </w:r>
      <w:r w:rsidR="00745191">
        <w:t xml:space="preserve"> v </w:t>
      </w:r>
      <w:r w:rsidRPr="00745191">
        <w:t>celé Evropské unii</w:t>
      </w:r>
      <w:r w:rsidR="00745191">
        <w:t xml:space="preserve"> a </w:t>
      </w:r>
      <w:r w:rsidRPr="00745191">
        <w:t>dopad uvedené směrnice</w:t>
      </w:r>
      <w:r w:rsidR="00745191">
        <w:t xml:space="preserve"> v </w:t>
      </w:r>
      <w:r w:rsidRPr="00745191">
        <w:t xml:space="preserve">členských státech. </w:t>
      </w:r>
    </w:p>
    <w:p w:rsidR="00F431BF" w:rsidRPr="00745191" w:rsidRDefault="00F431BF" w:rsidP="00F431BF">
      <w:pPr>
        <w:rPr>
          <w:szCs w:val="24"/>
        </w:rPr>
      </w:pPr>
    </w:p>
    <w:p w:rsidR="00745191" w:rsidRPr="00745191" w:rsidRDefault="00F431BF" w:rsidP="00F431BF">
      <w:pPr>
        <w:rPr>
          <w:szCs w:val="24"/>
        </w:rPr>
      </w:pPr>
      <w:r w:rsidRPr="00745191">
        <w:t>Výbor pro právní záležitosti se domnívá, že zpráva</w:t>
      </w:r>
      <w:r w:rsidR="00745191">
        <w:t xml:space="preserve"> o </w:t>
      </w:r>
      <w:r w:rsidRPr="00745191">
        <w:t>provádění na základě zprávy Komise představuje vhodnou příležitost ke zhodnocení dopadu směrnice</w:t>
      </w:r>
      <w:r w:rsidR="00745191">
        <w:t xml:space="preserve"> o </w:t>
      </w:r>
      <w:r w:rsidRPr="00745191">
        <w:t>mediaci na občany</w:t>
      </w:r>
      <w:r w:rsidR="00745191">
        <w:t xml:space="preserve"> a </w:t>
      </w:r>
      <w:r w:rsidRPr="00745191">
        <w:t>podniky od okamžiku jejího vstupu</w:t>
      </w:r>
      <w:r w:rsidR="00745191">
        <w:t xml:space="preserve"> v </w:t>
      </w:r>
      <w:r w:rsidRPr="00745191">
        <w:t>platnost</w:t>
      </w:r>
      <w:r w:rsidR="00745191">
        <w:t xml:space="preserve"> a v </w:t>
      </w:r>
      <w:r w:rsidRPr="00745191">
        <w:t>podobě,</w:t>
      </w:r>
      <w:r w:rsidR="00745191">
        <w:t xml:space="preserve"> v </w:t>
      </w:r>
      <w:r w:rsidRPr="00745191">
        <w:t>jaké je provedena</w:t>
      </w:r>
      <w:r w:rsidR="00745191">
        <w:t xml:space="preserve"> a </w:t>
      </w:r>
      <w:r w:rsidRPr="00745191">
        <w:t>vymáhána členskými státy,</w:t>
      </w:r>
      <w:r w:rsidR="00745191">
        <w:t xml:space="preserve"> a k </w:t>
      </w:r>
      <w:r w:rsidRPr="00745191">
        <w:t>poskytnutí konkrétních doporučení.</w:t>
      </w:r>
      <w:r w:rsidR="00745191">
        <w:t xml:space="preserve"> </w:t>
      </w:r>
    </w:p>
    <w:p w:rsidR="00F431BF" w:rsidRPr="00745191" w:rsidRDefault="00F431BF" w:rsidP="00F431BF">
      <w:pPr>
        <w:rPr>
          <w:szCs w:val="24"/>
        </w:rPr>
      </w:pPr>
    </w:p>
    <w:p w:rsidR="00F431BF" w:rsidRPr="00745191" w:rsidRDefault="009579FE" w:rsidP="009579FE">
      <w:pPr>
        <w:pStyle w:val="ListParagraph"/>
        <w:snapToGrid w:val="0"/>
        <w:ind w:left="1080" w:hanging="360"/>
        <w:rPr>
          <w:b/>
          <w:sz w:val="24"/>
          <w:szCs w:val="24"/>
        </w:rPr>
      </w:pPr>
      <w:r w:rsidRPr="00745191">
        <w:rPr>
          <w:b/>
          <w:sz w:val="24"/>
        </w:rPr>
        <w:t>II.</w:t>
      </w:r>
      <w:r w:rsidRPr="00745191">
        <w:tab/>
      </w:r>
      <w:r w:rsidRPr="00745191">
        <w:rPr>
          <w:b/>
          <w:sz w:val="24"/>
        </w:rPr>
        <w:t>Zdroje informací</w:t>
      </w:r>
    </w:p>
    <w:p w:rsidR="00F431BF" w:rsidRPr="00745191" w:rsidRDefault="00F431BF" w:rsidP="00F431BF">
      <w:pPr>
        <w:rPr>
          <w:szCs w:val="24"/>
        </w:rPr>
      </w:pPr>
    </w:p>
    <w:p w:rsidR="00F431BF" w:rsidRPr="00745191" w:rsidRDefault="00F431BF" w:rsidP="00F431BF">
      <w:pPr>
        <w:rPr>
          <w:szCs w:val="24"/>
        </w:rPr>
      </w:pPr>
      <w:r w:rsidRPr="00745191">
        <w:t>Tato zpráva</w:t>
      </w:r>
      <w:r w:rsidR="00745191">
        <w:t xml:space="preserve"> z </w:t>
      </w:r>
      <w:r w:rsidRPr="00745191">
        <w:t>vlastního podnětu</w:t>
      </w:r>
      <w:r w:rsidR="00745191">
        <w:t xml:space="preserve"> o </w:t>
      </w:r>
      <w:r w:rsidRPr="00745191">
        <w:t>provádění směrnice 2008/52/ES</w:t>
      </w:r>
      <w:r w:rsidR="00745191">
        <w:t xml:space="preserve"> o </w:t>
      </w:r>
      <w:r w:rsidRPr="00745191">
        <w:t>mediaci vychází</w:t>
      </w:r>
      <w:r w:rsidR="00745191">
        <w:t xml:space="preserve"> z </w:t>
      </w:r>
      <w:r w:rsidRPr="00745191">
        <w:t>informací získaných</w:t>
      </w:r>
      <w:r w:rsidR="00745191">
        <w:t xml:space="preserve"> z </w:t>
      </w:r>
      <w:r w:rsidRPr="00745191">
        <w:t>různých zdrojů, včetně:</w:t>
      </w:r>
    </w:p>
    <w:p w:rsidR="00F431BF" w:rsidRPr="00745191" w:rsidRDefault="00F431BF" w:rsidP="00F431BF">
      <w:pPr>
        <w:rPr>
          <w:szCs w:val="24"/>
        </w:rPr>
      </w:pPr>
    </w:p>
    <w:p w:rsidR="00F431BF" w:rsidRPr="00745191" w:rsidRDefault="009579FE" w:rsidP="009579FE">
      <w:pPr>
        <w:pStyle w:val="ListParagraph"/>
        <w:snapToGrid w:val="0"/>
        <w:ind w:hanging="360"/>
        <w:rPr>
          <w:sz w:val="24"/>
          <w:szCs w:val="24"/>
        </w:rPr>
      </w:pPr>
      <w:r w:rsidRPr="00745191">
        <w:rPr>
          <w:rFonts w:ascii="Wingdings" w:hAnsi="Wingdings"/>
          <w:sz w:val="24"/>
          <w:szCs w:val="24"/>
        </w:rPr>
        <w:t></w:t>
      </w:r>
      <w:r w:rsidRPr="00745191">
        <w:tab/>
      </w:r>
      <w:r w:rsidRPr="00745191">
        <w:rPr>
          <w:sz w:val="24"/>
        </w:rPr>
        <w:t>kompilace hloubkových analýz Tematické sekce C</w:t>
      </w:r>
      <w:r w:rsidR="00745191">
        <w:rPr>
          <w:sz w:val="24"/>
        </w:rPr>
        <w:t xml:space="preserve"> z </w:t>
      </w:r>
      <w:r w:rsidRPr="00745191">
        <w:rPr>
          <w:sz w:val="24"/>
        </w:rPr>
        <w:t>roku 2016, které byly vypracovány</w:t>
      </w:r>
      <w:r w:rsidR="00745191">
        <w:rPr>
          <w:sz w:val="24"/>
        </w:rPr>
        <w:t xml:space="preserve"> v </w:t>
      </w:r>
      <w:r w:rsidRPr="00745191">
        <w:rPr>
          <w:sz w:val="24"/>
        </w:rPr>
        <w:t>rámci semináře Výboru pro právní záležitosti</w:t>
      </w:r>
      <w:r w:rsidR="00745191">
        <w:rPr>
          <w:sz w:val="24"/>
        </w:rPr>
        <w:t xml:space="preserve"> o </w:t>
      </w:r>
      <w:r w:rsidRPr="00745191">
        <w:rPr>
          <w:sz w:val="24"/>
        </w:rPr>
        <w:t>provádění směrnice</w:t>
      </w:r>
      <w:r w:rsidR="00745191">
        <w:rPr>
          <w:sz w:val="24"/>
        </w:rPr>
        <w:t xml:space="preserve"> o </w:t>
      </w:r>
      <w:r w:rsidRPr="00745191">
        <w:rPr>
          <w:sz w:val="24"/>
        </w:rPr>
        <w:t>mediaci konaného dne 29. listopadu 2016,</w:t>
      </w:r>
    </w:p>
    <w:p w:rsidR="00F431BF" w:rsidRPr="00745191" w:rsidRDefault="009579FE" w:rsidP="009579FE">
      <w:pPr>
        <w:pStyle w:val="ListParagraph"/>
        <w:snapToGrid w:val="0"/>
        <w:ind w:hanging="360"/>
        <w:rPr>
          <w:sz w:val="24"/>
          <w:szCs w:val="24"/>
        </w:rPr>
      </w:pPr>
      <w:r w:rsidRPr="00745191">
        <w:rPr>
          <w:rFonts w:ascii="Wingdings" w:hAnsi="Wingdings"/>
          <w:sz w:val="24"/>
          <w:szCs w:val="24"/>
        </w:rPr>
        <w:t></w:t>
      </w:r>
      <w:r w:rsidRPr="00745191">
        <w:tab/>
      </w:r>
      <w:r w:rsidRPr="00745191">
        <w:rPr>
          <w:sz w:val="24"/>
        </w:rPr>
        <w:t>hodnocení provádění vypracovaného výzkumnou službou Evropského parlamentu</w:t>
      </w:r>
      <w:r w:rsidR="00745191">
        <w:rPr>
          <w:sz w:val="24"/>
        </w:rPr>
        <w:t xml:space="preserve"> z </w:t>
      </w:r>
      <w:r w:rsidRPr="00745191">
        <w:rPr>
          <w:sz w:val="24"/>
        </w:rPr>
        <w:t>roku 2016</w:t>
      </w:r>
      <w:r w:rsidR="00745191">
        <w:rPr>
          <w:sz w:val="24"/>
        </w:rPr>
        <w:t xml:space="preserve"> o </w:t>
      </w:r>
      <w:r w:rsidRPr="00745191">
        <w:rPr>
          <w:sz w:val="24"/>
        </w:rPr>
        <w:t>provádění směrnice</w:t>
      </w:r>
      <w:r w:rsidR="00745191">
        <w:rPr>
          <w:sz w:val="24"/>
        </w:rPr>
        <w:t xml:space="preserve"> o </w:t>
      </w:r>
      <w:r w:rsidRPr="00745191">
        <w:rPr>
          <w:sz w:val="24"/>
        </w:rPr>
        <w:t>mediaci</w:t>
      </w:r>
      <w:r w:rsidR="00745191">
        <w:rPr>
          <w:sz w:val="24"/>
        </w:rPr>
        <w:t xml:space="preserve"> a </w:t>
      </w:r>
      <w:r w:rsidRPr="00745191">
        <w:rPr>
          <w:sz w:val="24"/>
        </w:rPr>
        <w:t>jejím uplatňování</w:t>
      </w:r>
      <w:r w:rsidR="00745191">
        <w:rPr>
          <w:sz w:val="24"/>
        </w:rPr>
        <w:t xml:space="preserve"> v </w:t>
      </w:r>
      <w:r w:rsidRPr="00745191">
        <w:rPr>
          <w:sz w:val="24"/>
        </w:rPr>
        <w:t>členských státech od roku 2008,</w:t>
      </w:r>
    </w:p>
    <w:p w:rsidR="00F431BF" w:rsidRPr="00745191" w:rsidRDefault="009579FE" w:rsidP="009579FE">
      <w:pPr>
        <w:pStyle w:val="ListParagraph"/>
        <w:snapToGrid w:val="0"/>
        <w:ind w:hanging="360"/>
        <w:rPr>
          <w:sz w:val="24"/>
          <w:szCs w:val="24"/>
        </w:rPr>
      </w:pPr>
      <w:r w:rsidRPr="00745191">
        <w:rPr>
          <w:rFonts w:ascii="Wingdings" w:hAnsi="Wingdings"/>
          <w:sz w:val="24"/>
          <w:szCs w:val="24"/>
        </w:rPr>
        <w:t></w:t>
      </w:r>
      <w:r w:rsidRPr="00745191">
        <w:tab/>
      </w:r>
      <w:r w:rsidRPr="00745191">
        <w:rPr>
          <w:sz w:val="24"/>
        </w:rPr>
        <w:t>zprávy Komise Evropskému parlamentu, Radě</w:t>
      </w:r>
      <w:r w:rsidR="00745191">
        <w:rPr>
          <w:sz w:val="24"/>
        </w:rPr>
        <w:t xml:space="preserve"> a </w:t>
      </w:r>
      <w:r w:rsidRPr="00745191">
        <w:rPr>
          <w:sz w:val="24"/>
        </w:rPr>
        <w:t>Evropskému hospodářskému</w:t>
      </w:r>
      <w:r w:rsidR="00745191">
        <w:rPr>
          <w:sz w:val="24"/>
        </w:rPr>
        <w:t xml:space="preserve"> a </w:t>
      </w:r>
      <w:r w:rsidRPr="00745191">
        <w:rPr>
          <w:sz w:val="24"/>
        </w:rPr>
        <w:t>sociálnímu výboru</w:t>
      </w:r>
      <w:r w:rsidR="00745191">
        <w:rPr>
          <w:sz w:val="24"/>
        </w:rPr>
        <w:t xml:space="preserve"> z </w:t>
      </w:r>
      <w:r w:rsidRPr="00745191">
        <w:rPr>
          <w:sz w:val="24"/>
        </w:rPr>
        <w:t>roku 2016</w:t>
      </w:r>
      <w:r w:rsidR="00745191">
        <w:rPr>
          <w:sz w:val="24"/>
        </w:rPr>
        <w:t xml:space="preserve"> o </w:t>
      </w:r>
      <w:r w:rsidRPr="00745191">
        <w:rPr>
          <w:sz w:val="24"/>
        </w:rPr>
        <w:t>provádění směrnice Evropského parlamentu</w:t>
      </w:r>
      <w:r w:rsidR="00745191">
        <w:rPr>
          <w:sz w:val="24"/>
        </w:rPr>
        <w:t xml:space="preserve"> a </w:t>
      </w:r>
      <w:r w:rsidRPr="00745191">
        <w:rPr>
          <w:sz w:val="24"/>
        </w:rPr>
        <w:t>Rady 2008/52/ES</w:t>
      </w:r>
      <w:r w:rsidR="00745191">
        <w:rPr>
          <w:sz w:val="24"/>
        </w:rPr>
        <w:t xml:space="preserve"> o </w:t>
      </w:r>
      <w:r w:rsidRPr="00745191">
        <w:rPr>
          <w:sz w:val="24"/>
        </w:rPr>
        <w:t>některých aspektech mediace</w:t>
      </w:r>
      <w:r w:rsidR="00745191">
        <w:rPr>
          <w:sz w:val="24"/>
        </w:rPr>
        <w:t xml:space="preserve"> v </w:t>
      </w:r>
      <w:r w:rsidRPr="00745191">
        <w:rPr>
          <w:sz w:val="24"/>
        </w:rPr>
        <w:t>občanských</w:t>
      </w:r>
      <w:r w:rsidR="00745191">
        <w:rPr>
          <w:sz w:val="24"/>
        </w:rPr>
        <w:t xml:space="preserve"> a </w:t>
      </w:r>
      <w:r w:rsidRPr="00745191">
        <w:rPr>
          <w:sz w:val="24"/>
        </w:rPr>
        <w:t>obchodních věcech,</w:t>
      </w:r>
    </w:p>
    <w:p w:rsidR="00F431BF" w:rsidRPr="00745191" w:rsidRDefault="009579FE" w:rsidP="009579FE">
      <w:pPr>
        <w:pStyle w:val="ListParagraph"/>
        <w:snapToGrid w:val="0"/>
        <w:ind w:hanging="360"/>
        <w:rPr>
          <w:sz w:val="24"/>
          <w:szCs w:val="24"/>
        </w:rPr>
      </w:pPr>
      <w:r w:rsidRPr="00745191">
        <w:rPr>
          <w:rFonts w:ascii="Wingdings" w:hAnsi="Wingdings"/>
          <w:sz w:val="24"/>
          <w:szCs w:val="24"/>
        </w:rPr>
        <w:t></w:t>
      </w:r>
      <w:r w:rsidRPr="00745191">
        <w:tab/>
      </w:r>
      <w:r w:rsidRPr="00745191">
        <w:rPr>
          <w:sz w:val="24"/>
        </w:rPr>
        <w:t>studie</w:t>
      </w:r>
      <w:r w:rsidR="00745191">
        <w:rPr>
          <w:sz w:val="24"/>
        </w:rPr>
        <w:t xml:space="preserve"> z </w:t>
      </w:r>
      <w:r w:rsidRPr="00745191">
        <w:rPr>
          <w:sz w:val="24"/>
        </w:rPr>
        <w:t>roku 2013</w:t>
      </w:r>
      <w:r w:rsidR="00745191">
        <w:rPr>
          <w:sz w:val="24"/>
        </w:rPr>
        <w:t xml:space="preserve"> o </w:t>
      </w:r>
      <w:r w:rsidRPr="00745191">
        <w:rPr>
          <w:sz w:val="24"/>
        </w:rPr>
        <w:t>provádění směrnice</w:t>
      </w:r>
      <w:r w:rsidR="00745191">
        <w:rPr>
          <w:sz w:val="24"/>
        </w:rPr>
        <w:t xml:space="preserve"> o </w:t>
      </w:r>
      <w:r w:rsidRPr="00745191">
        <w:rPr>
          <w:sz w:val="24"/>
        </w:rPr>
        <w:t>mediaci, která byla provedena jménem Komise</w:t>
      </w:r>
      <w:r w:rsidR="00745191">
        <w:rPr>
          <w:sz w:val="24"/>
        </w:rPr>
        <w:t xml:space="preserve"> a </w:t>
      </w:r>
      <w:r w:rsidRPr="00745191">
        <w:rPr>
          <w:sz w:val="24"/>
        </w:rPr>
        <w:t>aktualizována</w:t>
      </w:r>
      <w:r w:rsidR="00745191">
        <w:rPr>
          <w:sz w:val="24"/>
        </w:rPr>
        <w:t xml:space="preserve"> v </w:t>
      </w:r>
      <w:r w:rsidRPr="00745191">
        <w:rPr>
          <w:sz w:val="24"/>
        </w:rPr>
        <w:t>roce 2016</w:t>
      </w:r>
      <w:r w:rsidRPr="00745191">
        <w:rPr>
          <w:rStyle w:val="FootnoteReference"/>
          <w:sz w:val="24"/>
        </w:rPr>
        <w:footnoteReference w:id="1"/>
      </w:r>
      <w:r w:rsidRPr="00745191">
        <w:rPr>
          <w:sz w:val="24"/>
        </w:rPr>
        <w:t>.</w:t>
      </w:r>
    </w:p>
    <w:p w:rsidR="00F431BF" w:rsidRPr="00745191" w:rsidRDefault="00F431BF" w:rsidP="00F431BF">
      <w:pPr>
        <w:pStyle w:val="ListParagraph"/>
        <w:rPr>
          <w:sz w:val="24"/>
          <w:szCs w:val="24"/>
        </w:rPr>
      </w:pPr>
    </w:p>
    <w:p w:rsidR="00F431BF" w:rsidRPr="00745191" w:rsidRDefault="009579FE" w:rsidP="009579FE">
      <w:pPr>
        <w:pStyle w:val="Normal12"/>
        <w:spacing w:after="0"/>
        <w:ind w:left="1080" w:hanging="360"/>
        <w:rPr>
          <w:rFonts w:eastAsia="Calibri"/>
          <w:b/>
        </w:rPr>
      </w:pPr>
      <w:r w:rsidRPr="00745191">
        <w:rPr>
          <w:b/>
        </w:rPr>
        <w:t>III.</w:t>
      </w:r>
      <w:r w:rsidRPr="00745191">
        <w:tab/>
      </w:r>
      <w:r w:rsidRPr="00745191">
        <w:rPr>
          <w:b/>
        </w:rPr>
        <w:t>Hlavní zjištění</w:t>
      </w:r>
    </w:p>
    <w:p w:rsidR="00F431BF" w:rsidRPr="00745191" w:rsidRDefault="00F431BF" w:rsidP="00F431BF">
      <w:pPr>
        <w:pStyle w:val="Normal12"/>
        <w:spacing w:after="0"/>
        <w:rPr>
          <w:rFonts w:eastAsia="Calibri"/>
          <w:b/>
        </w:rPr>
      </w:pPr>
    </w:p>
    <w:p w:rsidR="00F431BF" w:rsidRPr="00745191" w:rsidRDefault="00F431BF" w:rsidP="00F431BF">
      <w:pPr>
        <w:pStyle w:val="Normal12"/>
        <w:spacing w:after="0"/>
        <w:rPr>
          <w:rFonts w:eastAsia="Calibri"/>
        </w:rPr>
      </w:pPr>
      <w:r w:rsidRPr="00745191">
        <w:t xml:space="preserve">Na základě výše uvedených srovnávacích zdrojů informací je zřejmé, že: </w:t>
      </w:r>
    </w:p>
    <w:p w:rsidR="00F431BF" w:rsidRPr="00745191" w:rsidRDefault="00F431BF" w:rsidP="00F431BF">
      <w:pPr>
        <w:pStyle w:val="Normal12"/>
        <w:spacing w:after="0"/>
        <w:rPr>
          <w:rFonts w:eastAsia="Calibri"/>
        </w:rPr>
      </w:pPr>
    </w:p>
    <w:p w:rsidR="00F431BF" w:rsidRPr="00745191" w:rsidRDefault="009579FE" w:rsidP="00745191">
      <w:pPr>
        <w:pStyle w:val="Normal12"/>
        <w:numPr>
          <w:ilvl w:val="0"/>
          <w:numId w:val="47"/>
        </w:numPr>
        <w:spacing w:after="0"/>
        <w:rPr>
          <w:rFonts w:ascii="Symbol" w:eastAsia="Calibri" w:hAnsi="Symbol"/>
        </w:rPr>
      </w:pPr>
      <w:r w:rsidRPr="00745191">
        <w:t>téměř všechny členské státy se rozhodly rozšířit požadavky směrnice na vnitrostátní případy</w:t>
      </w:r>
      <w:r w:rsidRPr="00745191">
        <w:rPr>
          <w:rStyle w:val="FootnoteReference"/>
        </w:rPr>
        <w:footnoteReference w:id="2"/>
      </w:r>
      <w:r w:rsidRPr="00745191">
        <w:t>,</w:t>
      </w:r>
    </w:p>
    <w:p w:rsidR="00F431BF" w:rsidRPr="00745191" w:rsidRDefault="009579FE" w:rsidP="00745191">
      <w:pPr>
        <w:pStyle w:val="Normal12"/>
        <w:numPr>
          <w:ilvl w:val="0"/>
          <w:numId w:val="47"/>
        </w:numPr>
        <w:spacing w:after="0"/>
        <w:rPr>
          <w:rFonts w:ascii="Symbol" w:eastAsia="Calibri" w:hAnsi="Symbol"/>
        </w:rPr>
      </w:pPr>
      <w:r w:rsidRPr="00745191">
        <w:t>řada členských států umožňuje využívání mediace</w:t>
      </w:r>
      <w:r w:rsidR="00745191">
        <w:t xml:space="preserve"> v </w:t>
      </w:r>
      <w:r w:rsidRPr="00745191">
        <w:t>občanských</w:t>
      </w:r>
      <w:r w:rsidR="00745191">
        <w:t xml:space="preserve"> a </w:t>
      </w:r>
      <w:r w:rsidRPr="00745191">
        <w:t>obchodních věcech, včetně rodinných</w:t>
      </w:r>
      <w:r w:rsidR="00745191">
        <w:t xml:space="preserve"> a </w:t>
      </w:r>
      <w:r w:rsidRPr="00745191">
        <w:t>pracovních záležitostí, přičemž výslovně nevylučuje mediaci</w:t>
      </w:r>
      <w:r w:rsidR="00745191">
        <w:t xml:space="preserve"> v </w:t>
      </w:r>
      <w:r w:rsidRPr="00745191">
        <w:t>daňových, celních či správních věcech ani</w:t>
      </w:r>
      <w:r w:rsidR="00745191">
        <w:t xml:space="preserve"> v </w:t>
      </w:r>
      <w:r w:rsidRPr="00745191">
        <w:t>případech odpovědnosti státu za jednání</w:t>
      </w:r>
      <w:r w:rsidR="00745191">
        <w:t xml:space="preserve"> a </w:t>
      </w:r>
      <w:r w:rsidRPr="00745191">
        <w:t>opominutí při výkonu státní moci</w:t>
      </w:r>
      <w:r w:rsidRPr="00745191">
        <w:rPr>
          <w:rStyle w:val="FootnoteReference"/>
        </w:rPr>
        <w:footnoteReference w:id="3"/>
      </w:r>
      <w:r w:rsidRPr="00745191">
        <w:t>,</w:t>
      </w:r>
    </w:p>
    <w:p w:rsidR="00F431BF" w:rsidRPr="00745191" w:rsidRDefault="009579FE" w:rsidP="00745191">
      <w:pPr>
        <w:pStyle w:val="Normal12"/>
        <w:numPr>
          <w:ilvl w:val="0"/>
          <w:numId w:val="47"/>
        </w:numPr>
        <w:spacing w:after="0"/>
        <w:rPr>
          <w:rFonts w:ascii="Symbol" w:eastAsia="Calibri" w:hAnsi="Symbol"/>
        </w:rPr>
      </w:pPr>
      <w:r w:rsidRPr="00745191">
        <w:t>všechny členské státy předvídají možnost soudů vyzvat strany</w:t>
      </w:r>
      <w:r w:rsidR="00745191">
        <w:t xml:space="preserve"> k </w:t>
      </w:r>
      <w:r w:rsidRPr="00745191">
        <w:t>využití mediace</w:t>
      </w:r>
      <w:r w:rsidR="00745191">
        <w:t xml:space="preserve"> a </w:t>
      </w:r>
      <w:r w:rsidRPr="00745191">
        <w:t>15 členských států</w:t>
      </w:r>
      <w:r w:rsidRPr="00745191">
        <w:rPr>
          <w:rStyle w:val="FootnoteReference"/>
        </w:rPr>
        <w:footnoteReference w:id="4"/>
      </w:r>
      <w:r w:rsidRPr="00745191">
        <w:t xml:space="preserve"> zavedlo možnost soudů vyzvat strany</w:t>
      </w:r>
      <w:r w:rsidR="00745191">
        <w:t xml:space="preserve"> k </w:t>
      </w:r>
      <w:r w:rsidRPr="00745191">
        <w:t>účasti na informační schůzce</w:t>
      </w:r>
      <w:r w:rsidR="00745191">
        <w:t xml:space="preserve"> o </w:t>
      </w:r>
      <w:r w:rsidRPr="00745191">
        <w:t>mediaci,</w:t>
      </w:r>
    </w:p>
    <w:p w:rsidR="00F431BF" w:rsidRPr="00745191" w:rsidRDefault="009579FE" w:rsidP="00745191">
      <w:pPr>
        <w:pStyle w:val="Normal12"/>
        <w:numPr>
          <w:ilvl w:val="0"/>
          <w:numId w:val="47"/>
        </w:numPr>
        <w:spacing w:after="0"/>
        <w:rPr>
          <w:rFonts w:ascii="Symbol" w:eastAsia="Calibri" w:hAnsi="Symbol"/>
        </w:rPr>
      </w:pPr>
      <w:r w:rsidRPr="00745191">
        <w:t>méně než polovina členských států zavedla ve svých vnitrostátních právních předpisech povinnost šířit informace</w:t>
      </w:r>
      <w:r w:rsidR="00745191">
        <w:t xml:space="preserve"> o </w:t>
      </w:r>
      <w:r w:rsidRPr="00745191">
        <w:t>mediaci</w:t>
      </w:r>
      <w:r w:rsidRPr="00745191">
        <w:rPr>
          <w:rStyle w:val="FootnoteReference"/>
        </w:rPr>
        <w:footnoteReference w:id="5"/>
      </w:r>
      <w:r w:rsidRPr="00745191">
        <w:t>,</w:t>
      </w:r>
    </w:p>
    <w:p w:rsidR="00F431BF" w:rsidRPr="00745191" w:rsidRDefault="009579FE" w:rsidP="00745191">
      <w:pPr>
        <w:pStyle w:val="Normal12"/>
        <w:numPr>
          <w:ilvl w:val="0"/>
          <w:numId w:val="47"/>
        </w:numPr>
        <w:spacing w:after="0"/>
        <w:rPr>
          <w:rFonts w:ascii="Symbol" w:eastAsia="Calibri" w:hAnsi="Symbol"/>
        </w:rPr>
      </w:pPr>
      <w:r w:rsidRPr="00745191">
        <w:t>18 členských států zavedlo závazné mechanismy kontroly kvality</w:t>
      </w:r>
      <w:r w:rsidRPr="00745191">
        <w:rPr>
          <w:rStyle w:val="FootnoteReference"/>
        </w:rPr>
        <w:footnoteReference w:id="6"/>
      </w:r>
      <w:r w:rsidRPr="00745191">
        <w:t>,</w:t>
      </w:r>
    </w:p>
    <w:p w:rsidR="00F431BF" w:rsidRPr="00745191" w:rsidRDefault="009579FE" w:rsidP="00745191">
      <w:pPr>
        <w:pStyle w:val="Normal12"/>
        <w:numPr>
          <w:ilvl w:val="0"/>
          <w:numId w:val="47"/>
        </w:numPr>
        <w:spacing w:after="0"/>
        <w:rPr>
          <w:rFonts w:ascii="Symbol" w:eastAsia="Calibri" w:hAnsi="Symbol"/>
        </w:rPr>
      </w:pPr>
      <w:r w:rsidRPr="00745191">
        <w:t>19 členských států vyžaduje vypracování</w:t>
      </w:r>
      <w:r w:rsidR="00745191">
        <w:t xml:space="preserve"> a </w:t>
      </w:r>
      <w:r w:rsidRPr="00745191">
        <w:t>dodržování kodexů chování</w:t>
      </w:r>
      <w:r w:rsidRPr="00745191">
        <w:rPr>
          <w:rStyle w:val="FootnoteReference"/>
        </w:rPr>
        <w:footnoteReference w:id="7"/>
      </w:r>
      <w:r w:rsidRPr="00745191">
        <w:t>,</w:t>
      </w:r>
    </w:p>
    <w:p w:rsidR="00F431BF" w:rsidRPr="00745191" w:rsidRDefault="009579FE" w:rsidP="00745191">
      <w:pPr>
        <w:pStyle w:val="Normal12"/>
        <w:numPr>
          <w:ilvl w:val="0"/>
          <w:numId w:val="47"/>
        </w:numPr>
        <w:spacing w:after="0"/>
        <w:rPr>
          <w:rFonts w:ascii="Symbol" w:eastAsia="Calibri" w:hAnsi="Symbol"/>
        </w:rPr>
      </w:pPr>
      <w:r w:rsidRPr="00745191">
        <w:t>17 členských států podporuje odborné vzdělávání nebo jej upravuje ve svých vnitrostátních právních předpisech</w:t>
      </w:r>
      <w:r w:rsidRPr="00745191">
        <w:rPr>
          <w:rStyle w:val="FootnoteReference"/>
        </w:rPr>
        <w:footnoteReference w:id="8"/>
      </w:r>
      <w:r w:rsidRPr="00745191">
        <w:t>.</w:t>
      </w:r>
    </w:p>
    <w:p w:rsidR="00F431BF" w:rsidRPr="00745191" w:rsidRDefault="00F431BF" w:rsidP="00F431BF">
      <w:pPr>
        <w:rPr>
          <w:szCs w:val="24"/>
        </w:rPr>
      </w:pPr>
    </w:p>
    <w:p w:rsidR="00F431BF" w:rsidRPr="00745191" w:rsidRDefault="009579FE" w:rsidP="009579FE">
      <w:pPr>
        <w:pStyle w:val="ListParagraph"/>
        <w:snapToGrid w:val="0"/>
        <w:ind w:left="1080" w:hanging="360"/>
        <w:rPr>
          <w:b/>
          <w:sz w:val="24"/>
          <w:szCs w:val="24"/>
        </w:rPr>
      </w:pPr>
      <w:r w:rsidRPr="00745191">
        <w:rPr>
          <w:b/>
          <w:sz w:val="24"/>
        </w:rPr>
        <w:t>IV.</w:t>
      </w:r>
      <w:r w:rsidRPr="00745191">
        <w:tab/>
      </w:r>
      <w:r w:rsidRPr="00745191">
        <w:rPr>
          <w:b/>
          <w:sz w:val="24"/>
        </w:rPr>
        <w:t>Vyvážený vztah mezi mediací</w:t>
      </w:r>
      <w:r w:rsidR="00745191">
        <w:rPr>
          <w:b/>
          <w:sz w:val="24"/>
        </w:rPr>
        <w:t xml:space="preserve"> a </w:t>
      </w:r>
      <w:r w:rsidRPr="00745191">
        <w:rPr>
          <w:b/>
          <w:sz w:val="24"/>
        </w:rPr>
        <w:t>soudním řízením</w:t>
      </w:r>
    </w:p>
    <w:p w:rsidR="00F431BF" w:rsidRPr="00745191" w:rsidRDefault="00F431BF" w:rsidP="00F431BF">
      <w:pPr>
        <w:rPr>
          <w:szCs w:val="24"/>
        </w:rPr>
      </w:pPr>
    </w:p>
    <w:p w:rsidR="00F431BF" w:rsidRPr="00745191" w:rsidRDefault="00F431BF" w:rsidP="00F431BF">
      <w:pPr>
        <w:rPr>
          <w:szCs w:val="24"/>
        </w:rPr>
      </w:pPr>
      <w:r w:rsidRPr="00745191">
        <w:t>Zásada přístupu ke spravedlnosti je velmi významná</w:t>
      </w:r>
      <w:r w:rsidR="00745191">
        <w:t xml:space="preserve"> a </w:t>
      </w:r>
      <w:r w:rsidRPr="00745191">
        <w:t>je jedním</w:t>
      </w:r>
      <w:r w:rsidR="00745191">
        <w:t xml:space="preserve"> z </w:t>
      </w:r>
      <w:r w:rsidRPr="00745191">
        <w:t>hlavních cílů politiky EU</w:t>
      </w:r>
      <w:r w:rsidR="00745191">
        <w:t xml:space="preserve"> v </w:t>
      </w:r>
      <w:r w:rsidRPr="00745191">
        <w:t>oblasti justiční spolupráce</w:t>
      </w:r>
      <w:r w:rsidR="00745191">
        <w:t xml:space="preserve"> v </w:t>
      </w:r>
      <w:r w:rsidRPr="00745191">
        <w:t>občanských věcech. Evropská rada na svém zasedání</w:t>
      </w:r>
      <w:r w:rsidR="00745191">
        <w:t xml:space="preserve"> v </w:t>
      </w:r>
      <w:r w:rsidRPr="00745191">
        <w:t>Tampere konaném ve dnech 15.</w:t>
      </w:r>
      <w:r w:rsidR="00745191">
        <w:t xml:space="preserve"> a </w:t>
      </w:r>
      <w:r w:rsidRPr="00745191">
        <w:t>16. října 1999 vyzvala členské státy, aby na podporu lepšího přístupu ke spravedlnosti zavedly alternativní, mimosoudní řízení. Efektivní</w:t>
      </w:r>
      <w:r w:rsidR="00745191">
        <w:t xml:space="preserve"> a </w:t>
      </w:r>
      <w:r w:rsidRPr="00745191">
        <w:t>účinné soudnictví má zásadní význam pro řádné fungování vnitřního trhu, hospodářskou stabilitu, investice</w:t>
      </w:r>
      <w:r w:rsidR="00745191">
        <w:t xml:space="preserve"> i </w:t>
      </w:r>
      <w:r w:rsidRPr="00745191">
        <w:t>konkurenceschopnost. Podporuje důvěru</w:t>
      </w:r>
      <w:r w:rsidR="00745191">
        <w:t xml:space="preserve"> v </w:t>
      </w:r>
      <w:r w:rsidRPr="00745191">
        <w:t>rámci obchodních transakcí, usnadňuje řešení sporů</w:t>
      </w:r>
      <w:r w:rsidR="00745191">
        <w:t xml:space="preserve"> a </w:t>
      </w:r>
      <w:r w:rsidRPr="00745191">
        <w:t>pomáhá zajistit důvěru nezbytnou</w:t>
      </w:r>
      <w:r w:rsidR="00745191">
        <w:t xml:space="preserve"> k </w:t>
      </w:r>
      <w:r w:rsidRPr="00745191">
        <w:t xml:space="preserve">povzbuzení hospodářské činnosti. </w:t>
      </w:r>
    </w:p>
    <w:p w:rsidR="00F431BF" w:rsidRPr="00745191" w:rsidRDefault="00F431BF" w:rsidP="00F431BF">
      <w:pPr>
        <w:rPr>
          <w:szCs w:val="24"/>
        </w:rPr>
      </w:pPr>
    </w:p>
    <w:p w:rsidR="00F431BF" w:rsidRPr="00745191" w:rsidRDefault="00F431BF" w:rsidP="00F431BF">
      <w:pPr>
        <w:rPr>
          <w:szCs w:val="24"/>
        </w:rPr>
      </w:pPr>
      <w:r w:rsidRPr="00745191">
        <w:t>V souladu</w:t>
      </w:r>
      <w:r w:rsidR="00745191">
        <w:t xml:space="preserve"> s </w:t>
      </w:r>
      <w:r w:rsidRPr="00745191">
        <w:t>programem Spravedlnost pro růst</w:t>
      </w:r>
      <w:r w:rsidR="00745191">
        <w:t xml:space="preserve"> a </w:t>
      </w:r>
      <w:r w:rsidRPr="00745191">
        <w:t>strategií Evropa 2020 by mediace mohla být vnímána jako prostředek ke zlepšení účinnosti soudnictví</w:t>
      </w:r>
      <w:r w:rsidR="00745191">
        <w:t xml:space="preserve"> a k </w:t>
      </w:r>
      <w:r w:rsidRPr="00745191">
        <w:t>omezení překážek, které zdlouhavé</w:t>
      </w:r>
      <w:r w:rsidR="00745191">
        <w:t xml:space="preserve"> a </w:t>
      </w:r>
      <w:r w:rsidRPr="00745191">
        <w:t>nákladné soudní řízení vytváří pro občany</w:t>
      </w:r>
      <w:r w:rsidR="00745191">
        <w:t xml:space="preserve"> a </w:t>
      </w:r>
      <w:r w:rsidRPr="00745191">
        <w:t>podniky, může tedy přispět</w:t>
      </w:r>
      <w:r w:rsidR="00745191">
        <w:t xml:space="preserve"> k </w:t>
      </w:r>
      <w:r w:rsidRPr="00745191">
        <w:t>hospodářskému růstu. Mediace může být rovněž přínosem</w:t>
      </w:r>
      <w:r w:rsidR="00745191">
        <w:t xml:space="preserve"> k </w:t>
      </w:r>
      <w:r w:rsidRPr="00745191">
        <w:t>zachování dobrých vztahů mezi stranami sporu, jelikož na rozdíl od soudního řízení zde neexistuje „vítězná“ či „poražená“ strana, což je obzvláště důležité například</w:t>
      </w:r>
      <w:r w:rsidR="00745191">
        <w:t xml:space="preserve"> v </w:t>
      </w:r>
      <w:r w:rsidRPr="00745191">
        <w:t>případech</w:t>
      </w:r>
      <w:r w:rsidR="00745191">
        <w:t xml:space="preserve"> v </w:t>
      </w:r>
      <w:r w:rsidRPr="00745191">
        <w:t>oblasti rodinného práva.</w:t>
      </w:r>
    </w:p>
    <w:p w:rsidR="00F431BF" w:rsidRPr="00745191" w:rsidRDefault="00F431BF" w:rsidP="00F431BF">
      <w:pPr>
        <w:rPr>
          <w:szCs w:val="24"/>
        </w:rPr>
      </w:pPr>
    </w:p>
    <w:p w:rsidR="00F431BF" w:rsidRPr="00745191" w:rsidRDefault="00F431BF" w:rsidP="00F431BF">
      <w:pPr>
        <w:rPr>
          <w:szCs w:val="24"/>
        </w:rPr>
      </w:pPr>
      <w:r w:rsidRPr="00745191">
        <w:t>Zpravodaj je toho názoru, že ačkoliv by zavedení povinné mediace podpořilo využívání mediace jakožto alternativy</w:t>
      </w:r>
      <w:r w:rsidR="00745191">
        <w:t xml:space="preserve"> k </w:t>
      </w:r>
      <w:r w:rsidRPr="00745191">
        <w:t>soudnímu řešení sporů, takový postup by byl</w:t>
      </w:r>
      <w:r w:rsidR="00745191">
        <w:t xml:space="preserve"> v </w:t>
      </w:r>
      <w:r w:rsidRPr="00745191">
        <w:t>rozporu</w:t>
      </w:r>
      <w:r w:rsidR="00745191">
        <w:t xml:space="preserve"> s </w:t>
      </w:r>
      <w:r w:rsidRPr="00745191">
        <w:t>dobrovolnou povahou mediace</w:t>
      </w:r>
      <w:r w:rsidR="00745191">
        <w:t xml:space="preserve"> a </w:t>
      </w:r>
      <w:r w:rsidRPr="00745191">
        <w:t>ovlivnil by výkon práva na účinnou soudní ochranu, které je stanoveno</w:t>
      </w:r>
      <w:r w:rsidR="00745191">
        <w:t xml:space="preserve"> v </w:t>
      </w:r>
      <w:r w:rsidRPr="00745191">
        <w:t>článku 47 Listiny. Jak je uvedeno</w:t>
      </w:r>
      <w:r w:rsidR="00745191">
        <w:t xml:space="preserve"> v </w:t>
      </w:r>
      <w:r w:rsidRPr="00745191">
        <w:t>rozsudku</w:t>
      </w:r>
      <w:r w:rsidRPr="00745191">
        <w:rPr>
          <w:rStyle w:val="FootnoteReference"/>
        </w:rPr>
        <w:footnoteReference w:id="9"/>
      </w:r>
      <w:r w:rsidRPr="00745191">
        <w:t xml:space="preserve"> Soudního dvora ve věci </w:t>
      </w:r>
      <w:r w:rsidRPr="00745191">
        <w:rPr>
          <w:i/>
        </w:rPr>
        <w:t>Alassini</w:t>
      </w:r>
      <w:r w:rsidRPr="00745191">
        <w:t>, ačkoliv by předchozí uskutečnění řízení</w:t>
      </w:r>
      <w:r w:rsidR="00745191">
        <w:t xml:space="preserve"> o </w:t>
      </w:r>
      <w:r w:rsidRPr="00745191">
        <w:t>mimosoudním urovnání sporu</w:t>
      </w:r>
      <w:r w:rsidR="00745191">
        <w:t xml:space="preserve"> u </w:t>
      </w:r>
      <w:r w:rsidRPr="00745191">
        <w:t>některých sporů nebylo samo</w:t>
      </w:r>
      <w:r w:rsidR="00745191">
        <w:t xml:space="preserve"> o </w:t>
      </w:r>
      <w:r w:rsidRPr="00745191">
        <w:t>sobě problematické, bylo by třeba za</w:t>
      </w:r>
      <w:r w:rsidR="001C618B" w:rsidRPr="00745191">
        <w:t>vést řadu ochranných opatření</w:t>
      </w:r>
      <w:r w:rsidR="00745191">
        <w:t xml:space="preserve"> k </w:t>
      </w:r>
      <w:r w:rsidRPr="00745191">
        <w:t>zajištění toho, že nebude bráněno účinné soudní ochraně,</w:t>
      </w:r>
      <w:r w:rsidR="00745191">
        <w:t xml:space="preserve"> a </w:t>
      </w:r>
      <w:r w:rsidRPr="00745191">
        <w:t>to včetně nezávazné povahy rozhodnutí dosaženého</w:t>
      </w:r>
      <w:r w:rsidR="00745191">
        <w:t xml:space="preserve"> v </w:t>
      </w:r>
      <w:r w:rsidRPr="00745191">
        <w:t>mimosoudních řízeních, rychlého ukončení těchto řízení</w:t>
      </w:r>
      <w:r w:rsidR="00745191">
        <w:t xml:space="preserve"> s </w:t>
      </w:r>
      <w:r w:rsidRPr="00745191">
        <w:t>nízkými náklady</w:t>
      </w:r>
      <w:r w:rsidR="00745191">
        <w:t xml:space="preserve"> a </w:t>
      </w:r>
      <w:r w:rsidRPr="00745191">
        <w:t>dostupnosti předběžných opatření ve výjimečných případech, kdy to vyžaduje naléhavost situace</w:t>
      </w:r>
      <w:r w:rsidRPr="00745191">
        <w:rPr>
          <w:i/>
        </w:rPr>
        <w:t xml:space="preserve">. </w:t>
      </w:r>
      <w:r w:rsidRPr="00745191">
        <w:t>Ustanovení čl. 5 odst. 2 směrnice</w:t>
      </w:r>
      <w:r w:rsidR="00745191">
        <w:t xml:space="preserve"> o </w:t>
      </w:r>
      <w:r w:rsidRPr="00745191">
        <w:t>mediaci</w:t>
      </w:r>
      <w:r w:rsidR="00745191">
        <w:t xml:space="preserve"> v </w:t>
      </w:r>
      <w:r w:rsidRPr="00745191">
        <w:t>souladu</w:t>
      </w:r>
      <w:r w:rsidR="00745191">
        <w:t xml:space="preserve"> s </w:t>
      </w:r>
      <w:r w:rsidRPr="00745191">
        <w:t>tím umožňuje členským státům učinit využití mediace povinným nebo předmětem pobídek či sankcí, ať už před zahájením soudního řízení nebo po jeho zahájení, za předpokladu, že to nebrání stranám sporu ve výkonu jejich práva na přístup</w:t>
      </w:r>
      <w:r w:rsidR="00745191">
        <w:t xml:space="preserve"> k </w:t>
      </w:r>
      <w:r w:rsidRPr="00745191">
        <w:t>soudům.</w:t>
      </w:r>
    </w:p>
    <w:p w:rsidR="00F431BF" w:rsidRPr="00745191" w:rsidRDefault="00F431BF" w:rsidP="00F431BF">
      <w:pPr>
        <w:rPr>
          <w:szCs w:val="24"/>
        </w:rPr>
      </w:pPr>
    </w:p>
    <w:p w:rsidR="00F431BF" w:rsidRPr="00745191" w:rsidRDefault="00F431BF" w:rsidP="00F431BF">
      <w:pPr>
        <w:pStyle w:val="Normal12"/>
        <w:spacing w:after="0"/>
        <w:rPr>
          <w:rFonts w:eastAsia="Calibri"/>
        </w:rPr>
      </w:pPr>
      <w:r w:rsidRPr="00745191">
        <w:t>Zpravodaj se domnívá, že je třeba zavést náležitá ochranná opatření</w:t>
      </w:r>
      <w:r w:rsidR="00745191">
        <w:t xml:space="preserve"> v </w:t>
      </w:r>
      <w:r w:rsidRPr="00745191">
        <w:t>mediačních řízeních</w:t>
      </w:r>
      <w:r w:rsidR="00745191">
        <w:t xml:space="preserve"> s </w:t>
      </w:r>
      <w:r w:rsidRPr="00745191">
        <w:t>cílem snížit riziko, že by slabším stranám, jako jsou spotřebitelé</w:t>
      </w:r>
      <w:r w:rsidR="00745191">
        <w:t xml:space="preserve"> a </w:t>
      </w:r>
      <w:r w:rsidRPr="00745191">
        <w:t>nezastoupené strany ve sporu, mohlo být upíráno jejich právo na nezávislé soudní posouzení nebo by mohli nabýt dojmu, že</w:t>
      </w:r>
      <w:r w:rsidR="00745191">
        <w:t xml:space="preserve"> k </w:t>
      </w:r>
      <w:r w:rsidRPr="00745191">
        <w:t>takovému upírání práva dochází.</w:t>
      </w:r>
      <w:r w:rsidR="00745191">
        <w:t xml:space="preserve"> Z </w:t>
      </w:r>
      <w:r w:rsidRPr="00745191">
        <w:t>toho důvodu je nanejvýš důležité, aby ti, kdo mediaci doporučují, vyžadují nebo provádějí, zajistili, že slabší strany sporu nepřistoupí</w:t>
      </w:r>
      <w:r w:rsidR="00745191">
        <w:t xml:space="preserve"> k </w:t>
      </w:r>
      <w:r w:rsidRPr="00745191">
        <w:t>urovnání sporu, aniž by rozuměly svým zákonným právům,</w:t>
      </w:r>
      <w:r w:rsidR="00745191">
        <w:t xml:space="preserve"> a </w:t>
      </w:r>
      <w:r w:rsidRPr="00745191">
        <w:t>že silnější strany sporu nebudou využívat urychlených postupů řešení sporů včetně mediace jako prostředku</w:t>
      </w:r>
      <w:r w:rsidR="00745191">
        <w:t xml:space="preserve"> k </w:t>
      </w:r>
      <w:r w:rsidRPr="00745191">
        <w:t>vyhnutí se svým právním povinnostem či</w:t>
      </w:r>
      <w:r w:rsidR="00745191">
        <w:t xml:space="preserve"> k </w:t>
      </w:r>
      <w:r w:rsidRPr="00745191">
        <w:t>nepatřičnému posílení svého postavení vůči ostatním stranám.</w:t>
      </w:r>
    </w:p>
    <w:p w:rsidR="00D644FF" w:rsidRPr="00745191" w:rsidRDefault="00D644FF" w:rsidP="00D644FF">
      <w:pPr>
        <w:pStyle w:val="Normal12"/>
        <w:spacing w:after="0"/>
      </w:pPr>
      <w:r w:rsidRPr="00745191">
        <w:br w:type="page"/>
      </w:r>
    </w:p>
    <w:p w:rsidR="00D644FF" w:rsidRPr="00745191" w:rsidRDefault="00D644FF" w:rsidP="00D644FF">
      <w:pPr>
        <w:pStyle w:val="PageHeading"/>
        <w:rPr>
          <w:b w:val="0"/>
        </w:rPr>
      </w:pPr>
      <w:bookmarkStart w:id="5" w:name="_Toc476815743"/>
      <w:bookmarkStart w:id="6" w:name="_Toc491359619"/>
      <w:r w:rsidRPr="00745191">
        <w:t>NÁVRH USNESENÍ EVROPSKÉHO PARLAMENTU</w:t>
      </w:r>
      <w:bookmarkEnd w:id="5"/>
      <w:bookmarkEnd w:id="6"/>
    </w:p>
    <w:p w:rsidR="00D644FF" w:rsidRPr="00745191" w:rsidRDefault="00D644FF" w:rsidP="00D644FF">
      <w:pPr>
        <w:rPr>
          <w:szCs w:val="24"/>
        </w:rPr>
      </w:pPr>
    </w:p>
    <w:p w:rsidR="00D644FF" w:rsidRPr="00745191" w:rsidRDefault="00D644FF" w:rsidP="00D644FF">
      <w:pPr>
        <w:pStyle w:val="BodyText"/>
        <w:tabs>
          <w:tab w:val="clear" w:pos="-774"/>
          <w:tab w:val="clear" w:pos="-114"/>
          <w:tab w:val="clear" w:pos="283"/>
          <w:tab w:val="clear" w:pos="645"/>
          <w:tab w:val="clear" w:pos="849"/>
          <w:tab w:val="clear" w:pos="1021"/>
          <w:tab w:val="clear" w:pos="1132"/>
          <w:tab w:val="clear" w:pos="1416"/>
          <w:tab w:val="clear" w:pos="1700"/>
          <w:tab w:val="clear" w:pos="1786"/>
          <w:tab w:val="clear" w:pos="2381"/>
          <w:tab w:val="clear" w:pos="2445"/>
          <w:tab w:val="clear" w:pos="2948"/>
          <w:tab w:val="clear" w:pos="3045"/>
          <w:tab w:val="clear" w:pos="3572"/>
          <w:tab w:val="clear" w:pos="3645"/>
          <w:tab w:val="clear" w:pos="4139"/>
          <w:tab w:val="clear" w:pos="4245"/>
          <w:tab w:val="clear" w:pos="4763"/>
          <w:tab w:val="clear" w:pos="4845"/>
          <w:tab w:val="clear" w:pos="5387"/>
          <w:tab w:val="clear" w:pos="5445"/>
          <w:tab w:val="clear" w:pos="5668"/>
          <w:tab w:val="clear" w:pos="5952"/>
          <w:tab w:val="clear" w:pos="6235"/>
          <w:tab w:val="clear" w:pos="6518"/>
          <w:tab w:val="clear" w:pos="6577"/>
          <w:tab w:val="clear" w:pos="7144"/>
          <w:tab w:val="clear" w:pos="7245"/>
          <w:tab w:val="clear" w:pos="7845"/>
          <w:tab w:val="clear" w:pos="8445"/>
          <w:tab w:val="clear" w:pos="9045"/>
        </w:tabs>
        <w:rPr>
          <w:szCs w:val="24"/>
        </w:rPr>
      </w:pPr>
      <w:r w:rsidRPr="00745191">
        <w:t>o provádění směrnice Evropského parlamentu</w:t>
      </w:r>
      <w:r w:rsidR="00745191">
        <w:t xml:space="preserve"> a </w:t>
      </w:r>
      <w:r w:rsidRPr="00745191">
        <w:t>Rady 2008/52/ES ze dne 21. května 2008</w:t>
      </w:r>
      <w:r w:rsidR="00745191">
        <w:t xml:space="preserve"> o </w:t>
      </w:r>
      <w:r w:rsidRPr="00745191">
        <w:t>některých aspektech mediace</w:t>
      </w:r>
      <w:r w:rsidR="00745191">
        <w:t xml:space="preserve"> v </w:t>
      </w:r>
      <w:r w:rsidRPr="00745191">
        <w:t>občanských</w:t>
      </w:r>
      <w:r w:rsidR="00745191">
        <w:t xml:space="preserve"> a </w:t>
      </w:r>
      <w:r w:rsidRPr="00745191">
        <w:t>obchodních věcech („směrnice</w:t>
      </w:r>
      <w:r w:rsidR="00745191">
        <w:t xml:space="preserve"> o </w:t>
      </w:r>
      <w:r w:rsidRPr="00745191">
        <w:t>mediaci“) (2016/2066(INI))</w:t>
      </w:r>
    </w:p>
    <w:p w:rsidR="00D644FF" w:rsidRPr="00745191" w:rsidRDefault="00D644FF" w:rsidP="00D644FF">
      <w:pPr>
        <w:rPr>
          <w:szCs w:val="24"/>
        </w:rPr>
      </w:pPr>
    </w:p>
    <w:p w:rsidR="00D644FF" w:rsidRPr="00745191" w:rsidRDefault="00D644FF" w:rsidP="00D644FF">
      <w:pPr>
        <w:pStyle w:val="ListBullet"/>
        <w:rPr>
          <w:szCs w:val="24"/>
        </w:rPr>
      </w:pPr>
      <w:r w:rsidRPr="00745191">
        <w:t>Evropský parlament</w:t>
      </w:r>
      <w:r w:rsidRPr="00745191">
        <w:rPr>
          <w:i w:val="0"/>
        </w:rPr>
        <w:t>,</w:t>
      </w:r>
    </w:p>
    <w:p w:rsidR="00D644FF" w:rsidRPr="00745191" w:rsidRDefault="00D644FF" w:rsidP="00D644FF">
      <w:pPr>
        <w:rPr>
          <w:szCs w:val="24"/>
        </w:rPr>
      </w:pPr>
    </w:p>
    <w:p w:rsidR="00F431BF" w:rsidRPr="00745191" w:rsidRDefault="00D644FF" w:rsidP="00866F99">
      <w:pPr>
        <w:pStyle w:val="Normal12Hanging"/>
        <w:rPr>
          <w:vertAlign w:val="superscript"/>
        </w:rPr>
      </w:pPr>
      <w:r w:rsidRPr="00745191">
        <w:t>–</w:t>
      </w:r>
      <w:r w:rsidRPr="00745191">
        <w:tab/>
        <w:t>s ohledem na směrnici Evropského parlamentu</w:t>
      </w:r>
      <w:r w:rsidR="00745191">
        <w:t xml:space="preserve"> a </w:t>
      </w:r>
      <w:r w:rsidRPr="00745191">
        <w:t>Rady 2008/52/ES ze dne 21. května 2008</w:t>
      </w:r>
      <w:r w:rsidR="00745191">
        <w:t xml:space="preserve"> o </w:t>
      </w:r>
      <w:r w:rsidRPr="00745191">
        <w:t>některých aspektech mediace</w:t>
      </w:r>
      <w:r w:rsidR="00745191">
        <w:t xml:space="preserve"> v </w:t>
      </w:r>
      <w:r w:rsidRPr="00745191">
        <w:t>občanských</w:t>
      </w:r>
      <w:r w:rsidR="00745191">
        <w:t xml:space="preserve"> a </w:t>
      </w:r>
      <w:r w:rsidRPr="00745191">
        <w:t>obchodních věcech („směrnici</w:t>
      </w:r>
      <w:r w:rsidR="00745191">
        <w:t xml:space="preserve"> o </w:t>
      </w:r>
      <w:r w:rsidRPr="00745191">
        <w:t>mediaci“)</w:t>
      </w:r>
      <w:r w:rsidRPr="00745191">
        <w:rPr>
          <w:rStyle w:val="FootnoteReference"/>
        </w:rPr>
        <w:footnoteReference w:id="10"/>
      </w:r>
      <w:r w:rsidRPr="00745191">
        <w:t>,</w:t>
      </w:r>
    </w:p>
    <w:p w:rsidR="00F431BF" w:rsidRPr="00745191" w:rsidRDefault="00F431BF" w:rsidP="00866F99">
      <w:pPr>
        <w:pStyle w:val="Normal12Hanging"/>
        <w:rPr>
          <w:vertAlign w:val="superscript"/>
        </w:rPr>
      </w:pPr>
      <w:r w:rsidRPr="00745191">
        <w:t>–</w:t>
      </w:r>
      <w:r w:rsidRPr="00745191">
        <w:tab/>
        <w:t>s ohledem na zprávu Komise Evropskému parlamentu, Radě</w:t>
      </w:r>
      <w:r w:rsidR="00745191">
        <w:t xml:space="preserve"> a </w:t>
      </w:r>
      <w:r w:rsidRPr="00745191">
        <w:t>Evropskému hospodářskému</w:t>
      </w:r>
      <w:r w:rsidR="00745191">
        <w:t xml:space="preserve"> a </w:t>
      </w:r>
      <w:r w:rsidRPr="00745191">
        <w:t>sociálnímu výboru</w:t>
      </w:r>
      <w:r w:rsidR="00745191">
        <w:t xml:space="preserve"> o </w:t>
      </w:r>
      <w:r w:rsidRPr="00745191">
        <w:t>provádění směrnice Evropského parlamentu</w:t>
      </w:r>
      <w:r w:rsidR="00745191">
        <w:t xml:space="preserve"> a </w:t>
      </w:r>
      <w:r w:rsidRPr="00745191">
        <w:t>Rady 2008/52/ES</w:t>
      </w:r>
      <w:r w:rsidR="00745191">
        <w:t xml:space="preserve"> o </w:t>
      </w:r>
      <w:r w:rsidRPr="00745191">
        <w:t>některých aspektech mediace</w:t>
      </w:r>
      <w:r w:rsidR="00745191">
        <w:t xml:space="preserve"> v </w:t>
      </w:r>
      <w:r w:rsidRPr="00745191">
        <w:t>občanských</w:t>
      </w:r>
      <w:r w:rsidR="00745191">
        <w:t xml:space="preserve"> a </w:t>
      </w:r>
      <w:r w:rsidRPr="00745191">
        <w:t>obchodních věcech (COM(2016)0542),</w:t>
      </w:r>
    </w:p>
    <w:p w:rsidR="00F431BF" w:rsidRPr="00745191" w:rsidRDefault="00F431BF" w:rsidP="00866F99">
      <w:pPr>
        <w:pStyle w:val="Normal12Hanging"/>
        <w:rPr>
          <w:vertAlign w:val="superscript"/>
        </w:rPr>
      </w:pPr>
      <w:r w:rsidRPr="00745191">
        <w:t>–</w:t>
      </w:r>
      <w:r w:rsidRPr="00745191">
        <w:tab/>
        <w:t>s ohledem na kompilaci hloubkových analýz Generálního ředitelství pro vnitřní politiky</w:t>
      </w:r>
      <w:r w:rsidR="00745191">
        <w:t xml:space="preserve"> s </w:t>
      </w:r>
      <w:r w:rsidRPr="00745191">
        <w:t>názvem „The implementation of the Mediation Directive – 29 November 2016“ (Provádění směrnice</w:t>
      </w:r>
      <w:r w:rsidR="00745191">
        <w:t xml:space="preserve"> o </w:t>
      </w:r>
      <w:r w:rsidRPr="00745191">
        <w:t>mediaci – 29. listopadu 2016)</w:t>
      </w:r>
      <w:r w:rsidRPr="00745191">
        <w:rPr>
          <w:rStyle w:val="FootnoteReference"/>
        </w:rPr>
        <w:footnoteReference w:id="11"/>
      </w:r>
      <w:r w:rsidRPr="00745191">
        <w:t>,</w:t>
      </w:r>
    </w:p>
    <w:p w:rsidR="00F431BF" w:rsidRPr="00745191" w:rsidRDefault="00F431BF" w:rsidP="00866F99">
      <w:pPr>
        <w:pStyle w:val="Normal12Hanging"/>
        <w:rPr>
          <w:vertAlign w:val="superscript"/>
        </w:rPr>
      </w:pPr>
      <w:r w:rsidRPr="00745191">
        <w:t>–</w:t>
      </w:r>
      <w:r w:rsidRPr="00745191">
        <w:tab/>
        <w:t>s ohledem na studii Komise</w:t>
      </w:r>
      <w:r w:rsidR="00745191">
        <w:t xml:space="preserve"> s </w:t>
      </w:r>
      <w:r w:rsidRPr="00745191">
        <w:t>názvem „Study for an evaluation and implementation of Directive 2008/52/EC – the ‚Mediation Directive‘“ (Studie za účelem hodnocení</w:t>
      </w:r>
      <w:r w:rsidR="00745191">
        <w:t xml:space="preserve"> a </w:t>
      </w:r>
      <w:r w:rsidRPr="00745191">
        <w:t>provádění směrnice 2008/52/ES – směrnice</w:t>
      </w:r>
      <w:r w:rsidR="00745191">
        <w:t xml:space="preserve"> o </w:t>
      </w:r>
      <w:r w:rsidRPr="00745191">
        <w:t>mediaci)</w:t>
      </w:r>
      <w:r w:rsidR="00745191">
        <w:t xml:space="preserve"> z </w:t>
      </w:r>
      <w:r w:rsidRPr="00745191">
        <w:t>roku 2014</w:t>
      </w:r>
      <w:r w:rsidRPr="00745191">
        <w:rPr>
          <w:rStyle w:val="FootnoteReference"/>
        </w:rPr>
        <w:footnoteReference w:id="12"/>
      </w:r>
      <w:r w:rsidRPr="00745191">
        <w:t>,</w:t>
      </w:r>
    </w:p>
    <w:p w:rsidR="00F431BF" w:rsidRPr="00745191" w:rsidRDefault="00F431BF" w:rsidP="00866F99">
      <w:pPr>
        <w:pStyle w:val="Normal12Hanging"/>
        <w:rPr>
          <w:vertAlign w:val="superscript"/>
        </w:rPr>
      </w:pPr>
      <w:r w:rsidRPr="00745191">
        <w:t>–</w:t>
      </w:r>
      <w:r w:rsidRPr="00745191">
        <w:tab/>
        <w:t>s ohledem na studii Generálního ředitelství pro vnitřní politiky</w:t>
      </w:r>
      <w:r w:rsidR="00745191">
        <w:t xml:space="preserve"> s </w:t>
      </w:r>
      <w:r w:rsidRPr="00745191">
        <w:t>názvem „Rebooting the Mediation Directive: Assessing the limited impact of its implementation and proposing measures to increase the number of mediations in the EU“ (Restart směrnice</w:t>
      </w:r>
      <w:r w:rsidR="00745191">
        <w:t xml:space="preserve"> o </w:t>
      </w:r>
      <w:r w:rsidRPr="00745191">
        <w:t>mediaci: posouzení omezeného dopadu jejího provádění</w:t>
      </w:r>
      <w:r w:rsidR="00745191">
        <w:t xml:space="preserve"> a </w:t>
      </w:r>
      <w:r w:rsidRPr="00745191">
        <w:t>návrh opatření ke zvýšení počtu mediací</w:t>
      </w:r>
      <w:r w:rsidR="00745191">
        <w:t xml:space="preserve"> v </w:t>
      </w:r>
      <w:r w:rsidRPr="00745191">
        <w:t>EU)</w:t>
      </w:r>
      <w:r w:rsidRPr="00745191">
        <w:rPr>
          <w:rStyle w:val="FootnoteReference"/>
        </w:rPr>
        <w:footnoteReference w:id="13"/>
      </w:r>
      <w:r w:rsidRPr="00745191">
        <w:t>,</w:t>
      </w:r>
    </w:p>
    <w:p w:rsidR="00F431BF" w:rsidRPr="00745191" w:rsidRDefault="00F431BF" w:rsidP="00866F99">
      <w:pPr>
        <w:pStyle w:val="Normal12Hanging"/>
        <w:rPr>
          <w:vertAlign w:val="superscript"/>
        </w:rPr>
      </w:pPr>
      <w:r w:rsidRPr="00745191">
        <w:t xml:space="preserve"> –</w:t>
      </w:r>
      <w:r w:rsidRPr="00745191">
        <w:tab/>
        <w:t>s ohledem na hodnocení provádění směrnice</w:t>
      </w:r>
      <w:r w:rsidR="00745191">
        <w:t xml:space="preserve"> o </w:t>
      </w:r>
      <w:r w:rsidRPr="00745191">
        <w:t>mediaci vypracované Oddělením pro následné posuzování dopadů výzkumné služby Evropského parlamentu (EPRS)</w:t>
      </w:r>
      <w:r w:rsidRPr="00745191">
        <w:rPr>
          <w:rStyle w:val="FootnoteReference"/>
        </w:rPr>
        <w:footnoteReference w:id="14"/>
      </w:r>
      <w:r w:rsidRPr="00745191">
        <w:t xml:space="preserve">, </w:t>
      </w:r>
    </w:p>
    <w:p w:rsidR="00F431BF" w:rsidRPr="00745191" w:rsidRDefault="00F431BF" w:rsidP="00866F99">
      <w:pPr>
        <w:pStyle w:val="Normal12Hanging"/>
        <w:rPr>
          <w:snapToGrid w:val="0"/>
        </w:rPr>
      </w:pPr>
      <w:r w:rsidRPr="00745191">
        <w:t>–</w:t>
      </w:r>
      <w:r w:rsidRPr="00745191">
        <w:tab/>
        <w:t>s ohledem na studii Generálního ředitelství pro vnitřní politiky</w:t>
      </w:r>
      <w:r w:rsidR="00745191">
        <w:t xml:space="preserve"> s </w:t>
      </w:r>
      <w:r w:rsidRPr="00745191">
        <w:t>názvem „Quantifying the cost of not using mediation –</w:t>
      </w:r>
      <w:r w:rsidR="00745191">
        <w:t xml:space="preserve"> a </w:t>
      </w:r>
      <w:r w:rsidRPr="00745191">
        <w:t>data analysis“ (Vyčíslení nákladů na nevyužívání mediace – analýza dat)</w:t>
      </w:r>
      <w:r w:rsidRPr="00745191">
        <w:rPr>
          <w:rStyle w:val="FootnoteReference"/>
        </w:rPr>
        <w:footnoteReference w:id="15"/>
      </w:r>
      <w:r w:rsidRPr="00745191">
        <w:t>,</w:t>
      </w:r>
    </w:p>
    <w:p w:rsidR="00F431BF" w:rsidRPr="00745191" w:rsidRDefault="00F431BF" w:rsidP="00866F99">
      <w:pPr>
        <w:pStyle w:val="Normal12Hanging"/>
      </w:pPr>
      <w:r w:rsidRPr="00745191">
        <w:t>–</w:t>
      </w:r>
      <w:r w:rsidRPr="00745191">
        <w:tab/>
        <w:t>s ohledem na článek 67</w:t>
      </w:r>
      <w:r w:rsidR="00745191">
        <w:t xml:space="preserve"> a </w:t>
      </w:r>
      <w:r w:rsidRPr="00745191">
        <w:t>čl. 81 odst. 2 písm. g) Smlouvy</w:t>
      </w:r>
      <w:r w:rsidR="00745191">
        <w:t xml:space="preserve"> o </w:t>
      </w:r>
      <w:r w:rsidRPr="00745191">
        <w:t>fungování Evropské unie (SFEU),</w:t>
      </w:r>
    </w:p>
    <w:p w:rsidR="00F431BF" w:rsidRPr="00745191" w:rsidRDefault="00F431BF" w:rsidP="00866F99">
      <w:pPr>
        <w:pStyle w:val="Normal12Hanging"/>
        <w:rPr>
          <w:snapToGrid w:val="0"/>
        </w:rPr>
      </w:pPr>
      <w:r w:rsidRPr="00745191">
        <w:t>–</w:t>
      </w:r>
      <w:r w:rsidRPr="00745191">
        <w:tab/>
        <w:t>s ohledem na článek 52 jednacího řádu, jakož</w:t>
      </w:r>
      <w:r w:rsidR="00745191">
        <w:t xml:space="preserve"> i </w:t>
      </w:r>
      <w:r w:rsidRPr="00745191">
        <w:t>na čl. 1 odst. 1 písm. e)</w:t>
      </w:r>
      <w:r w:rsidR="00745191">
        <w:t xml:space="preserve"> a </w:t>
      </w:r>
      <w:r w:rsidRPr="00745191">
        <w:t>přílohu 3 rozhodnutí Konference předsedů ze dne 12. prosince 2002</w:t>
      </w:r>
      <w:r w:rsidR="00745191">
        <w:t xml:space="preserve"> o </w:t>
      </w:r>
      <w:r w:rsidRPr="00745191">
        <w:t>postupu udělování svolení</w:t>
      </w:r>
      <w:r w:rsidR="00745191">
        <w:t xml:space="preserve"> k </w:t>
      </w:r>
      <w:r w:rsidRPr="00745191">
        <w:t>vypracování zpráv</w:t>
      </w:r>
      <w:r w:rsidR="00745191">
        <w:t xml:space="preserve"> z </w:t>
      </w:r>
      <w:r w:rsidRPr="00745191">
        <w:t>vlastního podnětu,</w:t>
      </w:r>
    </w:p>
    <w:p w:rsidR="000422BF" w:rsidRPr="00745191" w:rsidRDefault="00F431BF" w:rsidP="00866F99">
      <w:pPr>
        <w:pStyle w:val="Normal12Hanging"/>
      </w:pPr>
      <w:r w:rsidRPr="00745191">
        <w:t>–</w:t>
      </w:r>
      <w:r w:rsidRPr="00745191">
        <w:tab/>
        <w:t>s ohledem na zprávu Výboru pro právní záležitosti (A8-0238/2017),</w:t>
      </w:r>
    </w:p>
    <w:p w:rsidR="00753298" w:rsidRPr="00745191" w:rsidRDefault="00F431BF" w:rsidP="00753298">
      <w:pPr>
        <w:pStyle w:val="Normal12Hanging"/>
      </w:pPr>
      <w:r w:rsidRPr="00745191">
        <w:t xml:space="preserve">A. </w:t>
      </w:r>
      <w:r w:rsidRPr="00745191">
        <w:tab/>
      </w:r>
      <w:bookmarkEnd w:id="2"/>
      <w:bookmarkEnd w:id="3"/>
      <w:r w:rsidRPr="00745191">
        <w:t>vzhledem</w:t>
      </w:r>
      <w:r w:rsidR="00745191">
        <w:t xml:space="preserve"> k </w:t>
      </w:r>
      <w:r w:rsidRPr="00745191">
        <w:t>tomu, že směrnice 2008/52/ES je důležitým mezníkem</w:t>
      </w:r>
      <w:r w:rsidR="00745191">
        <w:t xml:space="preserve"> v </w:t>
      </w:r>
      <w:r w:rsidRPr="00745191">
        <w:t>souvislosti se zaváděním</w:t>
      </w:r>
      <w:r w:rsidR="00745191">
        <w:t xml:space="preserve"> a </w:t>
      </w:r>
      <w:r w:rsidRPr="00745191">
        <w:t>využíváním mediačních postupů</w:t>
      </w:r>
      <w:r w:rsidR="00745191">
        <w:t xml:space="preserve"> v </w:t>
      </w:r>
      <w:r w:rsidRPr="00745191">
        <w:t>Evropské unii; nicméně vzhledem</w:t>
      </w:r>
      <w:r w:rsidR="00745191">
        <w:t xml:space="preserve"> k </w:t>
      </w:r>
      <w:r w:rsidRPr="00745191">
        <w:t>tomu, že její provádění</w:t>
      </w:r>
      <w:r w:rsidR="00745191">
        <w:t xml:space="preserve"> v </w:t>
      </w:r>
      <w:r w:rsidRPr="00745191">
        <w:t xml:space="preserve">jednotlivých členských státech </w:t>
      </w:r>
      <w:r w:rsidR="001C618B" w:rsidRPr="00745191">
        <w:t xml:space="preserve">se </w:t>
      </w:r>
      <w:r w:rsidRPr="00745191">
        <w:t>velmi liší</w:t>
      </w:r>
      <w:r w:rsidR="00745191">
        <w:t xml:space="preserve"> v </w:t>
      </w:r>
      <w:r w:rsidRPr="00745191">
        <w:t>závislosti na tom, zda</w:t>
      </w:r>
      <w:r w:rsidR="00745191">
        <w:t xml:space="preserve"> v </w:t>
      </w:r>
      <w:r w:rsidRPr="00745191">
        <w:t>nich již dříve vnitrostátní mediační systémy existovaly, přičemž některé členské státy zvolily poměrně doslovné provedení jejích ustanovení, jiné zvolily hloubkovou revizi alternativních způsobů řešení sporů (jako například Itálie, která využívá mediace</w:t>
      </w:r>
      <w:r w:rsidR="00745191">
        <w:t xml:space="preserve"> v </w:t>
      </w:r>
      <w:r w:rsidRPr="00745191">
        <w:t>šestkrát vyšší míře než zbytek Evropy)</w:t>
      </w:r>
      <w:r w:rsidR="00745191">
        <w:t xml:space="preserve"> a </w:t>
      </w:r>
      <w:r w:rsidRPr="00745191">
        <w:t>ostatní měly za to, že jejich stávající právní předpisy jsou již se směrnicí</w:t>
      </w:r>
      <w:r w:rsidR="00745191">
        <w:t xml:space="preserve"> o </w:t>
      </w:r>
      <w:r w:rsidRPr="00745191">
        <w:t>mediaci</w:t>
      </w:r>
      <w:r w:rsidR="00745191">
        <w:t xml:space="preserve"> v </w:t>
      </w:r>
      <w:r w:rsidRPr="00745191">
        <w:t>souladu;</w:t>
      </w:r>
    </w:p>
    <w:p w:rsidR="00753298" w:rsidRPr="00745191" w:rsidRDefault="00753298" w:rsidP="00753298">
      <w:pPr>
        <w:spacing w:after="240"/>
        <w:ind w:left="567" w:hanging="567"/>
      </w:pPr>
      <w:r w:rsidRPr="00745191">
        <w:t>B.</w:t>
      </w:r>
      <w:r w:rsidRPr="00745191">
        <w:tab/>
        <w:t>vzhledem</w:t>
      </w:r>
      <w:r w:rsidR="00745191">
        <w:t xml:space="preserve"> k </w:t>
      </w:r>
      <w:r w:rsidRPr="00745191">
        <w:t>tomu, že většina členských států rozšířila oblast působnosti svých opatření provádějících tuto směrnici rovněž na vnitrostátní případy – přičemž pouze tři členské státy se rozhodly provést směrnici pouze</w:t>
      </w:r>
      <w:r w:rsidR="00745191">
        <w:t xml:space="preserve"> s </w:t>
      </w:r>
      <w:r w:rsidRPr="00745191">
        <w:t>ohledem na přeshraniční případy</w:t>
      </w:r>
      <w:r w:rsidRPr="00745191">
        <w:rPr>
          <w:rStyle w:val="FootnoteReference"/>
        </w:rPr>
        <w:footnoteReference w:id="16"/>
      </w:r>
      <w:r w:rsidRPr="00745191">
        <w:t>, – což má rozhodně pozitivní dopad na právní předpisy členských států</w:t>
      </w:r>
      <w:r w:rsidR="00745191">
        <w:t xml:space="preserve"> a </w:t>
      </w:r>
      <w:r w:rsidRPr="00745191">
        <w:t>kategorie předmětných sporů;</w:t>
      </w:r>
    </w:p>
    <w:p w:rsidR="00753298" w:rsidRPr="00745191" w:rsidRDefault="00753298" w:rsidP="00753298">
      <w:pPr>
        <w:spacing w:after="240"/>
        <w:ind w:left="567" w:hanging="567"/>
      </w:pPr>
      <w:r w:rsidRPr="00745191">
        <w:t>C.</w:t>
      </w:r>
      <w:r w:rsidRPr="00745191">
        <w:tab/>
        <w:t>vzhledem</w:t>
      </w:r>
      <w:r w:rsidR="00745191">
        <w:t xml:space="preserve"> k </w:t>
      </w:r>
      <w:r w:rsidRPr="00745191">
        <w:t>tomu, že obtíže, které se ve stadiu provádění směrnice objevily, do značné míry odrážejí rozdíly</w:t>
      </w:r>
      <w:r w:rsidR="00745191">
        <w:t xml:space="preserve"> v </w:t>
      </w:r>
      <w:r w:rsidRPr="00745191">
        <w:t>právní kultuře napříč vnitrostátními právními systémy; vzhledem</w:t>
      </w:r>
      <w:r w:rsidR="00745191">
        <w:t xml:space="preserve"> k </w:t>
      </w:r>
      <w:r w:rsidRPr="00745191">
        <w:t>tomu, že prioritou by proto měla být změna právního způsobu myšlení prostřednictvím rozvoje mediační kultury založené na smírném řešení sporů, jak na to během vypracovávání této směrnice Unie</w:t>
      </w:r>
      <w:r w:rsidR="00745191">
        <w:t xml:space="preserve"> a </w:t>
      </w:r>
      <w:r w:rsidRPr="00745191">
        <w:t>následně při jejím provádění členskými státy opakovaně upozorňovaly evropské sítě odborníků</w:t>
      </w:r>
      <w:r w:rsidR="00745191">
        <w:t xml:space="preserve"> z </w:t>
      </w:r>
      <w:r w:rsidRPr="00745191">
        <w:t>oblasti práva;</w:t>
      </w:r>
    </w:p>
    <w:p w:rsidR="00753298" w:rsidRPr="00745191" w:rsidRDefault="00753298" w:rsidP="00753298">
      <w:pPr>
        <w:pStyle w:val="Normal12Hanging"/>
      </w:pPr>
      <w:r w:rsidRPr="00745191">
        <w:t>D.</w:t>
      </w:r>
      <w:r w:rsidRPr="00745191">
        <w:tab/>
        <w:t>vzhledem</w:t>
      </w:r>
      <w:r w:rsidR="00745191">
        <w:t xml:space="preserve"> k </w:t>
      </w:r>
      <w:r w:rsidRPr="00745191">
        <w:t>tomu, že provádění směrnice</w:t>
      </w:r>
      <w:r w:rsidR="00745191">
        <w:t xml:space="preserve"> o </w:t>
      </w:r>
      <w:r w:rsidRPr="00745191">
        <w:t>mediaci poskytuje EU přidanou hodnotu tím, že zvyšuje povědomí vnitrostátních normotvůrců</w:t>
      </w:r>
      <w:r w:rsidR="00745191">
        <w:t xml:space="preserve"> o </w:t>
      </w:r>
      <w:r w:rsidRPr="00745191">
        <w:t>výhodách mediace</w:t>
      </w:r>
      <w:r w:rsidR="00745191">
        <w:t xml:space="preserve"> a </w:t>
      </w:r>
      <w:r w:rsidRPr="00745191">
        <w:t>přináší určitou míru souladu</w:t>
      </w:r>
      <w:r w:rsidR="00745191">
        <w:t xml:space="preserve"> s </w:t>
      </w:r>
      <w:r w:rsidRPr="00745191">
        <w:t>procesním právem</w:t>
      </w:r>
      <w:r w:rsidR="00745191">
        <w:t xml:space="preserve"> a </w:t>
      </w:r>
      <w:r w:rsidRPr="00745191">
        <w:t>odlišnými postupy ve členských státech;</w:t>
      </w:r>
    </w:p>
    <w:p w:rsidR="00753298" w:rsidRPr="00745191" w:rsidRDefault="00753298" w:rsidP="00753298">
      <w:pPr>
        <w:pStyle w:val="Normal12Hanging"/>
      </w:pPr>
      <w:r w:rsidRPr="00745191">
        <w:t>E.</w:t>
      </w:r>
      <w:r w:rsidRPr="00745191">
        <w:tab/>
        <w:t>vzhledem</w:t>
      </w:r>
      <w:r w:rsidR="00745191">
        <w:t xml:space="preserve"> k </w:t>
      </w:r>
      <w:r w:rsidRPr="00745191">
        <w:t>tomu, že mediace, jako alternativní, dobrovolný</w:t>
      </w:r>
      <w:r w:rsidR="00745191">
        <w:t xml:space="preserve"> a </w:t>
      </w:r>
      <w:r w:rsidRPr="00745191">
        <w:t>důvěrný mimosoudní postup, může být</w:t>
      </w:r>
      <w:r w:rsidR="00745191">
        <w:t xml:space="preserve"> v </w:t>
      </w:r>
      <w:r w:rsidRPr="00745191">
        <w:t>určitých případech</w:t>
      </w:r>
      <w:r w:rsidR="00745191">
        <w:t xml:space="preserve"> a s </w:t>
      </w:r>
      <w:r w:rsidRPr="00745191">
        <w:t>nezbytnými zárukami užitečným nástrojem pro zmírnění přetíženosti soudních systémů, jelikož umožňuje fyzickým</w:t>
      </w:r>
      <w:r w:rsidR="00745191">
        <w:t xml:space="preserve"> a </w:t>
      </w:r>
      <w:r w:rsidRPr="00745191">
        <w:t>právnickým osobám řešit spory rychle</w:t>
      </w:r>
      <w:r w:rsidR="00745191">
        <w:t xml:space="preserve"> a </w:t>
      </w:r>
      <w:r w:rsidRPr="00745191">
        <w:t>levně mimosoudní cestou – přičemž je třeba mít na paměti, že příliš dlouhá soudní řízení představují porušení Listiny základních práv –,</w:t>
      </w:r>
      <w:r w:rsidR="00745191">
        <w:t xml:space="preserve"> a </w:t>
      </w:r>
      <w:r w:rsidRPr="00745191">
        <w:t>zároveň zaručuje lepší přístup ke spravedlnosti</w:t>
      </w:r>
      <w:r w:rsidR="00745191">
        <w:t xml:space="preserve"> a </w:t>
      </w:r>
      <w:r w:rsidRPr="00745191">
        <w:t>přispívá</w:t>
      </w:r>
      <w:r w:rsidR="00745191">
        <w:t xml:space="preserve"> k </w:t>
      </w:r>
      <w:r w:rsidRPr="00745191">
        <w:t>hospodářskému růstu;</w:t>
      </w:r>
    </w:p>
    <w:p w:rsidR="00753298" w:rsidRPr="00745191" w:rsidRDefault="00753298" w:rsidP="00753298">
      <w:pPr>
        <w:pStyle w:val="Normal12Hanging"/>
      </w:pPr>
      <w:r w:rsidRPr="00745191">
        <w:t>F.</w:t>
      </w:r>
      <w:r w:rsidRPr="00745191">
        <w:tab/>
        <w:t>vzhledem</w:t>
      </w:r>
      <w:r w:rsidR="00745191">
        <w:t xml:space="preserve"> k </w:t>
      </w:r>
      <w:r w:rsidRPr="00745191">
        <w:t>tomu, že cílů stanovených</w:t>
      </w:r>
      <w:r w:rsidR="00745191">
        <w:t xml:space="preserve"> v </w:t>
      </w:r>
      <w:r w:rsidRPr="00745191">
        <w:t>článku 1 směrnice</w:t>
      </w:r>
      <w:r w:rsidR="00745191">
        <w:t xml:space="preserve"> o </w:t>
      </w:r>
      <w:r w:rsidRPr="00745191">
        <w:t>mediaci zaměřených na podporu využívání mediace</w:t>
      </w:r>
      <w:r w:rsidR="00745191">
        <w:t xml:space="preserve"> a </w:t>
      </w:r>
      <w:r w:rsidRPr="00745191">
        <w:t>zejména dosažení „vyváženého vztahu mezi mediací</w:t>
      </w:r>
      <w:r w:rsidR="00745191">
        <w:t xml:space="preserve"> a </w:t>
      </w:r>
      <w:r w:rsidRPr="00745191">
        <w:t>soudním řízením“ zjevně nebylo dosaženo, neboť mediace je ve většině členských států využívána</w:t>
      </w:r>
      <w:r w:rsidR="00745191">
        <w:t xml:space="preserve"> v </w:t>
      </w:r>
      <w:r w:rsidRPr="00745191">
        <w:t>průměru</w:t>
      </w:r>
      <w:r w:rsidR="00745191">
        <w:t xml:space="preserve"> v </w:t>
      </w:r>
      <w:r w:rsidRPr="00745191">
        <w:t>méně než 1 % případů</w:t>
      </w:r>
      <w:r w:rsidR="00745191">
        <w:t xml:space="preserve"> u </w:t>
      </w:r>
      <w:r w:rsidRPr="00745191">
        <w:t>soudu</w:t>
      </w:r>
      <w:r w:rsidRPr="00745191">
        <w:rPr>
          <w:rStyle w:val="FootnoteReference"/>
          <w:szCs w:val="24"/>
        </w:rPr>
        <w:footnoteReference w:id="17"/>
      </w:r>
      <w:r w:rsidRPr="00745191">
        <w:t>;</w:t>
      </w:r>
    </w:p>
    <w:p w:rsidR="00753298" w:rsidRPr="00745191" w:rsidRDefault="00753298" w:rsidP="00753298">
      <w:pPr>
        <w:pStyle w:val="Normal12Hanging"/>
      </w:pPr>
      <w:r w:rsidRPr="00745191">
        <w:t>G.</w:t>
      </w:r>
      <w:r w:rsidRPr="00745191">
        <w:tab/>
        <w:t>vzhledem</w:t>
      </w:r>
      <w:r w:rsidR="00745191">
        <w:t xml:space="preserve"> k </w:t>
      </w:r>
      <w:r w:rsidRPr="00745191">
        <w:t>tomu, že směrnice</w:t>
      </w:r>
      <w:r w:rsidR="00745191">
        <w:t xml:space="preserve"> o </w:t>
      </w:r>
      <w:r w:rsidRPr="00745191">
        <w:t>mediaci nevytvořila unijní systém mimosoudního řešení sporů</w:t>
      </w:r>
      <w:r w:rsidR="00745191">
        <w:t xml:space="preserve"> v </w:t>
      </w:r>
      <w:r w:rsidRPr="00745191">
        <w:t>nejužším slova smyslu,</w:t>
      </w:r>
      <w:r w:rsidR="00745191">
        <w:t xml:space="preserve"> s </w:t>
      </w:r>
      <w:r w:rsidRPr="00745191">
        <w:t>výjimkou zavedení zvláštních ustanovení</w:t>
      </w:r>
      <w:r w:rsidR="00745191">
        <w:t xml:space="preserve"> v </w:t>
      </w:r>
      <w:r w:rsidRPr="00745191">
        <w:t>oblasti uplynutí promlčecí nebo prekluzivní doby</w:t>
      </w:r>
      <w:r w:rsidR="00745191">
        <w:t xml:space="preserve"> v </w:t>
      </w:r>
      <w:r w:rsidRPr="00745191">
        <w:t>soudním řízení při snaze</w:t>
      </w:r>
      <w:r w:rsidR="00745191">
        <w:t xml:space="preserve"> o </w:t>
      </w:r>
      <w:r w:rsidRPr="00745191">
        <w:t>mediaci</w:t>
      </w:r>
      <w:r w:rsidR="00745191">
        <w:t xml:space="preserve"> a v </w:t>
      </w:r>
      <w:r w:rsidRPr="00745191">
        <w:t>oblasti povinností týkajících se důvěrnosti pro mediátory</w:t>
      </w:r>
      <w:r w:rsidR="00745191">
        <w:t xml:space="preserve"> a </w:t>
      </w:r>
      <w:r w:rsidRPr="00745191">
        <w:t>jejich administrativní pracovníky;</w:t>
      </w:r>
    </w:p>
    <w:p w:rsidR="00753298" w:rsidRPr="00745191" w:rsidRDefault="00753298" w:rsidP="00753298">
      <w:pPr>
        <w:pStyle w:val="Normal12Hanging"/>
        <w:rPr>
          <w:b/>
        </w:rPr>
      </w:pPr>
      <w:r w:rsidRPr="00745191">
        <w:rPr>
          <w:b/>
          <w:i/>
        </w:rPr>
        <w:t>Hlavní závěry</w:t>
      </w:r>
    </w:p>
    <w:p w:rsidR="00753298" w:rsidRPr="00745191" w:rsidRDefault="00753298" w:rsidP="00753298">
      <w:pPr>
        <w:pStyle w:val="Normal12Hanging"/>
      </w:pPr>
      <w:r w:rsidRPr="00745191">
        <w:t>1.</w:t>
      </w:r>
      <w:r w:rsidRPr="00745191">
        <w:tab/>
        <w:t>vítá skutečnost, že</w:t>
      </w:r>
      <w:r w:rsidR="00745191">
        <w:t xml:space="preserve"> v </w:t>
      </w:r>
      <w:r w:rsidRPr="00745191">
        <w:t>mnoha členských státech byly mediační systémy</w:t>
      </w:r>
      <w:r w:rsidR="00745191">
        <w:t xml:space="preserve"> v </w:t>
      </w:r>
      <w:r w:rsidRPr="00745191">
        <w:t>nedávné době předmětem změn</w:t>
      </w:r>
      <w:r w:rsidR="00745191">
        <w:t xml:space="preserve"> a </w:t>
      </w:r>
      <w:r w:rsidRPr="00745191">
        <w:t>revizí</w:t>
      </w:r>
      <w:r w:rsidR="00745191">
        <w:t xml:space="preserve"> a v </w:t>
      </w:r>
      <w:r w:rsidRPr="00745191">
        <w:t>jiných členských státech se změny platných právních předpisů plánují</w:t>
      </w:r>
      <w:r w:rsidRPr="00745191">
        <w:rPr>
          <w:rStyle w:val="Sup"/>
        </w:rPr>
        <w:footnoteReference w:id="18"/>
      </w:r>
      <w:r w:rsidRPr="00745191">
        <w:t>;</w:t>
      </w:r>
    </w:p>
    <w:p w:rsidR="00753298" w:rsidRPr="00745191" w:rsidRDefault="00753298" w:rsidP="00753298">
      <w:pPr>
        <w:pStyle w:val="Normal12Hanging"/>
      </w:pPr>
      <w:r w:rsidRPr="00745191">
        <w:t>2.</w:t>
      </w:r>
      <w:r w:rsidRPr="00745191">
        <w:tab/>
        <w:t>vyjadřuje politování nad skutečností, že pouze tři členské státy se rozhodly provést směrnici pouze</w:t>
      </w:r>
      <w:r w:rsidR="00745191">
        <w:t xml:space="preserve"> s </w:t>
      </w:r>
      <w:r w:rsidRPr="00745191">
        <w:t>ohledem na přeshraniční případy,</w:t>
      </w:r>
      <w:r w:rsidR="00745191">
        <w:t xml:space="preserve"> a </w:t>
      </w:r>
      <w:r w:rsidRPr="00745191">
        <w:t>konstatuje, že existují určité obtíže týkající se fungování vnitrostátních mediačních systémů</w:t>
      </w:r>
      <w:r w:rsidR="00745191">
        <w:t xml:space="preserve"> v </w:t>
      </w:r>
      <w:r w:rsidRPr="00745191">
        <w:t>praxi, které souvisejí především</w:t>
      </w:r>
      <w:r w:rsidR="00745191">
        <w:t xml:space="preserve"> s </w:t>
      </w:r>
      <w:r w:rsidRPr="00745191">
        <w:t>kontradiktorní tradicí</w:t>
      </w:r>
      <w:r w:rsidR="00745191">
        <w:t xml:space="preserve"> a </w:t>
      </w:r>
      <w:r w:rsidRPr="00745191">
        <w:t>chybějící mediační kulturou</w:t>
      </w:r>
      <w:r w:rsidR="00745191">
        <w:t xml:space="preserve"> v </w:t>
      </w:r>
      <w:r w:rsidRPr="00745191">
        <w:t>členských státech, nízkou úrovní povědomí</w:t>
      </w:r>
      <w:r w:rsidR="00745191">
        <w:t xml:space="preserve"> o </w:t>
      </w:r>
      <w:r w:rsidRPr="00745191">
        <w:t>mediaci ve většině členských států, nedostatečnými znalostmi</w:t>
      </w:r>
      <w:r w:rsidR="00745191">
        <w:t xml:space="preserve"> o </w:t>
      </w:r>
      <w:r w:rsidRPr="00745191">
        <w:t>způsobu řešení přeshraničních případů</w:t>
      </w:r>
      <w:r w:rsidR="00745191">
        <w:t xml:space="preserve"> a s </w:t>
      </w:r>
      <w:r w:rsidRPr="00745191">
        <w:t>fungováním mechanismů kontroly kvality pro mediátory</w:t>
      </w:r>
      <w:r w:rsidRPr="00745191">
        <w:rPr>
          <w:rStyle w:val="SupBoldItalic"/>
          <w:b w:val="0"/>
          <w:i w:val="0"/>
        </w:rPr>
        <w:footnoteReference w:id="19"/>
      </w:r>
      <w:r w:rsidRPr="00745191">
        <w:t>;</w:t>
      </w:r>
    </w:p>
    <w:p w:rsidR="00753298" w:rsidRPr="00745191" w:rsidRDefault="00753298" w:rsidP="00753298">
      <w:pPr>
        <w:autoSpaceDE w:val="0"/>
        <w:autoSpaceDN w:val="0"/>
        <w:adjustRightInd w:val="0"/>
        <w:spacing w:after="240"/>
        <w:ind w:left="567" w:hanging="567"/>
        <w:rPr>
          <w:bCs/>
          <w:iCs/>
          <w:color w:val="000000"/>
          <w:szCs w:val="24"/>
        </w:rPr>
      </w:pPr>
      <w:r w:rsidRPr="00745191">
        <w:rPr>
          <w:bCs/>
          <w:iCs/>
          <w:color w:val="000000"/>
          <w:szCs w:val="24"/>
        </w:rPr>
        <w:t>3.</w:t>
      </w:r>
      <w:r w:rsidRPr="00745191">
        <w:rPr>
          <w:bCs/>
          <w:iCs/>
          <w:color w:val="000000"/>
          <w:szCs w:val="24"/>
        </w:rPr>
        <w:tab/>
        <w:t>zdůrazňuje, že všechny členské státy počítají</w:t>
      </w:r>
      <w:r w:rsidR="00745191">
        <w:rPr>
          <w:bCs/>
          <w:iCs/>
          <w:color w:val="000000"/>
          <w:szCs w:val="24"/>
        </w:rPr>
        <w:t xml:space="preserve"> s </w:t>
      </w:r>
      <w:r w:rsidRPr="00745191">
        <w:rPr>
          <w:bCs/>
          <w:iCs/>
          <w:color w:val="000000"/>
          <w:szCs w:val="24"/>
        </w:rPr>
        <w:t>možností, že soudy mohou vyzvat strany, aby</w:t>
      </w:r>
      <w:r w:rsidR="00745191">
        <w:rPr>
          <w:bCs/>
          <w:iCs/>
          <w:color w:val="000000"/>
          <w:szCs w:val="24"/>
        </w:rPr>
        <w:t xml:space="preserve"> k </w:t>
      </w:r>
      <w:r w:rsidRPr="00745191">
        <w:rPr>
          <w:bCs/>
          <w:iCs/>
          <w:color w:val="000000"/>
          <w:szCs w:val="24"/>
        </w:rPr>
        <w:t>řešení sporu využily mediace nebo aby se alespoň zúčastnily informativních setkání</w:t>
      </w:r>
      <w:r w:rsidR="00745191">
        <w:rPr>
          <w:bCs/>
          <w:iCs/>
          <w:color w:val="000000"/>
          <w:szCs w:val="24"/>
        </w:rPr>
        <w:t xml:space="preserve"> o </w:t>
      </w:r>
      <w:r w:rsidRPr="00745191">
        <w:rPr>
          <w:bCs/>
          <w:iCs/>
          <w:color w:val="000000"/>
          <w:szCs w:val="24"/>
        </w:rPr>
        <w:t>mediaci; poznamenává, že</w:t>
      </w:r>
      <w:r w:rsidR="00745191">
        <w:rPr>
          <w:bCs/>
          <w:iCs/>
          <w:color w:val="000000"/>
          <w:szCs w:val="24"/>
        </w:rPr>
        <w:t xml:space="preserve"> v </w:t>
      </w:r>
      <w:r w:rsidRPr="00745191">
        <w:rPr>
          <w:bCs/>
          <w:iCs/>
          <w:color w:val="000000"/>
          <w:szCs w:val="24"/>
        </w:rPr>
        <w:t>některých členských státech je účast na těchto informativních setkáních povinná</w:t>
      </w:r>
      <w:r w:rsidR="00745191">
        <w:rPr>
          <w:bCs/>
          <w:iCs/>
          <w:color w:val="000000"/>
          <w:szCs w:val="24"/>
        </w:rPr>
        <w:t xml:space="preserve"> z </w:t>
      </w:r>
      <w:r w:rsidRPr="00745191">
        <w:rPr>
          <w:bCs/>
          <w:iCs/>
          <w:color w:val="000000"/>
          <w:szCs w:val="24"/>
        </w:rPr>
        <w:t>podnětu soudce</w:t>
      </w:r>
      <w:r w:rsidRPr="00745191">
        <w:rPr>
          <w:rStyle w:val="FootnoteReference"/>
          <w:bCs/>
          <w:iCs/>
          <w:color w:val="000000"/>
          <w:szCs w:val="24"/>
        </w:rPr>
        <w:footnoteReference w:id="20"/>
      </w:r>
      <w:r w:rsidRPr="00745191">
        <w:rPr>
          <w:bCs/>
          <w:iCs/>
          <w:color w:val="000000"/>
          <w:szCs w:val="24"/>
        </w:rPr>
        <w:t xml:space="preserve"> nebo ve vztahu ke konkrétním sporům,</w:t>
      </w:r>
      <w:r w:rsidR="00745191">
        <w:rPr>
          <w:bCs/>
          <w:iCs/>
          <w:color w:val="000000"/>
          <w:szCs w:val="24"/>
        </w:rPr>
        <w:t xml:space="preserve"> u </w:t>
      </w:r>
      <w:r w:rsidRPr="00745191">
        <w:rPr>
          <w:bCs/>
          <w:iCs/>
          <w:color w:val="000000"/>
          <w:szCs w:val="24"/>
        </w:rPr>
        <w:t>nichž to stanoví zákon, jako jsou například rodinné záležitosti</w:t>
      </w:r>
      <w:r w:rsidRPr="00745191">
        <w:rPr>
          <w:rStyle w:val="FootnoteReference"/>
          <w:bCs/>
          <w:iCs/>
          <w:color w:val="000000"/>
          <w:szCs w:val="24"/>
        </w:rPr>
        <w:footnoteReference w:id="21"/>
      </w:r>
      <w:r w:rsidRPr="00745191">
        <w:rPr>
          <w:bCs/>
          <w:iCs/>
          <w:color w:val="000000"/>
          <w:szCs w:val="24"/>
        </w:rPr>
        <w:t>; poukazuje rovněž na to, že některé členské státy vyžadují, aby právníci své klienty informovali</w:t>
      </w:r>
      <w:r w:rsidR="00745191">
        <w:rPr>
          <w:bCs/>
          <w:iCs/>
          <w:color w:val="000000"/>
          <w:szCs w:val="24"/>
        </w:rPr>
        <w:t xml:space="preserve"> o </w:t>
      </w:r>
      <w:r w:rsidRPr="00745191">
        <w:rPr>
          <w:bCs/>
          <w:iCs/>
          <w:color w:val="000000"/>
          <w:szCs w:val="24"/>
        </w:rPr>
        <w:t>možnosti využití mediace, případně aby soudní žaloby potvrzovaly, zda došlo</w:t>
      </w:r>
      <w:r w:rsidR="00745191">
        <w:rPr>
          <w:bCs/>
          <w:iCs/>
          <w:color w:val="000000"/>
          <w:szCs w:val="24"/>
        </w:rPr>
        <w:t xml:space="preserve"> k </w:t>
      </w:r>
      <w:r w:rsidRPr="00745191">
        <w:rPr>
          <w:bCs/>
          <w:iCs/>
          <w:color w:val="000000"/>
          <w:szCs w:val="24"/>
        </w:rPr>
        <w:t>pokusu</w:t>
      </w:r>
      <w:r w:rsidR="00745191">
        <w:rPr>
          <w:bCs/>
          <w:iCs/>
          <w:color w:val="000000"/>
          <w:szCs w:val="24"/>
        </w:rPr>
        <w:t xml:space="preserve"> o </w:t>
      </w:r>
      <w:r w:rsidRPr="00745191">
        <w:rPr>
          <w:bCs/>
          <w:iCs/>
          <w:color w:val="000000"/>
          <w:szCs w:val="24"/>
        </w:rPr>
        <w:t>mediaci, nebo zda existují nějaké důvody, které takovému pokusu brání;</w:t>
      </w:r>
      <w:r w:rsidRPr="00745191">
        <w:t xml:space="preserve"> konstatuje však, že článek 8 směrnice</w:t>
      </w:r>
      <w:r w:rsidR="00745191">
        <w:t xml:space="preserve"> o </w:t>
      </w:r>
      <w:r w:rsidRPr="00745191">
        <w:t>mediaci zajišťuje, aby stranám, jež si ve snaze</w:t>
      </w:r>
      <w:r w:rsidR="00745191">
        <w:t xml:space="preserve"> o </w:t>
      </w:r>
      <w:r w:rsidRPr="00745191">
        <w:t>urovnání sporu zvolí mediaci, nebylo následně bráněno</w:t>
      </w:r>
      <w:r w:rsidR="00745191">
        <w:t xml:space="preserve"> v </w:t>
      </w:r>
      <w:r w:rsidRPr="00745191">
        <w:t>řízení</w:t>
      </w:r>
      <w:r w:rsidR="00745191">
        <w:t xml:space="preserve"> u </w:t>
      </w:r>
      <w:r w:rsidRPr="00745191">
        <w:t>soudu, ačkoli již věnovaly čas mediaci; zdůrazňuje, že</w:t>
      </w:r>
      <w:r w:rsidR="00745191">
        <w:t xml:space="preserve"> k </w:t>
      </w:r>
      <w:r w:rsidRPr="00745191">
        <w:t>tomuto bodu nebyly ze strany členských států zjevně vzneseny žádné konkrétní otázky;</w:t>
      </w:r>
    </w:p>
    <w:p w:rsidR="00753298" w:rsidRPr="00745191" w:rsidRDefault="00753298" w:rsidP="00753298">
      <w:pPr>
        <w:pStyle w:val="Normal12Hanging"/>
      </w:pPr>
      <w:r w:rsidRPr="00745191">
        <w:t>4.</w:t>
      </w:r>
      <w:r w:rsidRPr="00745191">
        <w:tab/>
        <w:t>konstatuje rovněž, že mnoho členských států poskytuje stranám sporu finanční pobídky</w:t>
      </w:r>
      <w:r w:rsidR="00745191">
        <w:t xml:space="preserve"> k </w:t>
      </w:r>
      <w:r w:rsidRPr="00745191">
        <w:t>využití mediace, ať už ve formě snížení nákladů, právní pomoci nebo sankcí za neoprávněné odmítnutí uvažovat</w:t>
      </w:r>
      <w:r w:rsidR="00745191">
        <w:t xml:space="preserve"> o </w:t>
      </w:r>
      <w:r w:rsidRPr="00745191">
        <w:t>mediaci; podotýká, že výsledky dosažené</w:t>
      </w:r>
      <w:r w:rsidR="00745191">
        <w:t xml:space="preserve"> v </w:t>
      </w:r>
      <w:r w:rsidRPr="00745191">
        <w:t>těchto zemích dokazují, že mediace může představovat nákladově efektivní</w:t>
      </w:r>
      <w:r w:rsidR="00745191">
        <w:t xml:space="preserve"> a </w:t>
      </w:r>
      <w:r w:rsidRPr="00745191">
        <w:t>rychlé mimosoudní řešení sporů prostřednictvím řízení přizpůsobených potřebám stran sporu;</w:t>
      </w:r>
    </w:p>
    <w:p w:rsidR="00753298" w:rsidRPr="00745191" w:rsidRDefault="00753298" w:rsidP="00753298">
      <w:pPr>
        <w:pStyle w:val="Normal12Hanging"/>
      </w:pPr>
      <w:r w:rsidRPr="00745191">
        <w:t>5.</w:t>
      </w:r>
      <w:r w:rsidRPr="00745191">
        <w:tab/>
        <w:t>domnívá se, že přijetí kodexů chování představuje důležitý nástroj</w:t>
      </w:r>
      <w:r w:rsidR="00745191">
        <w:t xml:space="preserve"> k </w:t>
      </w:r>
      <w:r w:rsidRPr="00745191">
        <w:t>zajištění kvality mediace;</w:t>
      </w:r>
      <w:r w:rsidR="00745191">
        <w:t xml:space="preserve"> v </w:t>
      </w:r>
      <w:r w:rsidRPr="00745191">
        <w:t>této souvislosti poznamenává, že Evropský kodex chování pro mediátory je buď přímo využíván zúčastněnými stranami, nebo inspiroval vnitrostátní či odvětvové kodexy; rovněž poznamenává, že ve většině členských států fungují povinná akreditační řízení pro mediátory</w:t>
      </w:r>
      <w:r w:rsidR="00745191">
        <w:t xml:space="preserve"> a </w:t>
      </w:r>
      <w:r w:rsidRPr="00745191">
        <w:t>existují</w:t>
      </w:r>
      <w:r w:rsidR="00745191">
        <w:t xml:space="preserve"> v </w:t>
      </w:r>
      <w:r w:rsidRPr="00745191">
        <w:t>nich registry mediátorů;</w:t>
      </w:r>
    </w:p>
    <w:p w:rsidR="00753298" w:rsidRPr="00745191" w:rsidRDefault="00753298" w:rsidP="00753298">
      <w:pPr>
        <w:pStyle w:val="Normal12Hanging"/>
      </w:pPr>
      <w:r w:rsidRPr="00745191">
        <w:t>6.</w:t>
      </w:r>
      <w:r w:rsidRPr="00745191">
        <w:tab/>
        <w:t>vyjadřuje politování nad tím, jak obtížné je získat komplexní statistické údaje</w:t>
      </w:r>
      <w:r w:rsidR="00745191">
        <w:t xml:space="preserve"> o </w:t>
      </w:r>
      <w:r w:rsidRPr="00745191">
        <w:t>mediaci, včetně počtu případů, kdy byla mediace využita, průměrné délky</w:t>
      </w:r>
      <w:r w:rsidR="00745191">
        <w:t xml:space="preserve"> a </w:t>
      </w:r>
      <w:r w:rsidRPr="00745191">
        <w:t>úspěšnosti mediačních procesů; konstatuje, že bez spolehlivé databáze je velmi obtížné dále podporovat mediaci</w:t>
      </w:r>
      <w:r w:rsidR="00745191">
        <w:t xml:space="preserve"> a </w:t>
      </w:r>
      <w:r w:rsidRPr="00745191">
        <w:t>zvyšovat důvěru veřejnosti</w:t>
      </w:r>
      <w:r w:rsidR="00745191">
        <w:t xml:space="preserve"> v </w:t>
      </w:r>
      <w:r w:rsidRPr="00745191">
        <w:t>její účinnost; na druhou stranu zdůrazňuje rostoucí úlohu Evropské justiční sítě pro občanské</w:t>
      </w:r>
      <w:r w:rsidR="00745191">
        <w:t xml:space="preserve"> a </w:t>
      </w:r>
      <w:r w:rsidRPr="00745191">
        <w:t>obchodní věci při zdokonalování sběru vnitrostátních údajů</w:t>
      </w:r>
      <w:r w:rsidR="00745191">
        <w:t xml:space="preserve"> o </w:t>
      </w:r>
      <w:r w:rsidRPr="00745191">
        <w:t>používání směrnice</w:t>
      </w:r>
      <w:r w:rsidR="00745191">
        <w:t xml:space="preserve"> o </w:t>
      </w:r>
      <w:r w:rsidRPr="00745191">
        <w:t>mediaci;</w:t>
      </w:r>
    </w:p>
    <w:p w:rsidR="00753298" w:rsidRPr="00745191" w:rsidRDefault="00753298" w:rsidP="00753298">
      <w:pPr>
        <w:pStyle w:val="Normal12Hanging"/>
        <w:rPr>
          <w:szCs w:val="24"/>
        </w:rPr>
      </w:pPr>
      <w:r w:rsidRPr="00745191">
        <w:t>7.</w:t>
      </w:r>
      <w:r w:rsidRPr="00745191">
        <w:tab/>
        <w:t>vítá zvláštní význam mediace</w:t>
      </w:r>
      <w:r w:rsidR="00745191">
        <w:t xml:space="preserve"> v </w:t>
      </w:r>
      <w:r w:rsidRPr="00745191">
        <w:t>oblasti rodinného práva (zejména</w:t>
      </w:r>
      <w:r w:rsidR="00745191">
        <w:t xml:space="preserve"> v </w:t>
      </w:r>
      <w:r w:rsidRPr="00745191">
        <w:t>řízeních týkajících se péče</w:t>
      </w:r>
      <w:r w:rsidR="00745191">
        <w:t xml:space="preserve"> o </w:t>
      </w:r>
      <w:r w:rsidRPr="00745191">
        <w:t>dítě, práva styku</w:t>
      </w:r>
      <w:r w:rsidR="00745191">
        <w:t xml:space="preserve"> s </w:t>
      </w:r>
      <w:r w:rsidRPr="00745191">
        <w:t>dítětem</w:t>
      </w:r>
      <w:r w:rsidR="00745191">
        <w:t xml:space="preserve"> a </w:t>
      </w:r>
      <w:r w:rsidRPr="00745191">
        <w:t>případů únosů dětí), kde může vytvořit konstruktivní atmosféru pro diskusi</w:t>
      </w:r>
      <w:r w:rsidR="00745191">
        <w:t xml:space="preserve"> a </w:t>
      </w:r>
      <w:r w:rsidRPr="00745191">
        <w:t>zajistit spravedlivé jednání mezi rodiči; dále poznamenává, že smírná řešení budou pravděpodobně dlouhodobého trvání</w:t>
      </w:r>
      <w:r w:rsidR="00745191">
        <w:t xml:space="preserve"> a v </w:t>
      </w:r>
      <w:r w:rsidRPr="00745191">
        <w:t>nejlepším zájmu dítěte, neboť mohou kromě primárního bydliště dítěte řešit</w:t>
      </w:r>
      <w:r w:rsidR="00745191">
        <w:t xml:space="preserve"> i </w:t>
      </w:r>
      <w:r w:rsidRPr="00745191">
        <w:t>podmínky návštěv nebo dohody týkající se zajištění dítěte; poukazuje</w:t>
      </w:r>
      <w:r w:rsidR="00745191">
        <w:t xml:space="preserve"> v </w:t>
      </w:r>
      <w:r w:rsidRPr="00745191">
        <w:t>této souvislosti na důležitou úlohu, kterou hraje Evropská soudní síť</w:t>
      </w:r>
      <w:r w:rsidR="00745191">
        <w:t xml:space="preserve"> v </w:t>
      </w:r>
      <w:r w:rsidRPr="00745191">
        <w:t>občanských</w:t>
      </w:r>
      <w:r w:rsidR="00745191">
        <w:t xml:space="preserve"> a </w:t>
      </w:r>
      <w:r w:rsidRPr="00745191">
        <w:t>obchodních věcech při vypracovávání doporučení zaměřených na větší využívání rodinné mediace</w:t>
      </w:r>
      <w:r w:rsidR="00745191">
        <w:t xml:space="preserve"> v </w:t>
      </w:r>
      <w:r w:rsidRPr="00745191">
        <w:t>přeshraničním kontextu, zejména</w:t>
      </w:r>
      <w:r w:rsidR="00745191">
        <w:t xml:space="preserve"> v </w:t>
      </w:r>
      <w:r w:rsidRPr="00745191">
        <w:t>případech únosů dětí;</w:t>
      </w:r>
    </w:p>
    <w:p w:rsidR="00753298" w:rsidRPr="00745191" w:rsidRDefault="00753298" w:rsidP="00753298">
      <w:pPr>
        <w:pStyle w:val="Normal12Hanging"/>
      </w:pPr>
      <w:r w:rsidRPr="00745191">
        <w:t>8.</w:t>
      </w:r>
      <w:r w:rsidRPr="00745191">
        <w:tab/>
        <w:t>zdůrazňuje význam vytvoření</w:t>
      </w:r>
      <w:r w:rsidR="00745191">
        <w:t xml:space="preserve"> a </w:t>
      </w:r>
      <w:r w:rsidRPr="00745191">
        <w:t>udržování samostatné kapitoly na evropském portálu e-Justice věnované přeshraniční mediaci</w:t>
      </w:r>
      <w:r w:rsidR="00745191">
        <w:t xml:space="preserve"> v </w:t>
      </w:r>
      <w:r w:rsidRPr="00745191">
        <w:t>rodinných věcech</w:t>
      </w:r>
      <w:r w:rsidR="00745191">
        <w:t xml:space="preserve"> s </w:t>
      </w:r>
      <w:r w:rsidRPr="00745191">
        <w:t>cílem poskytovat informace</w:t>
      </w:r>
      <w:r w:rsidR="00745191">
        <w:t xml:space="preserve"> o </w:t>
      </w:r>
      <w:r w:rsidRPr="00745191">
        <w:t>vnitrostátních mediačních systémech;</w:t>
      </w:r>
    </w:p>
    <w:p w:rsidR="00753298" w:rsidRPr="00745191" w:rsidRDefault="00753298" w:rsidP="00753298">
      <w:pPr>
        <w:pStyle w:val="Normal12Hanging"/>
      </w:pPr>
      <w:r w:rsidRPr="00745191">
        <w:t>9.</w:t>
      </w:r>
      <w:r w:rsidRPr="00745191">
        <w:tab/>
        <w:t>vítá proto odhodlání Komise spolufinancovat různé projekty zaměřené na propagaci mediace</w:t>
      </w:r>
      <w:r w:rsidR="00745191">
        <w:t xml:space="preserve"> a </w:t>
      </w:r>
      <w:r w:rsidRPr="00745191">
        <w:t>odbornou přípravu soudců</w:t>
      </w:r>
      <w:r w:rsidR="00745191">
        <w:t xml:space="preserve"> a </w:t>
      </w:r>
      <w:r w:rsidRPr="00745191">
        <w:t>osob vykonávajících právní praxi</w:t>
      </w:r>
      <w:r w:rsidR="00745191">
        <w:t xml:space="preserve"> v </w:t>
      </w:r>
      <w:r w:rsidRPr="00745191">
        <w:t>členských státech;</w:t>
      </w:r>
    </w:p>
    <w:p w:rsidR="00753298" w:rsidRPr="00745191" w:rsidRDefault="00753298" w:rsidP="00753298">
      <w:pPr>
        <w:pStyle w:val="Normal12Hanging"/>
      </w:pPr>
      <w:r w:rsidRPr="00745191">
        <w:t>10.</w:t>
      </w:r>
      <w:r w:rsidRPr="00745191">
        <w:tab/>
        <w:t>zdůrazňuje, že</w:t>
      </w:r>
      <w:r w:rsidR="00745191">
        <w:t xml:space="preserve"> i </w:t>
      </w:r>
      <w:r w:rsidRPr="00745191">
        <w:t>přes dobrovolnou povahu mediace musí být přijata další opatření</w:t>
      </w:r>
      <w:r w:rsidR="00745191">
        <w:t xml:space="preserve"> k </w:t>
      </w:r>
      <w:r w:rsidRPr="00745191">
        <w:t>zajištění rychlé</w:t>
      </w:r>
      <w:r w:rsidR="00745191">
        <w:t xml:space="preserve"> a </w:t>
      </w:r>
      <w:r w:rsidRPr="00745191">
        <w:t>cenové dostupné vykonatelnosti dohod dosažených na základě mediace,</w:t>
      </w:r>
      <w:r w:rsidR="00745191">
        <w:t xml:space="preserve"> a </w:t>
      </w:r>
      <w:r w:rsidRPr="00745191">
        <w:t>to při plném dodržování základních práv</w:t>
      </w:r>
      <w:r w:rsidR="00745191">
        <w:t xml:space="preserve"> i </w:t>
      </w:r>
      <w:r w:rsidRPr="00745191">
        <w:t>práva Unie</w:t>
      </w:r>
      <w:r w:rsidR="00745191">
        <w:t xml:space="preserve"> a </w:t>
      </w:r>
      <w:r w:rsidRPr="00745191">
        <w:t>vnitrostátních právních předpisů;</w:t>
      </w:r>
      <w:r w:rsidR="00745191">
        <w:t xml:space="preserve"> v </w:t>
      </w:r>
      <w:r w:rsidRPr="00745191">
        <w:t>této souvislosti připomíná, že vnitrostátní vykonatelnost dohody dosažené stranami</w:t>
      </w:r>
      <w:r w:rsidR="00745191">
        <w:t xml:space="preserve"> v </w:t>
      </w:r>
      <w:r w:rsidRPr="00745191">
        <w:t>členském státě je zpravidla předmětem homologace ze strany orgánu veřejné správy, což způsobuje dodatečné náklady, je časově náročné pro strany sporu</w:t>
      </w:r>
      <w:r w:rsidR="00745191">
        <w:t xml:space="preserve"> a </w:t>
      </w:r>
      <w:r w:rsidRPr="00745191">
        <w:t>mohlo by tedy negativně ovlivnit rozšíření urovnávání sporů mediací</w:t>
      </w:r>
      <w:r w:rsidR="00745191">
        <w:t xml:space="preserve"> v </w:t>
      </w:r>
      <w:r w:rsidRPr="00745191">
        <w:t>zahraničí, zejména</w:t>
      </w:r>
      <w:r w:rsidR="00745191">
        <w:t xml:space="preserve"> v </w:t>
      </w:r>
      <w:r w:rsidRPr="00745191">
        <w:t>případech malých sporů;</w:t>
      </w:r>
    </w:p>
    <w:p w:rsidR="00753298" w:rsidRPr="00745191" w:rsidRDefault="00753298" w:rsidP="00753298">
      <w:pPr>
        <w:pStyle w:val="Normal12Hanging"/>
        <w:rPr>
          <w:b/>
          <w:i/>
        </w:rPr>
      </w:pPr>
      <w:r w:rsidRPr="00745191">
        <w:rPr>
          <w:b/>
          <w:i/>
        </w:rPr>
        <w:t>Doporučení</w:t>
      </w:r>
    </w:p>
    <w:p w:rsidR="00753298" w:rsidRPr="00745191" w:rsidRDefault="00753298" w:rsidP="00753298">
      <w:pPr>
        <w:spacing w:after="240"/>
        <w:ind w:left="567" w:hanging="567"/>
      </w:pPr>
      <w:r w:rsidRPr="00745191">
        <w:t>11.</w:t>
      </w:r>
      <w:r w:rsidRPr="00745191">
        <w:tab/>
        <w:t>vyzývá členské státy, aby zintenzivnily své úsilí při podpoře využívání mediace</w:t>
      </w:r>
      <w:r w:rsidR="00745191">
        <w:t xml:space="preserve"> v </w:t>
      </w:r>
      <w:r w:rsidRPr="00745191">
        <w:t>občanských</w:t>
      </w:r>
      <w:r w:rsidR="00745191">
        <w:t xml:space="preserve"> a </w:t>
      </w:r>
      <w:r w:rsidRPr="00745191">
        <w:t>obchodních sporech</w:t>
      </w:r>
      <w:r w:rsidR="00745191">
        <w:t xml:space="preserve"> i </w:t>
      </w:r>
      <w:r w:rsidRPr="00745191">
        <w:t>prostřednictvím vhodných informačních kampaní poskytujících vhodné</w:t>
      </w:r>
      <w:r w:rsidR="00745191">
        <w:t xml:space="preserve"> a </w:t>
      </w:r>
      <w:r w:rsidRPr="00745191">
        <w:t>komplexní informace občanům</w:t>
      </w:r>
      <w:r w:rsidR="00745191">
        <w:t xml:space="preserve"> i </w:t>
      </w:r>
      <w:r w:rsidRPr="00745191">
        <w:t>právnickým osobám</w:t>
      </w:r>
      <w:r w:rsidR="00745191">
        <w:t xml:space="preserve"> o </w:t>
      </w:r>
      <w:r w:rsidRPr="00745191">
        <w:t>podstatě tohoto postupu</w:t>
      </w:r>
      <w:r w:rsidR="00745191">
        <w:t xml:space="preserve"> a </w:t>
      </w:r>
      <w:r w:rsidRPr="00745191">
        <w:t>jeho výhodách</w:t>
      </w:r>
      <w:r w:rsidR="00745191">
        <w:t xml:space="preserve"> z </w:t>
      </w:r>
      <w:r w:rsidRPr="00745191">
        <w:t>hlediska úspory času</w:t>
      </w:r>
      <w:r w:rsidR="00745191">
        <w:t xml:space="preserve"> a </w:t>
      </w:r>
      <w:r w:rsidRPr="00745191">
        <w:t>nákladů,</w:t>
      </w:r>
      <w:r w:rsidR="00745191">
        <w:t xml:space="preserve"> a </w:t>
      </w:r>
      <w:r w:rsidRPr="00745191">
        <w:t>aby za tímto účelem zajistily lepší spolupráci mezi odborníky</w:t>
      </w:r>
      <w:r w:rsidR="00745191">
        <w:t xml:space="preserve"> z </w:t>
      </w:r>
      <w:r w:rsidRPr="00745191">
        <w:t>oblasti práva; zdůrazňuje</w:t>
      </w:r>
      <w:r w:rsidR="00745191">
        <w:t xml:space="preserve"> v </w:t>
      </w:r>
      <w:r w:rsidRPr="00745191">
        <w:t>této souvislosti, že je potřebná výměna osvědčených postupů</w:t>
      </w:r>
      <w:r w:rsidR="00745191">
        <w:t xml:space="preserve"> v </w:t>
      </w:r>
      <w:r w:rsidRPr="00745191">
        <w:t>různých vnitrostátních jurisdikcích, která za podpory vhodných opatření na úrovni Unie pomůže zvýšit povědomí</w:t>
      </w:r>
      <w:r w:rsidR="00745191">
        <w:t xml:space="preserve"> o </w:t>
      </w:r>
      <w:r w:rsidRPr="00745191">
        <w:t>tom, jak užitečná mediace je;</w:t>
      </w:r>
    </w:p>
    <w:p w:rsidR="00753298" w:rsidRPr="00745191" w:rsidRDefault="00753298" w:rsidP="00753298">
      <w:pPr>
        <w:pStyle w:val="Normal12Hanging"/>
      </w:pPr>
      <w:r w:rsidRPr="00745191">
        <w:t>12.</w:t>
      </w:r>
      <w:r w:rsidRPr="00745191">
        <w:tab/>
        <w:t>vyzývá Komisi, aby jakožto prostředek</w:t>
      </w:r>
      <w:r w:rsidR="00745191">
        <w:t xml:space="preserve"> k </w:t>
      </w:r>
      <w:r w:rsidRPr="00745191">
        <w:t>další podpoře využívání mediace posoudila potřebu vytvoření norem kvality na úrovni EU pro poskytování mediačních služeb,</w:t>
      </w:r>
      <w:r w:rsidR="00745191">
        <w:t xml:space="preserve"> a </w:t>
      </w:r>
      <w:r w:rsidRPr="00745191">
        <w:t>to zejména ve formě minimálních norem, které by zajistily soudržnost</w:t>
      </w:r>
      <w:r w:rsidR="00745191">
        <w:t xml:space="preserve"> a </w:t>
      </w:r>
      <w:r w:rsidRPr="00745191">
        <w:t>přitom by zohledňovaly základní právo na přístup ke spravedlnosti</w:t>
      </w:r>
      <w:r w:rsidR="00745191">
        <w:t xml:space="preserve"> i </w:t>
      </w:r>
      <w:r w:rsidRPr="00745191">
        <w:t>místní rozdíly</w:t>
      </w:r>
      <w:r w:rsidR="00745191">
        <w:t xml:space="preserve"> v </w:t>
      </w:r>
      <w:r w:rsidRPr="00745191">
        <w:t>kultuře mediace;</w:t>
      </w:r>
    </w:p>
    <w:p w:rsidR="00753298" w:rsidRPr="00745191" w:rsidRDefault="00753298" w:rsidP="00753298">
      <w:pPr>
        <w:pStyle w:val="Normal12Hanging"/>
      </w:pPr>
      <w:r w:rsidRPr="00745191">
        <w:t>13.</w:t>
      </w:r>
      <w:r w:rsidRPr="00745191">
        <w:tab/>
        <w:t>vyzývá Komisi rovněž</w:t>
      </w:r>
      <w:r w:rsidR="00745191">
        <w:t xml:space="preserve"> k </w:t>
      </w:r>
      <w:r w:rsidRPr="00745191">
        <w:t>tomu, aby posoudila, zda by měly členské státy vytvořit</w:t>
      </w:r>
      <w:r w:rsidR="00745191">
        <w:t xml:space="preserve"> a </w:t>
      </w:r>
      <w:r w:rsidRPr="00745191">
        <w:t>udržovat vnitrostátní registry řízení,</w:t>
      </w:r>
      <w:r w:rsidR="00745191">
        <w:t xml:space="preserve"> u </w:t>
      </w:r>
      <w:r w:rsidRPr="00745191">
        <w:t>nichž byla využita mediace, které by mohly být pro Komisi zdrojem informací</w:t>
      </w:r>
      <w:r w:rsidR="00745191">
        <w:t xml:space="preserve"> a </w:t>
      </w:r>
      <w:r w:rsidRPr="00745191">
        <w:t>které by mohli využívat</w:t>
      </w:r>
      <w:r w:rsidR="00745191">
        <w:t xml:space="preserve"> i </w:t>
      </w:r>
      <w:r w:rsidRPr="00745191">
        <w:t>vnitrostátní mediátoři</w:t>
      </w:r>
      <w:r w:rsidR="00745191">
        <w:t xml:space="preserve"> a </w:t>
      </w:r>
      <w:r w:rsidRPr="00745191">
        <w:t>těžit</w:t>
      </w:r>
      <w:r w:rsidR="00745191">
        <w:t xml:space="preserve"> z </w:t>
      </w:r>
      <w:r w:rsidRPr="00745191">
        <w:t>osvědčených postupů</w:t>
      </w:r>
      <w:r w:rsidR="00745191">
        <w:t xml:space="preserve"> z </w:t>
      </w:r>
      <w:r w:rsidRPr="00745191">
        <w:t>celé Evropy; zdůrazňuje, že každý takový registr musí být vytvořen</w:t>
      </w:r>
      <w:r w:rsidR="00745191">
        <w:t xml:space="preserve"> v </w:t>
      </w:r>
      <w:r w:rsidRPr="00745191">
        <w:t>plném souladu</w:t>
      </w:r>
      <w:r w:rsidR="00745191">
        <w:t xml:space="preserve"> s </w:t>
      </w:r>
      <w:r w:rsidRPr="00745191">
        <w:t>obecným nařízením</w:t>
      </w:r>
      <w:r w:rsidR="00745191">
        <w:t xml:space="preserve"> o </w:t>
      </w:r>
      <w:r w:rsidRPr="00745191">
        <w:t>ochraně osobních údajů (nařízení (EU) 2016/679)</w:t>
      </w:r>
      <w:r w:rsidRPr="00745191">
        <w:rPr>
          <w:rStyle w:val="SupBoldItalic"/>
        </w:rPr>
        <w:footnoteReference w:id="22"/>
      </w:r>
      <w:r w:rsidRPr="00745191">
        <w:t xml:space="preserve">; </w:t>
      </w:r>
    </w:p>
    <w:p w:rsidR="00753298" w:rsidRPr="00745191" w:rsidRDefault="00753298" w:rsidP="00753298">
      <w:pPr>
        <w:pStyle w:val="Normal12Hanging"/>
      </w:pPr>
      <w:r w:rsidRPr="00745191">
        <w:t>14.</w:t>
      </w:r>
      <w:r w:rsidRPr="00745191">
        <w:tab/>
        <w:t>žádá Komisi</w:t>
      </w:r>
      <w:r w:rsidR="00745191">
        <w:t xml:space="preserve"> o </w:t>
      </w:r>
      <w:r w:rsidRPr="00745191">
        <w:t>vypracování podrobné studie překážek volného šíření zahraničních mediačních dohod</w:t>
      </w:r>
      <w:r w:rsidR="00745191">
        <w:t xml:space="preserve"> v </w:t>
      </w:r>
      <w:r w:rsidRPr="00745191">
        <w:t>Unii</w:t>
      </w:r>
      <w:r w:rsidR="00745191">
        <w:t xml:space="preserve"> a </w:t>
      </w:r>
      <w:r w:rsidRPr="00745191">
        <w:t>různých možností podpory využívání mediace jakožto rozumného, cenově dostupného</w:t>
      </w:r>
      <w:r w:rsidR="00745191">
        <w:t xml:space="preserve"> a </w:t>
      </w:r>
      <w:r w:rsidRPr="00745191">
        <w:t>účinného způsobu řešení konfliktů ve vnitřních</w:t>
      </w:r>
      <w:r w:rsidR="00745191">
        <w:t xml:space="preserve"> i </w:t>
      </w:r>
      <w:r w:rsidRPr="00745191">
        <w:t>přeshraničních sporech</w:t>
      </w:r>
      <w:r w:rsidR="00745191">
        <w:t xml:space="preserve"> v </w:t>
      </w:r>
      <w:r w:rsidRPr="00745191">
        <w:t>Unii,</w:t>
      </w:r>
      <w:r w:rsidR="00745191">
        <w:t xml:space="preserve"> s </w:t>
      </w:r>
      <w:r w:rsidRPr="00745191">
        <w:t>přihlédnutím</w:t>
      </w:r>
      <w:r w:rsidR="00745191">
        <w:t xml:space="preserve"> k </w:t>
      </w:r>
      <w:r w:rsidRPr="00745191">
        <w:t>dodržování zásad právního státu</w:t>
      </w:r>
      <w:r w:rsidR="00745191">
        <w:t xml:space="preserve"> a </w:t>
      </w:r>
      <w:r w:rsidRPr="00745191">
        <w:t>aktuálnímu mezinárodnímu vývoji</w:t>
      </w:r>
      <w:r w:rsidR="00745191">
        <w:t xml:space="preserve"> v </w:t>
      </w:r>
      <w:r w:rsidRPr="00745191">
        <w:t>této oblasti;</w:t>
      </w:r>
    </w:p>
    <w:p w:rsidR="00753298" w:rsidRPr="00745191" w:rsidRDefault="00753298" w:rsidP="00753298">
      <w:pPr>
        <w:spacing w:after="240"/>
        <w:ind w:left="567" w:hanging="567"/>
        <w:rPr>
          <w:szCs w:val="24"/>
        </w:rPr>
      </w:pPr>
      <w:r w:rsidRPr="00745191">
        <w:t>15.</w:t>
      </w:r>
      <w:r w:rsidRPr="00745191">
        <w:tab/>
        <w:t>vyzývá Komisi, aby při přezkumu pravidel hledala řešení</w:t>
      </w:r>
      <w:r w:rsidR="00745191">
        <w:t xml:space="preserve"> s </w:t>
      </w:r>
      <w:r w:rsidRPr="00745191">
        <w:t>cílem účinně rozšířit oblast působnosti mediace případně</w:t>
      </w:r>
      <w:r w:rsidR="00745191">
        <w:t xml:space="preserve"> i </w:t>
      </w:r>
      <w:r w:rsidRPr="00745191">
        <w:t>na jiné občanské nebo správní záležitosti; zdůrazňuje však, že zvláštní pozornost musí být věnována důsledkům, které by mohla mít mediace na některé sociální otázky, jako je rodinné právo; doporučuje</w:t>
      </w:r>
      <w:r w:rsidR="00745191">
        <w:t xml:space="preserve"> v </w:t>
      </w:r>
      <w:r w:rsidRPr="00745191">
        <w:t>této souvislosti, aby Komise</w:t>
      </w:r>
      <w:r w:rsidR="00745191">
        <w:t xml:space="preserve"> a </w:t>
      </w:r>
      <w:r w:rsidRPr="00745191">
        <w:t>členské státy</w:t>
      </w:r>
      <w:r w:rsidR="00745191">
        <w:t xml:space="preserve"> v </w:t>
      </w:r>
      <w:r w:rsidRPr="00745191">
        <w:t>rámci mediačních postupů uplatnily</w:t>
      </w:r>
      <w:r w:rsidR="00745191">
        <w:t xml:space="preserve"> a </w:t>
      </w:r>
      <w:r w:rsidRPr="00745191">
        <w:t>použily přiměřená ochranná opatření</w:t>
      </w:r>
      <w:r w:rsidR="00745191">
        <w:t xml:space="preserve"> s </w:t>
      </w:r>
      <w:r w:rsidRPr="00745191">
        <w:t>cílem snížit rizika pro slabší strany</w:t>
      </w:r>
      <w:r w:rsidR="00745191">
        <w:t xml:space="preserve"> a </w:t>
      </w:r>
      <w:r w:rsidRPr="00745191">
        <w:t>chránit je proti případnému zneužití řízení nebo postavení silnějšími stranami,</w:t>
      </w:r>
      <w:r w:rsidR="00745191">
        <w:t xml:space="preserve"> a </w:t>
      </w:r>
      <w:r w:rsidRPr="00745191">
        <w:t>aby poskytly komplexní statistické údaje</w:t>
      </w:r>
      <w:r w:rsidR="00745191">
        <w:t xml:space="preserve"> o </w:t>
      </w:r>
      <w:r w:rsidRPr="00745191">
        <w:t>těchto ochranných opatřeních; zdůrazňuje rovněž, že je důležité zajistit dodržení spravedlivých kritérií</w:t>
      </w:r>
      <w:r w:rsidR="00745191">
        <w:t xml:space="preserve"> z </w:t>
      </w:r>
      <w:r w:rsidRPr="00745191">
        <w:t>hlediska nákladů, zejména</w:t>
      </w:r>
      <w:r w:rsidR="00745191">
        <w:t xml:space="preserve"> s </w:t>
      </w:r>
      <w:r w:rsidRPr="00745191">
        <w:t>cílem chránit zájmy znevýhodněných skupin; konstatuje však, že mediace může ztratit svou přitažlivost</w:t>
      </w:r>
      <w:r w:rsidR="00745191">
        <w:t xml:space="preserve"> a </w:t>
      </w:r>
      <w:r w:rsidRPr="00745191">
        <w:t>přidanou hodnotu, pokud se pro zúčastněné strany zavedou příliš přísné normy;</w:t>
      </w:r>
    </w:p>
    <w:p w:rsidR="00F731CD" w:rsidRPr="00745191" w:rsidRDefault="00753298" w:rsidP="00753298">
      <w:pPr>
        <w:pStyle w:val="Normal12Hanging"/>
      </w:pPr>
      <w:r w:rsidRPr="00745191">
        <w:t>16.</w:t>
      </w:r>
      <w:r w:rsidRPr="00745191">
        <w:tab/>
        <w:t>pověřuje svého předsedu, aby předal toto usnesení Radě, Komisi</w:t>
      </w:r>
      <w:r w:rsidR="00745191">
        <w:t xml:space="preserve"> a </w:t>
      </w:r>
      <w:r w:rsidRPr="00745191">
        <w:t>vládám</w:t>
      </w:r>
      <w:r w:rsidR="00745191">
        <w:t xml:space="preserve"> a </w:t>
      </w:r>
      <w:r w:rsidRPr="00745191">
        <w:t>parlamentům členských států.</w:t>
      </w:r>
    </w:p>
    <w:p w:rsidR="00A114B2" w:rsidRPr="00745191" w:rsidRDefault="00A114B2" w:rsidP="00A114B2">
      <w:r w:rsidRPr="00745191">
        <w:br w:type="page"/>
      </w:r>
    </w:p>
    <w:p w:rsidR="00A114B2" w:rsidRPr="00745191" w:rsidRDefault="00A114B2" w:rsidP="00A114B2">
      <w:pPr>
        <w:pStyle w:val="PageHeading"/>
      </w:pPr>
      <w:bookmarkStart w:id="7" w:name="ProcPageRR"/>
      <w:bookmarkStart w:id="8" w:name="_Toc491359620"/>
      <w:r w:rsidRPr="00745191">
        <w:t>INFORMACE</w:t>
      </w:r>
      <w:r w:rsidR="00745191">
        <w:t xml:space="preserve"> O </w:t>
      </w:r>
      <w:r w:rsidRPr="00745191">
        <w:t>PŘIJETÍ</w:t>
      </w:r>
      <w:r w:rsidR="00745191">
        <w:t xml:space="preserve"> V </w:t>
      </w:r>
      <w:r w:rsidRPr="00745191">
        <w:t>PŘÍSLUŠNÉM VÝBORU</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114B2" w:rsidRPr="007451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b/>
                <w:bCs/>
                <w:color w:val="000000"/>
                <w:sz w:val="20"/>
              </w:rPr>
            </w:pPr>
            <w:r w:rsidRPr="00745191">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114B2" w:rsidRPr="00745191" w:rsidRDefault="00A114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114B2" w:rsidRPr="00745191" w:rsidRDefault="00A114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rFonts w:ascii="sans-serif" w:hAnsi="sans-serif" w:cs="sans-serif"/>
                <w:color w:val="000000"/>
                <w:szCs w:val="24"/>
              </w:rPr>
            </w:pPr>
          </w:p>
        </w:tc>
      </w:tr>
      <w:tr w:rsidR="00A114B2" w:rsidRPr="007451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b/>
                <w:bCs/>
                <w:color w:val="000000"/>
                <w:sz w:val="20"/>
              </w:rPr>
            </w:pPr>
            <w:r w:rsidRPr="00745191">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w:t>
            </w:r>
          </w:p>
          <w:p w:rsidR="00A114B2" w:rsidRPr="00745191" w:rsidRDefault="00A114B2">
            <w:pPr>
              <w:autoSpaceDE w:val="0"/>
              <w:autoSpaceDN w:val="0"/>
              <w:adjustRightInd w:val="0"/>
              <w:rPr>
                <w:color w:val="000000"/>
                <w:sz w:val="20"/>
              </w:rPr>
            </w:pPr>
            <w:r w:rsidRPr="00745191">
              <w:rPr>
                <w:color w:val="000000"/>
                <w:sz w:val="20"/>
              </w:rPr>
              <w:t>–:</w:t>
            </w:r>
          </w:p>
          <w:p w:rsidR="00A114B2" w:rsidRPr="00745191" w:rsidRDefault="00A114B2">
            <w:pPr>
              <w:autoSpaceDE w:val="0"/>
              <w:autoSpaceDN w:val="0"/>
              <w:adjustRightInd w:val="0"/>
              <w:rPr>
                <w:color w:val="000000"/>
                <w:sz w:val="20"/>
              </w:rPr>
            </w:pPr>
            <w:r w:rsidRPr="0074519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21</w:t>
            </w:r>
          </w:p>
          <w:p w:rsidR="00A114B2" w:rsidRPr="00745191" w:rsidRDefault="00A114B2">
            <w:pPr>
              <w:autoSpaceDE w:val="0"/>
              <w:autoSpaceDN w:val="0"/>
              <w:adjustRightInd w:val="0"/>
              <w:rPr>
                <w:color w:val="000000"/>
                <w:sz w:val="20"/>
              </w:rPr>
            </w:pPr>
            <w:r w:rsidRPr="00745191">
              <w:rPr>
                <w:color w:val="000000"/>
                <w:sz w:val="20"/>
              </w:rPr>
              <w:t>0</w:t>
            </w:r>
          </w:p>
          <w:p w:rsidR="00A114B2" w:rsidRPr="00745191" w:rsidRDefault="00A114B2">
            <w:pPr>
              <w:autoSpaceDE w:val="0"/>
              <w:autoSpaceDN w:val="0"/>
              <w:adjustRightInd w:val="0"/>
              <w:rPr>
                <w:color w:val="000000"/>
                <w:sz w:val="20"/>
              </w:rPr>
            </w:pPr>
            <w:r w:rsidRPr="00745191">
              <w:rPr>
                <w:color w:val="000000"/>
                <w:sz w:val="20"/>
              </w:rPr>
              <w:t>2</w:t>
            </w:r>
          </w:p>
        </w:tc>
      </w:tr>
      <w:tr w:rsidR="00A114B2" w:rsidRPr="007451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b/>
                <w:bCs/>
                <w:color w:val="000000"/>
                <w:sz w:val="20"/>
              </w:rPr>
            </w:pPr>
            <w:r w:rsidRPr="00745191">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Max Andersson, Joëlle Bergeron, Mady Delvaux, Rosa Estaràs Ferragut, Laura Ferrara, Lidia Joanna Geringer de Oedenberg, Mary Honeyball, Sylvia-Yvonne Kaufmann, António Marinho e Pinto, Emil Radev, Julia Reda, Evelyn Regner, Pavel Svoboda, József Szájer, Axel Voss</w:t>
            </w:r>
          </w:p>
        </w:tc>
      </w:tr>
      <w:tr w:rsidR="00A114B2" w:rsidRPr="007451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b/>
                <w:bCs/>
                <w:color w:val="000000"/>
                <w:sz w:val="20"/>
              </w:rPr>
            </w:pPr>
            <w:r w:rsidRPr="00745191">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Daniel Buda, Angel Dzhambazki, Angelika Niebler, Jens Rohde, Virginie Rozière, Tiemo Wölken, Kosma Złotowski</w:t>
            </w:r>
          </w:p>
        </w:tc>
      </w:tr>
      <w:tr w:rsidR="00A114B2" w:rsidRPr="007451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b/>
                <w:bCs/>
                <w:color w:val="000000"/>
                <w:sz w:val="20"/>
              </w:rPr>
            </w:pPr>
            <w:r w:rsidRPr="00745191">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114B2" w:rsidRPr="00745191" w:rsidRDefault="00A114B2">
            <w:pPr>
              <w:autoSpaceDE w:val="0"/>
              <w:autoSpaceDN w:val="0"/>
              <w:adjustRightInd w:val="0"/>
              <w:rPr>
                <w:color w:val="000000"/>
                <w:sz w:val="20"/>
              </w:rPr>
            </w:pPr>
            <w:r w:rsidRPr="00745191">
              <w:rPr>
                <w:color w:val="000000"/>
                <w:sz w:val="20"/>
              </w:rPr>
              <w:t>Gerolf Annemans, Mylène Troszczynski</w:t>
            </w:r>
          </w:p>
        </w:tc>
      </w:tr>
    </w:tbl>
    <w:p w:rsidR="00A114B2" w:rsidRPr="00745191" w:rsidRDefault="00A114B2">
      <w:pPr>
        <w:autoSpaceDE w:val="0"/>
        <w:autoSpaceDN w:val="0"/>
        <w:adjustRightInd w:val="0"/>
        <w:rPr>
          <w:rFonts w:ascii="Arial" w:hAnsi="Arial" w:cs="Arial"/>
          <w:szCs w:val="24"/>
        </w:rPr>
      </w:pPr>
    </w:p>
    <w:bookmarkEnd w:id="7"/>
    <w:p w:rsidR="00753298" w:rsidRPr="00745191" w:rsidRDefault="00753298" w:rsidP="00753298">
      <w:r w:rsidRPr="00745191">
        <w:br w:type="page"/>
      </w:r>
    </w:p>
    <w:p w:rsidR="00753298" w:rsidRPr="00745191" w:rsidRDefault="00753298" w:rsidP="00AD5932">
      <w:pPr>
        <w:pStyle w:val="PageHeading"/>
        <w:rPr>
          <w:szCs w:val="24"/>
        </w:rPr>
      </w:pPr>
      <w:bookmarkStart w:id="9" w:name="RollCallPageRR"/>
      <w:bookmarkStart w:id="10" w:name="_Toc491359621"/>
      <w:r w:rsidRPr="00745191">
        <w:t>JMENOVITÉ KONEČNÉ HLASOVÁNÍ</w:t>
      </w:r>
      <w:r w:rsidRPr="00745191">
        <w:br/>
        <w:t>V PŘÍSLUŠNÉM VÝBORU</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3298" w:rsidRPr="00745191" w:rsidTr="008920AC">
        <w:trPr>
          <w:cantSplit/>
        </w:trPr>
        <w:tc>
          <w:tcPr>
            <w:tcW w:w="1701" w:type="dxa"/>
            <w:shd w:val="pct10" w:color="000000" w:fill="FFFFFF"/>
            <w:vAlign w:val="center"/>
          </w:tcPr>
          <w:p w:rsidR="00753298" w:rsidRPr="00745191" w:rsidRDefault="00753298" w:rsidP="008920AC">
            <w:pPr>
              <w:spacing w:before="120" w:after="120"/>
              <w:jc w:val="center"/>
              <w:rPr>
                <w:b/>
                <w:sz w:val="20"/>
              </w:rPr>
            </w:pPr>
            <w:r w:rsidRPr="00745191">
              <w:rPr>
                <w:b/>
                <w:sz w:val="20"/>
              </w:rPr>
              <w:t>21</w:t>
            </w:r>
          </w:p>
        </w:tc>
        <w:tc>
          <w:tcPr>
            <w:tcW w:w="7371" w:type="dxa"/>
            <w:shd w:val="pct10" w:color="000000" w:fill="FFFFFF"/>
          </w:tcPr>
          <w:p w:rsidR="00753298" w:rsidRPr="00745191" w:rsidRDefault="00753298" w:rsidP="008920AC">
            <w:pPr>
              <w:spacing w:before="120" w:after="120"/>
              <w:jc w:val="center"/>
              <w:rPr>
                <w:rFonts w:ascii="Arial" w:hAnsi="Arial" w:cs="Arial"/>
                <w:b/>
                <w:sz w:val="28"/>
                <w:szCs w:val="28"/>
              </w:rPr>
            </w:pPr>
            <w:r w:rsidRPr="00745191">
              <w:rPr>
                <w:rFonts w:ascii="Arial" w:hAnsi="Arial"/>
                <w:b/>
                <w:sz w:val="28"/>
                <w:szCs w:val="28"/>
              </w:rPr>
              <w:t>+</w:t>
            </w:r>
          </w:p>
        </w:tc>
      </w:tr>
      <w:tr w:rsidR="00753298" w:rsidRPr="00745191" w:rsidTr="008920AC">
        <w:trPr>
          <w:cantSplit/>
        </w:trPr>
        <w:tc>
          <w:tcPr>
            <w:tcW w:w="1701" w:type="dxa"/>
            <w:shd w:val="clear" w:color="auto" w:fill="FFFFFF"/>
          </w:tcPr>
          <w:p w:rsidR="00753298" w:rsidRPr="00745191" w:rsidRDefault="00753298" w:rsidP="00753298">
            <w:pPr>
              <w:spacing w:before="240" w:after="120"/>
              <w:rPr>
                <w:sz w:val="20"/>
              </w:rPr>
            </w:pPr>
            <w:r w:rsidRPr="00745191">
              <w:rPr>
                <w:sz w:val="20"/>
              </w:rPr>
              <w:t xml:space="preserve">PPE </w:t>
            </w:r>
          </w:p>
          <w:p w:rsidR="00753298" w:rsidRPr="00745191" w:rsidRDefault="00753298" w:rsidP="00753298">
            <w:pPr>
              <w:spacing w:before="240" w:after="120"/>
              <w:rPr>
                <w:sz w:val="20"/>
              </w:rPr>
            </w:pPr>
            <w:r w:rsidRPr="00745191">
              <w:rPr>
                <w:sz w:val="20"/>
              </w:rPr>
              <w:t>S&amp;D</w:t>
            </w:r>
          </w:p>
          <w:p w:rsidR="00753298" w:rsidRPr="00745191" w:rsidRDefault="00753298" w:rsidP="00753298">
            <w:pPr>
              <w:spacing w:before="240" w:after="120"/>
              <w:rPr>
                <w:sz w:val="20"/>
              </w:rPr>
            </w:pPr>
            <w:r w:rsidRPr="00745191">
              <w:rPr>
                <w:sz w:val="20"/>
              </w:rPr>
              <w:t>ECR</w:t>
            </w:r>
          </w:p>
          <w:p w:rsidR="00753298" w:rsidRPr="00745191" w:rsidRDefault="00753298" w:rsidP="00753298">
            <w:pPr>
              <w:spacing w:before="100" w:beforeAutospacing="1" w:after="120"/>
              <w:rPr>
                <w:sz w:val="20"/>
              </w:rPr>
            </w:pPr>
            <w:r w:rsidRPr="00745191">
              <w:rPr>
                <w:sz w:val="20"/>
              </w:rPr>
              <w:t>ALDE</w:t>
            </w:r>
          </w:p>
          <w:p w:rsidR="00753298" w:rsidRPr="00745191" w:rsidRDefault="00753298" w:rsidP="00753298">
            <w:pPr>
              <w:spacing w:before="100" w:beforeAutospacing="1" w:after="120"/>
              <w:rPr>
                <w:sz w:val="20"/>
              </w:rPr>
            </w:pPr>
            <w:r w:rsidRPr="00745191">
              <w:rPr>
                <w:sz w:val="20"/>
              </w:rPr>
              <w:t>VERTS/ALE</w:t>
            </w:r>
          </w:p>
          <w:p w:rsidR="00753298" w:rsidRPr="00745191" w:rsidRDefault="00753298" w:rsidP="00753298">
            <w:pPr>
              <w:spacing w:before="120" w:after="120"/>
              <w:rPr>
                <w:sz w:val="20"/>
              </w:rPr>
            </w:pPr>
            <w:r w:rsidRPr="00745191">
              <w:rPr>
                <w:sz w:val="20"/>
              </w:rPr>
              <w:t>EFDD</w:t>
            </w:r>
          </w:p>
        </w:tc>
        <w:tc>
          <w:tcPr>
            <w:tcW w:w="7371" w:type="dxa"/>
            <w:shd w:val="clear" w:color="auto" w:fill="FFFFFF"/>
          </w:tcPr>
          <w:p w:rsidR="00753298" w:rsidRPr="00745191" w:rsidRDefault="00753298" w:rsidP="00753298">
            <w:pPr>
              <w:spacing w:before="100" w:beforeAutospacing="1" w:after="100" w:afterAutospacing="1"/>
              <w:rPr>
                <w:sz w:val="20"/>
              </w:rPr>
            </w:pPr>
            <w:r w:rsidRPr="00745191">
              <w:rPr>
                <w:sz w:val="20"/>
              </w:rPr>
              <w:t>Daniel Buda, Rosa Estaràs Ferragut, Angelika Niebler, Emil Radev, Pavel Svoboda, József Szájer, Axel Voss</w:t>
            </w:r>
          </w:p>
          <w:p w:rsidR="00753298" w:rsidRPr="00745191" w:rsidRDefault="00753298" w:rsidP="00753298">
            <w:pPr>
              <w:spacing w:before="100" w:beforeAutospacing="1" w:after="100" w:afterAutospacing="1"/>
              <w:rPr>
                <w:sz w:val="20"/>
              </w:rPr>
            </w:pPr>
            <w:r w:rsidRPr="00745191">
              <w:rPr>
                <w:sz w:val="20"/>
              </w:rPr>
              <w:t>Mady Delvaux, Lidia Joanna Geringer de Oedenberg, Mary Honeyball, Sylvia-Yvonne Kaufmann, Evelyn Regner, Tiemo Wölken</w:t>
            </w:r>
          </w:p>
          <w:p w:rsidR="00753298" w:rsidRPr="00745191" w:rsidRDefault="00753298" w:rsidP="00753298">
            <w:pPr>
              <w:spacing w:before="100" w:beforeAutospacing="1" w:after="100" w:afterAutospacing="1"/>
              <w:rPr>
                <w:sz w:val="20"/>
              </w:rPr>
            </w:pPr>
            <w:r w:rsidRPr="00745191">
              <w:rPr>
                <w:sz w:val="20"/>
              </w:rPr>
              <w:t>Angel Dzhambazki, Kosma Zlotowski</w:t>
            </w:r>
          </w:p>
          <w:p w:rsidR="00753298" w:rsidRPr="00745191" w:rsidRDefault="00753298" w:rsidP="00753298">
            <w:pPr>
              <w:spacing w:before="100" w:beforeAutospacing="1" w:after="100" w:afterAutospacing="1"/>
              <w:rPr>
                <w:sz w:val="20"/>
              </w:rPr>
            </w:pPr>
            <w:r w:rsidRPr="00745191">
              <w:rPr>
                <w:sz w:val="20"/>
              </w:rPr>
              <w:t>António Marinho e Pinto, Jens Rohde</w:t>
            </w:r>
          </w:p>
          <w:p w:rsidR="00753298" w:rsidRPr="00745191" w:rsidRDefault="00753298" w:rsidP="00753298">
            <w:pPr>
              <w:spacing w:before="100" w:beforeAutospacing="1" w:after="100" w:afterAutospacing="1"/>
              <w:rPr>
                <w:sz w:val="20"/>
              </w:rPr>
            </w:pPr>
            <w:r w:rsidRPr="00745191">
              <w:rPr>
                <w:sz w:val="20"/>
              </w:rPr>
              <w:t>Max Andersson, Julia Reda</w:t>
            </w:r>
          </w:p>
          <w:p w:rsidR="00753298" w:rsidRPr="00745191" w:rsidRDefault="00753298" w:rsidP="00753298">
            <w:pPr>
              <w:spacing w:before="100" w:beforeAutospacing="1" w:after="100" w:afterAutospacing="1"/>
              <w:rPr>
                <w:sz w:val="20"/>
              </w:rPr>
            </w:pPr>
            <w:r w:rsidRPr="00745191">
              <w:rPr>
                <w:sz w:val="20"/>
              </w:rPr>
              <w:t>Joëlle Bergeron, Laura Ferrara</w:t>
            </w:r>
          </w:p>
        </w:tc>
      </w:tr>
    </w:tbl>
    <w:p w:rsidR="00753298" w:rsidRPr="00745191" w:rsidRDefault="0075329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3298" w:rsidRPr="00745191" w:rsidTr="008920AC">
        <w:trPr>
          <w:cantSplit/>
        </w:trPr>
        <w:tc>
          <w:tcPr>
            <w:tcW w:w="1701" w:type="dxa"/>
            <w:shd w:val="pct10" w:color="000000" w:fill="FFFFFF"/>
            <w:vAlign w:val="center"/>
          </w:tcPr>
          <w:p w:rsidR="00753298" w:rsidRPr="00745191" w:rsidRDefault="00753298" w:rsidP="008920AC">
            <w:pPr>
              <w:spacing w:before="120" w:after="120"/>
              <w:jc w:val="center"/>
              <w:rPr>
                <w:b/>
                <w:sz w:val="20"/>
              </w:rPr>
            </w:pPr>
            <w:r w:rsidRPr="00745191">
              <w:rPr>
                <w:b/>
                <w:sz w:val="20"/>
              </w:rPr>
              <w:t>0</w:t>
            </w:r>
          </w:p>
        </w:tc>
        <w:tc>
          <w:tcPr>
            <w:tcW w:w="7371" w:type="dxa"/>
            <w:shd w:val="pct10" w:color="000000" w:fill="FFFFFF"/>
          </w:tcPr>
          <w:p w:rsidR="00753298" w:rsidRPr="00745191" w:rsidRDefault="00753298" w:rsidP="008920AC">
            <w:pPr>
              <w:spacing w:before="120" w:after="120"/>
              <w:jc w:val="center"/>
              <w:rPr>
                <w:sz w:val="28"/>
                <w:szCs w:val="28"/>
              </w:rPr>
            </w:pPr>
            <w:r w:rsidRPr="00745191">
              <w:rPr>
                <w:rFonts w:ascii="Arial" w:hAnsi="Arial"/>
                <w:b/>
                <w:sz w:val="28"/>
                <w:szCs w:val="28"/>
              </w:rPr>
              <w:t>-</w:t>
            </w:r>
          </w:p>
        </w:tc>
      </w:tr>
      <w:tr w:rsidR="00753298" w:rsidRPr="00745191" w:rsidTr="008920AC">
        <w:trPr>
          <w:cantSplit/>
        </w:trPr>
        <w:tc>
          <w:tcPr>
            <w:tcW w:w="1701" w:type="dxa"/>
            <w:shd w:val="clear" w:color="auto" w:fill="FFFFFF"/>
          </w:tcPr>
          <w:p w:rsidR="00753298" w:rsidRPr="00745191" w:rsidRDefault="00753298" w:rsidP="008920AC">
            <w:pPr>
              <w:spacing w:before="120" w:after="120"/>
              <w:rPr>
                <w:sz w:val="20"/>
              </w:rPr>
            </w:pPr>
          </w:p>
        </w:tc>
        <w:tc>
          <w:tcPr>
            <w:tcW w:w="7371" w:type="dxa"/>
            <w:shd w:val="clear" w:color="auto" w:fill="FFFFFF"/>
          </w:tcPr>
          <w:p w:rsidR="00753298" w:rsidRPr="00745191" w:rsidRDefault="00753298" w:rsidP="008920AC">
            <w:pPr>
              <w:spacing w:before="120" w:after="120"/>
              <w:rPr>
                <w:sz w:val="20"/>
              </w:rPr>
            </w:pPr>
          </w:p>
        </w:tc>
      </w:tr>
    </w:tbl>
    <w:p w:rsidR="00753298" w:rsidRPr="00745191" w:rsidRDefault="0075329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3298" w:rsidRPr="00745191" w:rsidTr="008920AC">
        <w:trPr>
          <w:cantSplit/>
        </w:trPr>
        <w:tc>
          <w:tcPr>
            <w:tcW w:w="1701" w:type="dxa"/>
            <w:shd w:val="pct10" w:color="000000" w:fill="FFFFFF"/>
            <w:vAlign w:val="center"/>
          </w:tcPr>
          <w:p w:rsidR="00753298" w:rsidRPr="00745191" w:rsidRDefault="00753298" w:rsidP="008920AC">
            <w:pPr>
              <w:spacing w:before="120" w:after="120"/>
              <w:jc w:val="center"/>
              <w:rPr>
                <w:b/>
                <w:sz w:val="20"/>
              </w:rPr>
            </w:pPr>
            <w:r w:rsidRPr="00745191">
              <w:rPr>
                <w:b/>
                <w:sz w:val="20"/>
              </w:rPr>
              <w:t>2</w:t>
            </w:r>
          </w:p>
        </w:tc>
        <w:tc>
          <w:tcPr>
            <w:tcW w:w="7371" w:type="dxa"/>
            <w:shd w:val="pct10" w:color="000000" w:fill="FFFFFF"/>
          </w:tcPr>
          <w:p w:rsidR="00753298" w:rsidRPr="00745191" w:rsidRDefault="00753298" w:rsidP="008920AC">
            <w:pPr>
              <w:spacing w:before="120" w:after="120"/>
              <w:jc w:val="center"/>
              <w:rPr>
                <w:sz w:val="28"/>
                <w:szCs w:val="28"/>
              </w:rPr>
            </w:pPr>
            <w:r w:rsidRPr="00745191">
              <w:rPr>
                <w:rFonts w:ascii="Arial" w:hAnsi="Arial"/>
                <w:b/>
                <w:sz w:val="28"/>
                <w:szCs w:val="28"/>
              </w:rPr>
              <w:t>0</w:t>
            </w:r>
          </w:p>
        </w:tc>
      </w:tr>
      <w:tr w:rsidR="00753298" w:rsidRPr="00745191" w:rsidTr="008920AC">
        <w:trPr>
          <w:cantSplit/>
        </w:trPr>
        <w:tc>
          <w:tcPr>
            <w:tcW w:w="1701" w:type="dxa"/>
            <w:shd w:val="clear" w:color="auto" w:fill="FFFFFF"/>
          </w:tcPr>
          <w:p w:rsidR="00753298" w:rsidRPr="00745191" w:rsidRDefault="00753298" w:rsidP="008920AC">
            <w:pPr>
              <w:spacing w:before="120" w:after="120"/>
              <w:rPr>
                <w:sz w:val="20"/>
              </w:rPr>
            </w:pPr>
            <w:r w:rsidRPr="00745191">
              <w:rPr>
                <w:sz w:val="20"/>
              </w:rPr>
              <w:t>ENF</w:t>
            </w:r>
          </w:p>
        </w:tc>
        <w:tc>
          <w:tcPr>
            <w:tcW w:w="7371" w:type="dxa"/>
            <w:shd w:val="clear" w:color="auto" w:fill="FFFFFF"/>
          </w:tcPr>
          <w:p w:rsidR="00753298" w:rsidRPr="00745191" w:rsidRDefault="00753298" w:rsidP="008920AC">
            <w:pPr>
              <w:spacing w:before="120" w:after="120"/>
              <w:rPr>
                <w:sz w:val="20"/>
              </w:rPr>
            </w:pPr>
            <w:r w:rsidRPr="00745191">
              <w:rPr>
                <w:sz w:val="20"/>
              </w:rPr>
              <w:t>Gerolf Annemans; Mylène Troszczynski</w:t>
            </w:r>
          </w:p>
        </w:tc>
      </w:tr>
    </w:tbl>
    <w:p w:rsidR="00753298" w:rsidRPr="00745191" w:rsidRDefault="00753298" w:rsidP="00147FBF">
      <w:pPr>
        <w:pStyle w:val="Normal12"/>
      </w:pPr>
    </w:p>
    <w:p w:rsidR="00753298" w:rsidRPr="00745191" w:rsidRDefault="00753298" w:rsidP="00B735E3">
      <w:r w:rsidRPr="00745191">
        <w:t>Význam zkratek:</w:t>
      </w:r>
    </w:p>
    <w:p w:rsidR="00753298" w:rsidRPr="00745191" w:rsidRDefault="00753298" w:rsidP="00B735E3">
      <w:pPr>
        <w:pStyle w:val="NormalTabs"/>
      </w:pPr>
      <w:r w:rsidRPr="00745191">
        <w:t>+</w:t>
      </w:r>
      <w:r w:rsidRPr="00745191">
        <w:tab/>
        <w:t>:</w:t>
      </w:r>
      <w:r w:rsidRPr="00745191">
        <w:tab/>
        <w:t>pro</w:t>
      </w:r>
    </w:p>
    <w:p w:rsidR="00753298" w:rsidRPr="00745191" w:rsidRDefault="00753298" w:rsidP="00B735E3">
      <w:pPr>
        <w:pStyle w:val="NormalTabs"/>
      </w:pPr>
      <w:r w:rsidRPr="00745191">
        <w:t>-</w:t>
      </w:r>
      <w:r w:rsidRPr="00745191">
        <w:tab/>
        <w:t>:</w:t>
      </w:r>
      <w:r w:rsidRPr="00745191">
        <w:tab/>
        <w:t>proti</w:t>
      </w:r>
    </w:p>
    <w:p w:rsidR="00753298" w:rsidRPr="00745191" w:rsidRDefault="00753298" w:rsidP="00B735E3">
      <w:pPr>
        <w:pStyle w:val="NormalTabs"/>
      </w:pPr>
      <w:r w:rsidRPr="00745191">
        <w:t>0</w:t>
      </w:r>
      <w:r w:rsidRPr="00745191">
        <w:tab/>
        <w:t>:</w:t>
      </w:r>
      <w:r w:rsidRPr="00745191">
        <w:tab/>
        <w:t>zdrželi se</w:t>
      </w:r>
    </w:p>
    <w:p w:rsidR="00753298" w:rsidRPr="00745191" w:rsidRDefault="00753298" w:rsidP="00AD5932"/>
    <w:bookmarkEnd w:id="9"/>
    <w:p w:rsidR="00100069" w:rsidRPr="00745191" w:rsidRDefault="00100069" w:rsidP="00753298"/>
    <w:sectPr w:rsidR="00100069" w:rsidRPr="00745191" w:rsidSect="001E033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1E" w:rsidRPr="001E0334" w:rsidRDefault="008C6B1E">
      <w:r w:rsidRPr="001E0334">
        <w:separator/>
      </w:r>
    </w:p>
  </w:endnote>
  <w:endnote w:type="continuationSeparator" w:id="0">
    <w:p w:rsidR="008C6B1E" w:rsidRPr="001E0334" w:rsidRDefault="008C6B1E">
      <w:r w:rsidRPr="001E03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B2" w:rsidRDefault="00A114B2" w:rsidP="00A114B2">
    <w:pPr>
      <w:pStyle w:val="Footer"/>
    </w:pPr>
    <w:r>
      <w:t>PE</w:t>
    </w:r>
    <w:r w:rsidRPr="00A114B2">
      <w:rPr>
        <w:rStyle w:val="HideTWBExt"/>
      </w:rPr>
      <w:t>&lt;NoPE&gt;</w:t>
    </w:r>
    <w:r>
      <w:t>595.445</w:t>
    </w:r>
    <w:r w:rsidRPr="00A114B2">
      <w:rPr>
        <w:rStyle w:val="HideTWBExt"/>
      </w:rPr>
      <w:t>&lt;/NoPE&gt;&lt;Version&gt;</w:t>
    </w:r>
    <w:r>
      <w:t>v02-00</w:t>
    </w:r>
    <w:r w:rsidRPr="00A114B2">
      <w:rPr>
        <w:rStyle w:val="HideTWBExt"/>
      </w:rPr>
      <w:t>&lt;/Version&gt;</w:t>
    </w:r>
    <w:r>
      <w:tab/>
    </w:r>
    <w:r>
      <w:fldChar w:fldCharType="begin"/>
    </w:r>
    <w:r>
      <w:instrText xml:space="preserve"> PAGE  \* MERGEFORMAT </w:instrText>
    </w:r>
    <w:r>
      <w:fldChar w:fldCharType="separate"/>
    </w:r>
    <w:r w:rsidR="00745191">
      <w:rPr>
        <w:noProof/>
      </w:rPr>
      <w:t>2</w:t>
    </w:r>
    <w:r>
      <w:fldChar w:fldCharType="end"/>
    </w:r>
    <w:r>
      <w:t>/</w:t>
    </w:r>
    <w:fldSimple w:instr=" NUMPAGES  \* MERGEFORMAT ">
      <w:r w:rsidR="00745191">
        <w:rPr>
          <w:noProof/>
        </w:rPr>
        <w:t>12</w:t>
      </w:r>
    </w:fldSimple>
    <w:r>
      <w:tab/>
    </w:r>
    <w:r w:rsidRPr="00A114B2">
      <w:rPr>
        <w:rStyle w:val="HideTWBExt"/>
      </w:rPr>
      <w:t>&lt;PathFdR&gt;</w:t>
    </w:r>
    <w:r>
      <w:t>RR\1129436CS.docx</w:t>
    </w:r>
    <w:r w:rsidRPr="00A114B2">
      <w:rPr>
        <w:rStyle w:val="HideTWBExt"/>
      </w:rPr>
      <w:t>&lt;/PathFdR&gt;</w:t>
    </w:r>
  </w:p>
  <w:p w:rsidR="00100069" w:rsidRPr="001E0334" w:rsidRDefault="00A114B2" w:rsidP="00A114B2">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B2" w:rsidRDefault="00A114B2" w:rsidP="00A114B2">
    <w:pPr>
      <w:pStyle w:val="Footer"/>
    </w:pPr>
    <w:r w:rsidRPr="00A114B2">
      <w:rPr>
        <w:rStyle w:val="HideTWBExt"/>
      </w:rPr>
      <w:t>&lt;PathFdR&gt;</w:t>
    </w:r>
    <w:r>
      <w:t>RR\1129436CS.docx</w:t>
    </w:r>
    <w:r w:rsidRPr="00A114B2">
      <w:rPr>
        <w:rStyle w:val="HideTWBExt"/>
      </w:rPr>
      <w:t>&lt;/PathFdR&gt;</w:t>
    </w:r>
    <w:r>
      <w:tab/>
    </w:r>
    <w:r>
      <w:fldChar w:fldCharType="begin"/>
    </w:r>
    <w:r>
      <w:instrText xml:space="preserve"> PAGE  \* MERGEFORMAT </w:instrText>
    </w:r>
    <w:r>
      <w:fldChar w:fldCharType="separate"/>
    </w:r>
    <w:r w:rsidR="00745191">
      <w:rPr>
        <w:noProof/>
      </w:rPr>
      <w:t>3</w:t>
    </w:r>
    <w:r>
      <w:fldChar w:fldCharType="end"/>
    </w:r>
    <w:r>
      <w:t>/</w:t>
    </w:r>
    <w:fldSimple w:instr=" NUMPAGES  \* MERGEFORMAT ">
      <w:r w:rsidR="00745191">
        <w:rPr>
          <w:noProof/>
        </w:rPr>
        <w:t>12</w:t>
      </w:r>
    </w:fldSimple>
    <w:r>
      <w:tab/>
      <w:t>PE</w:t>
    </w:r>
    <w:r w:rsidRPr="00A114B2">
      <w:rPr>
        <w:rStyle w:val="HideTWBExt"/>
      </w:rPr>
      <w:t>&lt;NoPE&gt;</w:t>
    </w:r>
    <w:r>
      <w:t>595.445</w:t>
    </w:r>
    <w:r w:rsidRPr="00A114B2">
      <w:rPr>
        <w:rStyle w:val="HideTWBExt"/>
      </w:rPr>
      <w:t>&lt;/NoPE&gt;&lt;Version&gt;</w:t>
    </w:r>
    <w:r>
      <w:t>v02-00</w:t>
    </w:r>
    <w:r w:rsidRPr="00A114B2">
      <w:rPr>
        <w:rStyle w:val="HideTWBExt"/>
      </w:rPr>
      <w:t>&lt;/Version&gt;</w:t>
    </w:r>
  </w:p>
  <w:p w:rsidR="00100069" w:rsidRPr="001E0334" w:rsidRDefault="00A114B2" w:rsidP="00A114B2">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B2" w:rsidRDefault="00A114B2" w:rsidP="00A114B2">
    <w:pPr>
      <w:pStyle w:val="Footer"/>
    </w:pPr>
    <w:r w:rsidRPr="00A114B2">
      <w:rPr>
        <w:rStyle w:val="HideTWBExt"/>
      </w:rPr>
      <w:t>&lt;PathFdR&gt;</w:t>
    </w:r>
    <w:r>
      <w:t>RR\1129436CS.docx</w:t>
    </w:r>
    <w:r w:rsidRPr="00A114B2">
      <w:rPr>
        <w:rStyle w:val="HideTWBExt"/>
      </w:rPr>
      <w:t>&lt;/PathFdR&gt;</w:t>
    </w:r>
    <w:r>
      <w:tab/>
    </w:r>
    <w:r>
      <w:tab/>
      <w:t>PE</w:t>
    </w:r>
    <w:r w:rsidRPr="00A114B2">
      <w:rPr>
        <w:rStyle w:val="HideTWBExt"/>
      </w:rPr>
      <w:t>&lt;NoPE&gt;</w:t>
    </w:r>
    <w:r>
      <w:t>595.445</w:t>
    </w:r>
    <w:r w:rsidRPr="00A114B2">
      <w:rPr>
        <w:rStyle w:val="HideTWBExt"/>
      </w:rPr>
      <w:t>&lt;/NoPE&gt;&lt;Version&gt;</w:t>
    </w:r>
    <w:r>
      <w:t>v02-00</w:t>
    </w:r>
    <w:r w:rsidRPr="00A114B2">
      <w:rPr>
        <w:rStyle w:val="HideTWBExt"/>
      </w:rPr>
      <w:t>&lt;/Version&gt;</w:t>
    </w:r>
  </w:p>
  <w:p w:rsidR="00100069" w:rsidRPr="001E0334" w:rsidRDefault="00A114B2" w:rsidP="00A114B2">
    <w:pPr>
      <w:pStyle w:val="Footer2"/>
      <w:tabs>
        <w:tab w:val="center" w:pos="4535"/>
      </w:tabs>
    </w:pPr>
    <w:r>
      <w:t>CS</w:t>
    </w:r>
    <w:r>
      <w:tab/>
    </w:r>
    <w:r w:rsidRPr="00A114B2">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1E" w:rsidRPr="001E0334" w:rsidRDefault="008C6B1E">
      <w:r w:rsidRPr="001E0334">
        <w:separator/>
      </w:r>
    </w:p>
  </w:footnote>
  <w:footnote w:type="continuationSeparator" w:id="0">
    <w:p w:rsidR="008C6B1E" w:rsidRPr="001E0334" w:rsidRDefault="008C6B1E">
      <w:r w:rsidRPr="001E0334">
        <w:continuationSeparator/>
      </w:r>
    </w:p>
  </w:footnote>
  <w:footnote w:id="1">
    <w:p w:rsidR="00F431BF" w:rsidRPr="001E0334" w:rsidRDefault="00F431BF" w:rsidP="00F431BF">
      <w:pPr>
        <w:pStyle w:val="FootnoteText"/>
      </w:pPr>
      <w:r w:rsidRPr="001E0334">
        <w:rPr>
          <w:rStyle w:val="FootnoteReference"/>
        </w:rPr>
        <w:footnoteRef/>
      </w:r>
      <w:r>
        <w:t xml:space="preserve"> http://bookshop.europa.eu/is-bin/INTERSHOP.enfinity/WFS/EU-Bookshop-Site/en_GB/-</w:t>
      </w:r>
    </w:p>
    <w:p w:rsidR="00F431BF" w:rsidRPr="001E0334" w:rsidRDefault="00F431BF" w:rsidP="00F431BF">
      <w:pPr>
        <w:pStyle w:val="FootnoteText"/>
      </w:pPr>
      <w:r>
        <w:t>/EUR/ViewPublication-Start?PublicationKey=DS0216335</w:t>
      </w:r>
    </w:p>
  </w:footnote>
  <w:footnote w:id="2">
    <w:p w:rsidR="00F431BF" w:rsidRPr="001E0334" w:rsidRDefault="00F431BF" w:rsidP="00F431BF">
      <w:pPr>
        <w:pStyle w:val="FootnoteText"/>
      </w:pPr>
      <w:r w:rsidRPr="001E0334">
        <w:rPr>
          <w:rStyle w:val="FootnoteReference"/>
        </w:rPr>
        <w:footnoteRef/>
      </w:r>
      <w:r>
        <w:t xml:space="preserve"> Jen tři členské státy, a to Irsko, Nizozemsko a Spojené království, se rozhodly provést směrnici pouze s ohledem na přeshraniční případy.</w:t>
      </w:r>
    </w:p>
  </w:footnote>
  <w:footnote w:id="3">
    <w:p w:rsidR="00F431BF" w:rsidRPr="001E0334" w:rsidRDefault="00F431BF" w:rsidP="00F431BF">
      <w:pPr>
        <w:pStyle w:val="FootnoteText"/>
      </w:pPr>
      <w:r w:rsidRPr="001E0334">
        <w:rPr>
          <w:rStyle w:val="FootnoteReference"/>
        </w:rPr>
        <w:footnoteRef/>
      </w:r>
      <w:r>
        <w:t xml:space="preserve"> AT, CZ, EE, EL, ES IE, PT, SI, SK, UK.</w:t>
      </w:r>
    </w:p>
  </w:footnote>
  <w:footnote w:id="4">
    <w:p w:rsidR="00F431BF" w:rsidRPr="001E0334" w:rsidRDefault="00F431BF" w:rsidP="00F431BF">
      <w:pPr>
        <w:pStyle w:val="FootnoteText"/>
      </w:pPr>
      <w:r w:rsidRPr="001E0334">
        <w:rPr>
          <w:rStyle w:val="FootnoteReference"/>
        </w:rPr>
        <w:footnoteRef/>
      </w:r>
      <w:r>
        <w:t xml:space="preserve"> CY, CZ, ES, DE, FR, HU, IT, LT, PL, PT, RO, SK.</w:t>
      </w:r>
    </w:p>
  </w:footnote>
  <w:footnote w:id="5">
    <w:p w:rsidR="00F431BF" w:rsidRPr="001E0334" w:rsidRDefault="00F431BF" w:rsidP="00F431BF">
      <w:pPr>
        <w:pStyle w:val="FootnoteText"/>
      </w:pPr>
      <w:r w:rsidRPr="001E0334">
        <w:rPr>
          <w:rStyle w:val="FootnoteReference"/>
        </w:rPr>
        <w:footnoteRef/>
      </w:r>
      <w:r>
        <w:t xml:space="preserve"> AT, BG, CY, EL, ES, HU, IT, LT, LV, PL, PT, RO, SI, SK.</w:t>
      </w:r>
    </w:p>
  </w:footnote>
  <w:footnote w:id="6">
    <w:p w:rsidR="00F431BF" w:rsidRPr="001E0334" w:rsidRDefault="00F431BF" w:rsidP="00F431BF">
      <w:pPr>
        <w:pStyle w:val="FootnoteText"/>
      </w:pPr>
      <w:r w:rsidRPr="001E0334">
        <w:rPr>
          <w:rStyle w:val="FootnoteReference"/>
        </w:rPr>
        <w:footnoteRef/>
      </w:r>
      <w:r>
        <w:t xml:space="preserve"> AT, BE, BG, CY, CZ, DE, EE, EL, ES, HU, IT, LT, LV, PL, PT, RO, SI, SK.</w:t>
      </w:r>
    </w:p>
  </w:footnote>
  <w:footnote w:id="7">
    <w:p w:rsidR="00F431BF" w:rsidRPr="001E0334" w:rsidRDefault="00F431BF" w:rsidP="00F431BF">
      <w:pPr>
        <w:pStyle w:val="FootnoteText"/>
      </w:pPr>
      <w:r w:rsidRPr="001E0334">
        <w:rPr>
          <w:rStyle w:val="FootnoteReference"/>
        </w:rPr>
        <w:footnoteRef/>
      </w:r>
      <w:r>
        <w:t xml:space="preserve"> AT, BE, BG, CY, EL, ES, FI, FR, IE, IT, LT, LV, MT, PL, PT, RO, SE, SI, SK.</w:t>
      </w:r>
    </w:p>
  </w:footnote>
  <w:footnote w:id="8">
    <w:p w:rsidR="00F431BF" w:rsidRPr="001E0334" w:rsidRDefault="00F431BF" w:rsidP="00F431BF">
      <w:pPr>
        <w:pStyle w:val="FootnoteText"/>
      </w:pPr>
      <w:r w:rsidRPr="001E0334">
        <w:rPr>
          <w:rStyle w:val="FootnoteReference"/>
        </w:rPr>
        <w:footnoteRef/>
      </w:r>
      <w:r>
        <w:t xml:space="preserve"> AT, BE, BG, CY, EL, ES FI, HR, HU, IT, LT, LV, RO, SE, SI, SK, UK.</w:t>
      </w:r>
    </w:p>
  </w:footnote>
  <w:footnote w:id="9">
    <w:p w:rsidR="00F431BF" w:rsidRPr="001E0334" w:rsidRDefault="00F431BF" w:rsidP="00F431BF">
      <w:pPr>
        <w:pStyle w:val="FootnoteText"/>
      </w:pPr>
      <w:r w:rsidRPr="001E0334">
        <w:rPr>
          <w:rStyle w:val="FootnoteReference"/>
        </w:rPr>
        <w:footnoteRef/>
      </w:r>
      <w:r>
        <w:t xml:space="preserve"> Soudní dvůr, C</w:t>
      </w:r>
      <w:r>
        <w:rPr>
          <w:rFonts w:ascii="MS Mincho" w:hAnsi="MS Mincho"/>
        </w:rPr>
        <w:t>-</w:t>
      </w:r>
      <w:r>
        <w:t>317/08, C</w:t>
      </w:r>
      <w:r>
        <w:rPr>
          <w:rFonts w:ascii="MS Mincho" w:hAnsi="MS Mincho"/>
        </w:rPr>
        <w:t>-</w:t>
      </w:r>
      <w:r>
        <w:t>318/08, C</w:t>
      </w:r>
      <w:r>
        <w:rPr>
          <w:rFonts w:ascii="MS Mincho" w:hAnsi="MS Mincho"/>
        </w:rPr>
        <w:t>-</w:t>
      </w:r>
      <w:r>
        <w:t>319/08 a C</w:t>
      </w:r>
      <w:r>
        <w:rPr>
          <w:rFonts w:ascii="MS Mincho" w:hAnsi="MS Mincho"/>
        </w:rPr>
        <w:t>-</w:t>
      </w:r>
      <w:r>
        <w:t xml:space="preserve">320/08 (bod 2), </w:t>
      </w:r>
      <w:r>
        <w:rPr>
          <w:rStyle w:val="outputecli"/>
        </w:rPr>
        <w:t>ECLI:EU:C:2010:146</w:t>
      </w:r>
      <w:r>
        <w:t>.</w:t>
      </w:r>
    </w:p>
  </w:footnote>
  <w:footnote w:id="10">
    <w:p w:rsidR="00D644FF" w:rsidRPr="001E0334" w:rsidRDefault="00D644FF" w:rsidP="00D644FF">
      <w:pPr>
        <w:pStyle w:val="FootnoteText"/>
      </w:pPr>
      <w:r w:rsidRPr="001E0334">
        <w:rPr>
          <w:rStyle w:val="FootnoteReference"/>
        </w:rPr>
        <w:footnoteRef/>
      </w:r>
      <w:r>
        <w:t xml:space="preserve"> Úř. věst. L 136, 24.5.2008, s. 3.</w:t>
      </w:r>
    </w:p>
  </w:footnote>
  <w:footnote w:id="11">
    <w:p w:rsidR="00F431BF" w:rsidRPr="001E0334" w:rsidRDefault="00F431BF" w:rsidP="00F431BF">
      <w:pPr>
        <w:pStyle w:val="FootnoteText"/>
      </w:pPr>
      <w:r w:rsidRPr="001E0334">
        <w:rPr>
          <w:rStyle w:val="FootnoteReference"/>
        </w:rPr>
        <w:footnoteRef/>
      </w:r>
      <w:r>
        <w:t xml:space="preserve"> PE 571.395.</w:t>
      </w:r>
    </w:p>
  </w:footnote>
  <w:footnote w:id="12">
    <w:p w:rsidR="00F431BF" w:rsidRPr="001E0334" w:rsidRDefault="00F431BF" w:rsidP="00F431BF">
      <w:pPr>
        <w:pStyle w:val="FootnoteText"/>
      </w:pPr>
      <w:r w:rsidRPr="001E0334">
        <w:rPr>
          <w:rStyle w:val="FootnoteReference"/>
        </w:rPr>
        <w:footnoteRef/>
      </w:r>
      <w:r>
        <w:t xml:space="preserve"> </w:t>
      </w:r>
      <w:hyperlink r:id="rId1">
        <w:r>
          <w:rPr>
            <w:rStyle w:val="Hyperlink"/>
          </w:rPr>
          <w:t>http://bookshop.europa.eu/en/study-for-an-evaluation-and-implementation-of-directive-2008-52-ec-the-mediation-directive--pbDS0114825/</w:t>
        </w:r>
      </w:hyperlink>
    </w:p>
  </w:footnote>
  <w:footnote w:id="13">
    <w:p w:rsidR="00F431BF" w:rsidRPr="001E0334" w:rsidRDefault="00F431BF" w:rsidP="00F431BF">
      <w:pPr>
        <w:pStyle w:val="FootnoteText"/>
      </w:pPr>
      <w:r w:rsidRPr="001E0334">
        <w:rPr>
          <w:rStyle w:val="FootnoteReference"/>
        </w:rPr>
        <w:footnoteRef/>
      </w:r>
      <w:r>
        <w:t xml:space="preserve"> PE 493.042.</w:t>
      </w:r>
    </w:p>
  </w:footnote>
  <w:footnote w:id="14">
    <w:p w:rsidR="00F431BF" w:rsidRPr="001E0334" w:rsidRDefault="00F431BF" w:rsidP="00F431BF">
      <w:pPr>
        <w:pStyle w:val="FootnoteText"/>
      </w:pPr>
      <w:r w:rsidRPr="001E0334">
        <w:rPr>
          <w:rStyle w:val="FootnoteReference"/>
        </w:rPr>
        <w:footnoteRef/>
      </w:r>
      <w:r>
        <w:t xml:space="preserve"> PE 593.789.</w:t>
      </w:r>
    </w:p>
  </w:footnote>
  <w:footnote w:id="15">
    <w:p w:rsidR="00F431BF" w:rsidRPr="001E0334" w:rsidRDefault="00F431BF" w:rsidP="00F431BF">
      <w:pPr>
        <w:pStyle w:val="FootnoteText"/>
      </w:pPr>
      <w:r w:rsidRPr="001E0334">
        <w:rPr>
          <w:rStyle w:val="FootnoteReference"/>
        </w:rPr>
        <w:footnoteRef/>
      </w:r>
      <w:r>
        <w:t xml:space="preserve"> PE 453.180.</w:t>
      </w:r>
    </w:p>
  </w:footnote>
  <w:footnote w:id="16">
    <w:p w:rsidR="00753298" w:rsidRPr="00D17539" w:rsidRDefault="00753298" w:rsidP="00753298">
      <w:pPr>
        <w:pStyle w:val="FootnoteText"/>
      </w:pPr>
      <w:r w:rsidRPr="00D17539">
        <w:rPr>
          <w:rStyle w:val="FootnoteReference"/>
        </w:rPr>
        <w:footnoteRef/>
      </w:r>
      <w:r>
        <w:t xml:space="preserve"> Viz zpráva Komise Evropskému parlamentu, Radě a Evropskému hospodářskému a sociálnímu výboru o provádění směrnice Evropského parlamentu a Rady 2008/52/ES o některých aspektech mediace v občanských a obchodních věcech (COM(2016)0542), s. 5.</w:t>
      </w:r>
    </w:p>
  </w:footnote>
  <w:footnote w:id="17">
    <w:p w:rsidR="00753298" w:rsidRPr="00003F77" w:rsidRDefault="00753298" w:rsidP="00753298">
      <w:pPr>
        <w:pStyle w:val="FootnoteText"/>
      </w:pPr>
      <w:r w:rsidRPr="00D17539">
        <w:rPr>
          <w:rStyle w:val="FootnoteReference"/>
        </w:rPr>
        <w:footnoteRef/>
      </w:r>
      <w:r>
        <w:t xml:space="preserve"> PE 571.395, s. 25.</w:t>
      </w:r>
    </w:p>
  </w:footnote>
  <w:footnote w:id="18">
    <w:p w:rsidR="00753298" w:rsidRPr="00D17539" w:rsidRDefault="00753298" w:rsidP="00753298">
      <w:pPr>
        <w:pStyle w:val="FootnoteText"/>
      </w:pPr>
      <w:r w:rsidRPr="00D17539">
        <w:rPr>
          <w:rStyle w:val="FootnoteReference"/>
        </w:rPr>
        <w:footnoteRef/>
      </w:r>
      <w:r>
        <w:t xml:space="preserve"> Estonsko, Chorvatsko, Irsko, Itálie, Litva, Maďarsko, Nizozemsko, Polsko, Portugalsko, Řecko, Slovensko a Španělsko.</w:t>
      </w:r>
    </w:p>
  </w:footnote>
  <w:footnote w:id="19">
    <w:p w:rsidR="00753298" w:rsidRPr="00D17539" w:rsidRDefault="00753298" w:rsidP="00753298">
      <w:pPr>
        <w:pStyle w:val="FootnoteText"/>
      </w:pPr>
      <w:r w:rsidRPr="00D17539">
        <w:rPr>
          <w:rStyle w:val="FootnoteReference"/>
        </w:rPr>
        <w:footnoteRef/>
      </w:r>
      <w:r>
        <w:t xml:space="preserve"> Viz zpráva Komise Evropskému parlamentu, Radě a Evropskému hospodářskému a sociálnímu výboru o provádění směrnice Evropského parlamentu a Rady 2008/52/ES o některých aspektech mediace v občanských a obchodních věcech (COM(2016)0542), s. 4.</w:t>
      </w:r>
    </w:p>
  </w:footnote>
  <w:footnote w:id="20">
    <w:p w:rsidR="00753298" w:rsidRPr="00D17539" w:rsidRDefault="00753298" w:rsidP="00753298">
      <w:pPr>
        <w:pStyle w:val="FootnoteText"/>
      </w:pPr>
      <w:r w:rsidRPr="00D17539">
        <w:rPr>
          <w:rStyle w:val="FootnoteReference"/>
        </w:rPr>
        <w:footnoteRef/>
      </w:r>
      <w:r>
        <w:t xml:space="preserve"> Například v České republice.</w:t>
      </w:r>
    </w:p>
  </w:footnote>
  <w:footnote w:id="21">
    <w:p w:rsidR="00753298" w:rsidRPr="00D17539" w:rsidRDefault="00753298" w:rsidP="00753298">
      <w:pPr>
        <w:pStyle w:val="FootnoteText"/>
      </w:pPr>
      <w:r w:rsidRPr="00D17539">
        <w:rPr>
          <w:rStyle w:val="FootnoteReference"/>
        </w:rPr>
        <w:footnoteRef/>
      </w:r>
      <w:r>
        <w:t xml:space="preserve"> Například v Litvě, Lucembursku, Anglii a Walesu.</w:t>
      </w:r>
    </w:p>
  </w:footnote>
  <w:footnote w:id="22">
    <w:p w:rsidR="00753298" w:rsidRPr="00D17539" w:rsidRDefault="00753298" w:rsidP="00753298">
      <w:pPr>
        <w:pStyle w:val="FootnoteText"/>
      </w:pPr>
      <w:r w:rsidRPr="00D17539">
        <w:rPr>
          <w:rStyle w:val="FootnoteReference"/>
        </w:rPr>
        <w:footnoteRef/>
      </w:r>
      <w:r>
        <w:t xml:space="preserve">  Úř. věst. L 119, 4.5.2016,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91" w:rsidRDefault="00745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91" w:rsidRDefault="0074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91" w:rsidRDefault="0074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32B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53A46"/>
    <w:multiLevelType w:val="hybridMultilevel"/>
    <w:tmpl w:val="D908B08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F2E1A"/>
    <w:multiLevelType w:val="hybridMultilevel"/>
    <w:tmpl w:val="AABA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73D3C"/>
    <w:multiLevelType w:val="hybridMultilevel"/>
    <w:tmpl w:val="D6F61E1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E9529C"/>
    <w:multiLevelType w:val="hybridMultilevel"/>
    <w:tmpl w:val="D512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JURI"/>
    <w:docVar w:name="CopyToNetwork" w:val="-1"/>
    <w:docVar w:name="HEADINGMNU" w:val=" 1"/>
    <w:docVar w:name="LastEditedSection" w:val=" 1"/>
    <w:docVar w:name="MOTIONMNU" w:val=" 2"/>
    <w:docVar w:name="OPTHEADING1MNU" w:val=" 1"/>
    <w:docVar w:name="PAR1MNU" w:val=" 1"/>
    <w:docVar w:name="strDocTypeID" w:val="PR_INI_ImplReport"/>
    <w:docVar w:name="strSubDir" w:val="1129"/>
    <w:docVar w:name="TITLEMNU" w:val=" 1"/>
    <w:docVar w:name="TVTTITLE" w:val="mm"/>
    <w:docVar w:name="TXTLANGUE" w:val="CS"/>
    <w:docVar w:name="TXTLANGUEMIN" w:val="cs"/>
    <w:docVar w:name="TXTNRINI" w:val="2016/2066"/>
    <w:docVar w:name="TXTNRPE" w:val="595.445"/>
    <w:docVar w:name="TXTPEorAP" w:val="PE"/>
    <w:docVar w:name="TXTROUTE" w:val="RR\1129436CS.docx"/>
    <w:docVar w:name="TXTTITLE" w:val="mm"/>
    <w:docVar w:name="TXTVERSION" w:val="02-00"/>
  </w:docVars>
  <w:rsids>
    <w:rsidRoot w:val="008C6B1E"/>
    <w:rsid w:val="00014492"/>
    <w:rsid w:val="0001521B"/>
    <w:rsid w:val="00022567"/>
    <w:rsid w:val="000259EA"/>
    <w:rsid w:val="00040EAC"/>
    <w:rsid w:val="000422BF"/>
    <w:rsid w:val="00064103"/>
    <w:rsid w:val="000C2CED"/>
    <w:rsid w:val="000C4E9A"/>
    <w:rsid w:val="00100069"/>
    <w:rsid w:val="001046B1"/>
    <w:rsid w:val="00154D47"/>
    <w:rsid w:val="001B25BC"/>
    <w:rsid w:val="001C3384"/>
    <w:rsid w:val="001C618B"/>
    <w:rsid w:val="001E0334"/>
    <w:rsid w:val="001E1128"/>
    <w:rsid w:val="00214FCB"/>
    <w:rsid w:val="002339D3"/>
    <w:rsid w:val="002544DF"/>
    <w:rsid w:val="002643FA"/>
    <w:rsid w:val="00292C10"/>
    <w:rsid w:val="002A21E8"/>
    <w:rsid w:val="002F05EC"/>
    <w:rsid w:val="00302D40"/>
    <w:rsid w:val="003327F2"/>
    <w:rsid w:val="003E6413"/>
    <w:rsid w:val="00403A15"/>
    <w:rsid w:val="00403B7F"/>
    <w:rsid w:val="004F017E"/>
    <w:rsid w:val="004F3607"/>
    <w:rsid w:val="005F5C49"/>
    <w:rsid w:val="0061746B"/>
    <w:rsid w:val="006272CD"/>
    <w:rsid w:val="00674649"/>
    <w:rsid w:val="00694160"/>
    <w:rsid w:val="006F5660"/>
    <w:rsid w:val="00705D44"/>
    <w:rsid w:val="0071175D"/>
    <w:rsid w:val="00716256"/>
    <w:rsid w:val="00745191"/>
    <w:rsid w:val="00753298"/>
    <w:rsid w:val="00785482"/>
    <w:rsid w:val="007A4E27"/>
    <w:rsid w:val="007A564C"/>
    <w:rsid w:val="008667CE"/>
    <w:rsid w:val="00866F99"/>
    <w:rsid w:val="00867E1D"/>
    <w:rsid w:val="008843E2"/>
    <w:rsid w:val="008C4C65"/>
    <w:rsid w:val="008C6B1E"/>
    <w:rsid w:val="008D1627"/>
    <w:rsid w:val="008D701D"/>
    <w:rsid w:val="00956282"/>
    <w:rsid w:val="009579FE"/>
    <w:rsid w:val="009A4F63"/>
    <w:rsid w:val="009E5506"/>
    <w:rsid w:val="00A114B2"/>
    <w:rsid w:val="00A165FD"/>
    <w:rsid w:val="00BA2A57"/>
    <w:rsid w:val="00BB70F1"/>
    <w:rsid w:val="00BC7C60"/>
    <w:rsid w:val="00C23CB5"/>
    <w:rsid w:val="00D63CD1"/>
    <w:rsid w:val="00D644FF"/>
    <w:rsid w:val="00DC0670"/>
    <w:rsid w:val="00E155CA"/>
    <w:rsid w:val="00E3537C"/>
    <w:rsid w:val="00E61690"/>
    <w:rsid w:val="00ED0D6B"/>
    <w:rsid w:val="00F06C13"/>
    <w:rsid w:val="00F36507"/>
    <w:rsid w:val="00F431BF"/>
    <w:rsid w:val="00F731CD"/>
    <w:rsid w:val="00F766E7"/>
    <w:rsid w:val="00F81706"/>
    <w:rsid w:val="00FA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F45AF1-B3A2-4B30-8D10-F3FCE8BE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styleId="BodyText">
    <w:name w:val="Body Text"/>
    <w:basedOn w:val="Normal"/>
    <w:link w:val="BodyTextChar"/>
    <w:rsid w:val="00D644FF"/>
    <w:pPr>
      <w:widowControl/>
      <w:tabs>
        <w:tab w:val="left" w:pos="-774"/>
        <w:tab w:val="left" w:pos="-114"/>
        <w:tab w:val="left" w:pos="283"/>
        <w:tab w:val="left" w:pos="645"/>
        <w:tab w:val="left" w:pos="849"/>
        <w:tab w:val="left" w:pos="1021"/>
        <w:tab w:val="left" w:pos="1132"/>
        <w:tab w:val="left" w:pos="1416"/>
        <w:tab w:val="left" w:pos="1700"/>
        <w:tab w:val="left" w:pos="1786"/>
        <w:tab w:val="left" w:pos="2381"/>
        <w:tab w:val="left" w:pos="2445"/>
        <w:tab w:val="left" w:pos="2948"/>
        <w:tab w:val="left" w:pos="3045"/>
        <w:tab w:val="left" w:pos="3572"/>
        <w:tab w:val="left" w:pos="3645"/>
        <w:tab w:val="left" w:pos="4139"/>
        <w:tab w:val="left" w:pos="4245"/>
        <w:tab w:val="left" w:pos="4763"/>
        <w:tab w:val="left" w:pos="4845"/>
        <w:tab w:val="left" w:pos="5387"/>
        <w:tab w:val="left" w:pos="5445"/>
        <w:tab w:val="left" w:pos="5668"/>
        <w:tab w:val="left" w:pos="5952"/>
        <w:tab w:val="left" w:pos="6235"/>
        <w:tab w:val="left" w:pos="6518"/>
        <w:tab w:val="left" w:pos="6577"/>
        <w:tab w:val="left" w:pos="7144"/>
        <w:tab w:val="left" w:pos="7245"/>
        <w:tab w:val="left" w:pos="7845"/>
        <w:tab w:val="left" w:pos="8445"/>
        <w:tab w:val="left" w:pos="9045"/>
      </w:tabs>
    </w:pPr>
    <w:rPr>
      <w:b/>
      <w:snapToGrid w:val="0"/>
    </w:rPr>
  </w:style>
  <w:style w:type="character" w:customStyle="1" w:styleId="BodyTextChar">
    <w:name w:val="Body Text Char"/>
    <w:basedOn w:val="DefaultParagraphFont"/>
    <w:link w:val="BodyText"/>
    <w:rsid w:val="00D644FF"/>
    <w:rPr>
      <w:b/>
      <w:snapToGrid w:val="0"/>
      <w:sz w:val="24"/>
      <w:lang w:val="cs-CZ"/>
    </w:rPr>
  </w:style>
  <w:style w:type="paragraph" w:styleId="ListBullet">
    <w:name w:val="List Bullet"/>
    <w:basedOn w:val="Normal"/>
    <w:autoRedefine/>
    <w:rsid w:val="00D644FF"/>
    <w:pPr>
      <w:widowControl/>
      <w:tabs>
        <w:tab w:val="left" w:pos="567"/>
        <w:tab w:val="left" w:pos="993"/>
        <w:tab w:val="center" w:pos="4536"/>
        <w:tab w:val="right" w:pos="9781"/>
      </w:tabs>
      <w:ind w:right="-485"/>
    </w:pPr>
    <w:rPr>
      <w:i/>
      <w:snapToGrid w:val="0"/>
    </w:rPr>
  </w:style>
  <w:style w:type="paragraph" w:styleId="ListParagraph">
    <w:name w:val="List Paragraph"/>
    <w:basedOn w:val="Normal"/>
    <w:uiPriority w:val="34"/>
    <w:qFormat/>
    <w:rsid w:val="00D644FF"/>
    <w:pPr>
      <w:widowControl/>
      <w:ind w:left="720"/>
      <w:contextualSpacing/>
    </w:pPr>
    <w:rPr>
      <w:snapToGrid w:val="0"/>
      <w:sz w:val="20"/>
    </w:rPr>
  </w:style>
  <w:style w:type="paragraph" w:styleId="FootnoteText">
    <w:name w:val="footnote text"/>
    <w:basedOn w:val="Normal"/>
    <w:link w:val="FootnoteTextChar"/>
    <w:uiPriority w:val="99"/>
    <w:rsid w:val="00D644FF"/>
    <w:pPr>
      <w:widowControl/>
    </w:pPr>
    <w:rPr>
      <w:snapToGrid w:val="0"/>
      <w:sz w:val="20"/>
    </w:rPr>
  </w:style>
  <w:style w:type="character" w:customStyle="1" w:styleId="FootnoteTextChar">
    <w:name w:val="Footnote Text Char"/>
    <w:basedOn w:val="DefaultParagraphFont"/>
    <w:link w:val="FootnoteText"/>
    <w:uiPriority w:val="99"/>
    <w:rsid w:val="00D644FF"/>
    <w:rPr>
      <w:snapToGrid w:val="0"/>
    </w:rPr>
  </w:style>
  <w:style w:type="character" w:styleId="FootnoteReference">
    <w:name w:val="footnote reference"/>
    <w:aliases w:val="Body Text Indent 21,Char Char1 Char Char,Char Char1 Char Char Char Char Char Char Char Char,Char Char1 Char Char Char,Heading 7 Char2"/>
    <w:uiPriority w:val="99"/>
    <w:rsid w:val="00D644FF"/>
    <w:rPr>
      <w:vertAlign w:val="superscript"/>
    </w:rPr>
  </w:style>
  <w:style w:type="character" w:styleId="Hyperlink">
    <w:name w:val="Hyperlink"/>
    <w:unhideWhenUsed/>
    <w:rsid w:val="00D644FF"/>
    <w:rPr>
      <w:color w:val="0000FF"/>
      <w:u w:val="single"/>
    </w:rPr>
  </w:style>
  <w:style w:type="character" w:customStyle="1" w:styleId="outputecli">
    <w:name w:val="outputecli"/>
    <w:rsid w:val="00F431BF"/>
  </w:style>
  <w:style w:type="paragraph" w:styleId="BalloonText">
    <w:name w:val="Balloon Text"/>
    <w:basedOn w:val="Normal"/>
    <w:link w:val="BalloonTextChar"/>
    <w:rsid w:val="00785482"/>
    <w:rPr>
      <w:rFonts w:ascii="Segoe UI" w:hAnsi="Segoe UI" w:cs="Segoe UI"/>
      <w:sz w:val="18"/>
      <w:szCs w:val="18"/>
    </w:rPr>
  </w:style>
  <w:style w:type="character" w:customStyle="1" w:styleId="BalloonTextChar">
    <w:name w:val="Balloon Text Char"/>
    <w:basedOn w:val="DefaultParagraphFont"/>
    <w:link w:val="BalloonText"/>
    <w:rsid w:val="00785482"/>
    <w:rPr>
      <w:rFonts w:ascii="Segoe UI" w:hAnsi="Segoe UI" w:cs="Segoe UI"/>
      <w:sz w:val="18"/>
      <w:szCs w:val="18"/>
    </w:rPr>
  </w:style>
  <w:style w:type="character" w:styleId="FollowedHyperlink">
    <w:name w:val="FollowedHyperlink"/>
    <w:basedOn w:val="DefaultParagraphFont"/>
    <w:rsid w:val="00867E1D"/>
    <w:rPr>
      <w:color w:val="954F72" w:themeColor="followedHyperlink"/>
      <w:u w:val="singl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Sup">
    <w:name w:val="Sup"/>
    <w:rsid w:val="00753298"/>
    <w:rPr>
      <w:color w:val="000000"/>
      <w:vertAlign w:val="superscript"/>
    </w:rPr>
  </w:style>
  <w:style w:type="character" w:customStyle="1" w:styleId="Normal12HangingChar">
    <w:name w:val="Normal12Hanging Char"/>
    <w:basedOn w:val="DefaultParagraphFont"/>
    <w:link w:val="Normal12Hanging"/>
    <w:rsid w:val="00753298"/>
    <w:rPr>
      <w:sz w:val="24"/>
    </w:rPr>
  </w:style>
  <w:style w:type="character" w:customStyle="1" w:styleId="SupBoldItalic">
    <w:name w:val="SupBoldItalic"/>
    <w:rsid w:val="00753298"/>
    <w:rPr>
      <w:b/>
      <w:i/>
      <w:color w:val="000000"/>
      <w:vertAlign w:val="superscript"/>
    </w:rPr>
  </w:style>
  <w:style w:type="paragraph" w:customStyle="1" w:styleId="NormalTabs">
    <w:name w:val="NormalTabs"/>
    <w:basedOn w:val="Normal"/>
    <w:qFormat/>
    <w:rsid w:val="00753298"/>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866">
      <w:bodyDiv w:val="1"/>
      <w:marLeft w:val="0"/>
      <w:marRight w:val="0"/>
      <w:marTop w:val="0"/>
      <w:marBottom w:val="0"/>
      <w:divBdr>
        <w:top w:val="none" w:sz="0" w:space="0" w:color="auto"/>
        <w:left w:val="none" w:sz="0" w:space="0" w:color="auto"/>
        <w:bottom w:val="none" w:sz="0" w:space="0" w:color="auto"/>
        <w:right w:val="none" w:sz="0" w:space="0" w:color="auto"/>
      </w:divBdr>
    </w:div>
    <w:div w:id="60177482">
      <w:bodyDiv w:val="1"/>
      <w:marLeft w:val="0"/>
      <w:marRight w:val="0"/>
      <w:marTop w:val="0"/>
      <w:marBottom w:val="0"/>
      <w:divBdr>
        <w:top w:val="none" w:sz="0" w:space="0" w:color="auto"/>
        <w:left w:val="none" w:sz="0" w:space="0" w:color="auto"/>
        <w:bottom w:val="none" w:sz="0" w:space="0" w:color="auto"/>
        <w:right w:val="none" w:sz="0" w:space="0" w:color="auto"/>
      </w:divBdr>
    </w:div>
    <w:div w:id="128134137">
      <w:bodyDiv w:val="1"/>
      <w:marLeft w:val="0"/>
      <w:marRight w:val="0"/>
      <w:marTop w:val="0"/>
      <w:marBottom w:val="0"/>
      <w:divBdr>
        <w:top w:val="none" w:sz="0" w:space="0" w:color="auto"/>
        <w:left w:val="none" w:sz="0" w:space="0" w:color="auto"/>
        <w:bottom w:val="none" w:sz="0" w:space="0" w:color="auto"/>
        <w:right w:val="none" w:sz="0" w:space="0" w:color="auto"/>
      </w:divBdr>
    </w:div>
    <w:div w:id="191191436">
      <w:bodyDiv w:val="1"/>
      <w:marLeft w:val="0"/>
      <w:marRight w:val="0"/>
      <w:marTop w:val="0"/>
      <w:marBottom w:val="0"/>
      <w:divBdr>
        <w:top w:val="none" w:sz="0" w:space="0" w:color="auto"/>
        <w:left w:val="none" w:sz="0" w:space="0" w:color="auto"/>
        <w:bottom w:val="none" w:sz="0" w:space="0" w:color="auto"/>
        <w:right w:val="none" w:sz="0" w:space="0" w:color="auto"/>
      </w:divBdr>
    </w:div>
    <w:div w:id="260377670">
      <w:bodyDiv w:val="1"/>
      <w:marLeft w:val="0"/>
      <w:marRight w:val="0"/>
      <w:marTop w:val="0"/>
      <w:marBottom w:val="0"/>
      <w:divBdr>
        <w:top w:val="none" w:sz="0" w:space="0" w:color="auto"/>
        <w:left w:val="none" w:sz="0" w:space="0" w:color="auto"/>
        <w:bottom w:val="none" w:sz="0" w:space="0" w:color="auto"/>
        <w:right w:val="none" w:sz="0" w:space="0" w:color="auto"/>
      </w:divBdr>
    </w:div>
    <w:div w:id="360470969">
      <w:bodyDiv w:val="1"/>
      <w:marLeft w:val="0"/>
      <w:marRight w:val="0"/>
      <w:marTop w:val="0"/>
      <w:marBottom w:val="0"/>
      <w:divBdr>
        <w:top w:val="none" w:sz="0" w:space="0" w:color="auto"/>
        <w:left w:val="none" w:sz="0" w:space="0" w:color="auto"/>
        <w:bottom w:val="none" w:sz="0" w:space="0" w:color="auto"/>
        <w:right w:val="none" w:sz="0" w:space="0" w:color="auto"/>
      </w:divBdr>
    </w:div>
    <w:div w:id="527375921">
      <w:bodyDiv w:val="1"/>
      <w:marLeft w:val="0"/>
      <w:marRight w:val="0"/>
      <w:marTop w:val="0"/>
      <w:marBottom w:val="0"/>
      <w:divBdr>
        <w:top w:val="none" w:sz="0" w:space="0" w:color="auto"/>
        <w:left w:val="none" w:sz="0" w:space="0" w:color="auto"/>
        <w:bottom w:val="none" w:sz="0" w:space="0" w:color="auto"/>
        <w:right w:val="none" w:sz="0" w:space="0" w:color="auto"/>
      </w:divBdr>
    </w:div>
    <w:div w:id="679232650">
      <w:bodyDiv w:val="1"/>
      <w:marLeft w:val="0"/>
      <w:marRight w:val="0"/>
      <w:marTop w:val="0"/>
      <w:marBottom w:val="0"/>
      <w:divBdr>
        <w:top w:val="none" w:sz="0" w:space="0" w:color="auto"/>
        <w:left w:val="none" w:sz="0" w:space="0" w:color="auto"/>
        <w:bottom w:val="none" w:sz="0" w:space="0" w:color="auto"/>
        <w:right w:val="none" w:sz="0" w:space="0" w:color="auto"/>
      </w:divBdr>
    </w:div>
    <w:div w:id="813106090">
      <w:bodyDiv w:val="1"/>
      <w:marLeft w:val="0"/>
      <w:marRight w:val="0"/>
      <w:marTop w:val="0"/>
      <w:marBottom w:val="0"/>
      <w:divBdr>
        <w:top w:val="none" w:sz="0" w:space="0" w:color="auto"/>
        <w:left w:val="none" w:sz="0" w:space="0" w:color="auto"/>
        <w:bottom w:val="none" w:sz="0" w:space="0" w:color="auto"/>
        <w:right w:val="none" w:sz="0" w:space="0" w:color="auto"/>
      </w:divBdr>
    </w:div>
    <w:div w:id="849489909">
      <w:bodyDiv w:val="1"/>
      <w:marLeft w:val="0"/>
      <w:marRight w:val="0"/>
      <w:marTop w:val="0"/>
      <w:marBottom w:val="0"/>
      <w:divBdr>
        <w:top w:val="none" w:sz="0" w:space="0" w:color="auto"/>
        <w:left w:val="none" w:sz="0" w:space="0" w:color="auto"/>
        <w:bottom w:val="none" w:sz="0" w:space="0" w:color="auto"/>
        <w:right w:val="none" w:sz="0" w:space="0" w:color="auto"/>
      </w:divBdr>
    </w:div>
    <w:div w:id="1035084116">
      <w:bodyDiv w:val="1"/>
      <w:marLeft w:val="0"/>
      <w:marRight w:val="0"/>
      <w:marTop w:val="0"/>
      <w:marBottom w:val="0"/>
      <w:divBdr>
        <w:top w:val="none" w:sz="0" w:space="0" w:color="auto"/>
        <w:left w:val="none" w:sz="0" w:space="0" w:color="auto"/>
        <w:bottom w:val="none" w:sz="0" w:space="0" w:color="auto"/>
        <w:right w:val="none" w:sz="0" w:space="0" w:color="auto"/>
      </w:divBdr>
    </w:div>
    <w:div w:id="1182014537">
      <w:bodyDiv w:val="1"/>
      <w:marLeft w:val="0"/>
      <w:marRight w:val="0"/>
      <w:marTop w:val="0"/>
      <w:marBottom w:val="0"/>
      <w:divBdr>
        <w:top w:val="none" w:sz="0" w:space="0" w:color="auto"/>
        <w:left w:val="none" w:sz="0" w:space="0" w:color="auto"/>
        <w:bottom w:val="none" w:sz="0" w:space="0" w:color="auto"/>
        <w:right w:val="none" w:sz="0" w:space="0" w:color="auto"/>
      </w:divBdr>
    </w:div>
    <w:div w:id="1246919313">
      <w:bodyDiv w:val="1"/>
      <w:marLeft w:val="0"/>
      <w:marRight w:val="0"/>
      <w:marTop w:val="0"/>
      <w:marBottom w:val="0"/>
      <w:divBdr>
        <w:top w:val="none" w:sz="0" w:space="0" w:color="auto"/>
        <w:left w:val="none" w:sz="0" w:space="0" w:color="auto"/>
        <w:bottom w:val="none" w:sz="0" w:space="0" w:color="auto"/>
        <w:right w:val="none" w:sz="0" w:space="0" w:color="auto"/>
      </w:divBdr>
    </w:div>
    <w:div w:id="1252590326">
      <w:bodyDiv w:val="1"/>
      <w:marLeft w:val="0"/>
      <w:marRight w:val="0"/>
      <w:marTop w:val="0"/>
      <w:marBottom w:val="0"/>
      <w:divBdr>
        <w:top w:val="none" w:sz="0" w:space="0" w:color="auto"/>
        <w:left w:val="none" w:sz="0" w:space="0" w:color="auto"/>
        <w:bottom w:val="none" w:sz="0" w:space="0" w:color="auto"/>
        <w:right w:val="none" w:sz="0" w:space="0" w:color="auto"/>
      </w:divBdr>
    </w:div>
    <w:div w:id="1530022508">
      <w:bodyDiv w:val="1"/>
      <w:marLeft w:val="0"/>
      <w:marRight w:val="0"/>
      <w:marTop w:val="0"/>
      <w:marBottom w:val="0"/>
      <w:divBdr>
        <w:top w:val="none" w:sz="0" w:space="0" w:color="auto"/>
        <w:left w:val="none" w:sz="0" w:space="0" w:color="auto"/>
        <w:bottom w:val="none" w:sz="0" w:space="0" w:color="auto"/>
        <w:right w:val="none" w:sz="0" w:space="0" w:color="auto"/>
      </w:divBdr>
    </w:div>
    <w:div w:id="1568882541">
      <w:bodyDiv w:val="1"/>
      <w:marLeft w:val="0"/>
      <w:marRight w:val="0"/>
      <w:marTop w:val="0"/>
      <w:marBottom w:val="0"/>
      <w:divBdr>
        <w:top w:val="none" w:sz="0" w:space="0" w:color="auto"/>
        <w:left w:val="none" w:sz="0" w:space="0" w:color="auto"/>
        <w:bottom w:val="none" w:sz="0" w:space="0" w:color="auto"/>
        <w:right w:val="none" w:sz="0" w:space="0" w:color="auto"/>
      </w:divBdr>
    </w:div>
    <w:div w:id="1608656081">
      <w:bodyDiv w:val="1"/>
      <w:marLeft w:val="0"/>
      <w:marRight w:val="0"/>
      <w:marTop w:val="0"/>
      <w:marBottom w:val="0"/>
      <w:divBdr>
        <w:top w:val="none" w:sz="0" w:space="0" w:color="auto"/>
        <w:left w:val="none" w:sz="0" w:space="0" w:color="auto"/>
        <w:bottom w:val="none" w:sz="0" w:space="0" w:color="auto"/>
        <w:right w:val="none" w:sz="0" w:space="0" w:color="auto"/>
      </w:divBdr>
    </w:div>
    <w:div w:id="1852380079">
      <w:bodyDiv w:val="1"/>
      <w:marLeft w:val="0"/>
      <w:marRight w:val="0"/>
      <w:marTop w:val="0"/>
      <w:marBottom w:val="0"/>
      <w:divBdr>
        <w:top w:val="none" w:sz="0" w:space="0" w:color="auto"/>
        <w:left w:val="none" w:sz="0" w:space="0" w:color="auto"/>
        <w:bottom w:val="none" w:sz="0" w:space="0" w:color="auto"/>
        <w:right w:val="none" w:sz="0" w:space="0" w:color="auto"/>
      </w:divBdr>
    </w:div>
    <w:div w:id="1887568532">
      <w:bodyDiv w:val="1"/>
      <w:marLeft w:val="0"/>
      <w:marRight w:val="0"/>
      <w:marTop w:val="0"/>
      <w:marBottom w:val="0"/>
      <w:divBdr>
        <w:top w:val="none" w:sz="0" w:space="0" w:color="auto"/>
        <w:left w:val="none" w:sz="0" w:space="0" w:color="auto"/>
        <w:bottom w:val="none" w:sz="0" w:space="0" w:color="auto"/>
        <w:right w:val="none" w:sz="0" w:space="0" w:color="auto"/>
      </w:divBdr>
    </w:div>
    <w:div w:id="1984968145">
      <w:bodyDiv w:val="1"/>
      <w:marLeft w:val="0"/>
      <w:marRight w:val="0"/>
      <w:marTop w:val="0"/>
      <w:marBottom w:val="0"/>
      <w:divBdr>
        <w:top w:val="none" w:sz="0" w:space="0" w:color="auto"/>
        <w:left w:val="none" w:sz="0" w:space="0" w:color="auto"/>
        <w:bottom w:val="none" w:sz="0" w:space="0" w:color="auto"/>
        <w:right w:val="none" w:sz="0" w:space="0" w:color="auto"/>
      </w:divBdr>
    </w:div>
    <w:div w:id="21081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bookshop.europa.eu/en/study-for-an-evaluation-and-implementation-of-directive-2008-52-ec-the-mediation-directive--pbDS0114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410E-E416-4F2A-B5E3-9A3F78CB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43683A7C.dotm</Template>
  <TotalTime>0</TotalTime>
  <Pages>12</Pages>
  <Words>3026</Words>
  <Characters>17436</Characters>
  <Application>Microsoft Office Word</Application>
  <DocSecurity>0</DocSecurity>
  <Lines>758</Lines>
  <Paragraphs>276</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STOLARIKOVA Martina</dc:creator>
  <cp:keywords/>
  <dc:description/>
  <cp:lastModifiedBy>SMAKALOVA Sona</cp:lastModifiedBy>
  <cp:revision>2</cp:revision>
  <cp:lastPrinted>2004-12-08T15:27:00Z</cp:lastPrinted>
  <dcterms:created xsi:type="dcterms:W3CDTF">2017-08-24T15:38:00Z</dcterms:created>
  <dcterms:modified xsi:type="dcterms:W3CDTF">2017-08-24T15:38:00Z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9.1.0 Build [20170521]</vt:lpwstr>
  </property>
  <property fmtid="{D5CDD505-2E9C-101B-9397-08002B2CF9AE}" pid="4" name="&lt;FdR&gt;">
    <vt:lpwstr>1129436</vt:lpwstr>
  </property>
  <property fmtid="{D5CDD505-2E9C-101B-9397-08002B2CF9AE}" pid="5" name="&lt;Type&gt;">
    <vt:lpwstr>RR</vt:lpwstr>
  </property>
  <property fmtid="{D5CDD505-2E9C-101B-9397-08002B2CF9AE}" pid="6" name="&lt;ModelCod&gt;">
    <vt:lpwstr>\\eiciBRUpr1\pdocep$\DocEP\DOCS\General\PR\PR_NonLeg\INI\PR_INI_ImplReport.dot(22/06/2016 06:12:28)</vt:lpwstr>
  </property>
  <property fmtid="{D5CDD505-2E9C-101B-9397-08002B2CF9AE}" pid="7" name="&lt;ModelTra&gt;">
    <vt:lpwstr>\\eiciBRUpr1\pdocep$\DocEP\TRANSFIL\EN\PR_INI_ImplReport.EN(22/06/2016 11:14:09)</vt:lpwstr>
  </property>
  <property fmtid="{D5CDD505-2E9C-101B-9397-08002B2CF9AE}" pid="8" name="&lt;Model&gt;">
    <vt:lpwstr>PR_INI_ImplReport</vt:lpwstr>
  </property>
  <property fmtid="{D5CDD505-2E9C-101B-9397-08002B2CF9AE}" pid="9" name="FooterPath">
    <vt:lpwstr>RR\1129436CS.docx</vt:lpwstr>
  </property>
  <property fmtid="{D5CDD505-2E9C-101B-9397-08002B2CF9AE}" pid="10" name="PE Number">
    <vt:lpwstr>595.445</vt:lpwstr>
  </property>
  <property fmtid="{D5CDD505-2E9C-101B-9397-08002B2CF9AE}" pid="11" name="SubscribeElise">
    <vt:lpwstr/>
  </property>
  <property fmtid="{D5CDD505-2E9C-101B-9397-08002B2CF9AE}" pid="12" name="SendToEpades">
    <vt:lpwstr>OK - 2017/03/07 17:56</vt:lpwstr>
  </property>
  <property fmtid="{D5CDD505-2E9C-101B-9397-08002B2CF9AE}" pid="13" name="Bookout">
    <vt:lpwstr>OK - 2017/08/24 17:38</vt:lpwstr>
  </property>
  <property fmtid="{D5CDD505-2E9C-101B-9397-08002B2CF9AE}" pid="14" name="SDLStudio">
    <vt:lpwstr>YES</vt:lpwstr>
  </property>
  <property fmtid="{D5CDD505-2E9C-101B-9397-08002B2CF9AE}" pid="15" name="&lt;Extension&gt;">
    <vt:lpwstr>CS</vt:lpwstr>
  </property>
</Properties>
</file>