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992414" w14:paraId="12A55A6A" w14:textId="77777777" w:rsidTr="006F7907">
        <w:trPr>
          <w:trHeight w:hRule="exact" w:val="1418"/>
        </w:trPr>
        <w:tc>
          <w:tcPr>
            <w:tcW w:w="6804" w:type="dxa"/>
            <w:shd w:val="clear" w:color="auto" w:fill="auto"/>
            <w:vAlign w:val="center"/>
          </w:tcPr>
          <w:p w14:paraId="5DFBD83D" w14:textId="77777777" w:rsidR="006F7907" w:rsidRPr="00992414" w:rsidRDefault="00A25AB3" w:rsidP="00FD1DEF">
            <w:pPr>
              <w:pStyle w:val="EPName"/>
            </w:pPr>
            <w:bookmarkStart w:id="0" w:name="_GoBack"/>
            <w:bookmarkEnd w:id="0"/>
            <w:r w:rsidRPr="00992414">
              <w:t>Európsky parlament</w:t>
            </w:r>
          </w:p>
          <w:p w14:paraId="21A37E8B" w14:textId="77777777" w:rsidR="006F7907" w:rsidRPr="00992414" w:rsidRDefault="0083345C" w:rsidP="0083345C">
            <w:pPr>
              <w:pStyle w:val="EPTerm"/>
              <w:rPr>
                <w:rStyle w:val="HideTWBExt"/>
                <w:noProof w:val="0"/>
                <w:vanish w:val="0"/>
                <w:color w:val="auto"/>
              </w:rPr>
            </w:pPr>
            <w:r w:rsidRPr="00992414">
              <w:t>2014-2019</w:t>
            </w:r>
          </w:p>
        </w:tc>
        <w:tc>
          <w:tcPr>
            <w:tcW w:w="2268" w:type="dxa"/>
            <w:shd w:val="clear" w:color="auto" w:fill="auto"/>
          </w:tcPr>
          <w:p w14:paraId="183A60EE" w14:textId="77777777" w:rsidR="006F7907" w:rsidRPr="00992414" w:rsidRDefault="00992414" w:rsidP="00896BB4">
            <w:pPr>
              <w:pStyle w:val="EPLogo"/>
            </w:pPr>
            <w:r w:rsidRPr="00992414">
              <w:pict w14:anchorId="1F7B3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49.8pt">
                  <v:imagedata r:id="rId8" o:title="EP logo RGB_Mute"/>
                </v:shape>
              </w:pict>
            </w:r>
          </w:p>
        </w:tc>
      </w:tr>
    </w:tbl>
    <w:p w14:paraId="6C8A40B7" w14:textId="77777777" w:rsidR="00461601" w:rsidRPr="00992414" w:rsidRDefault="00461601" w:rsidP="00461601">
      <w:pPr>
        <w:pStyle w:val="LineTop"/>
      </w:pPr>
    </w:p>
    <w:p w14:paraId="0EE18CC4" w14:textId="13C1BFD0" w:rsidR="00461601" w:rsidRPr="00992414" w:rsidRDefault="00B66F3C" w:rsidP="00461601">
      <w:pPr>
        <w:pStyle w:val="ZCommittee"/>
      </w:pPr>
      <w:r w:rsidRPr="00992414">
        <w:t>Dokument na schôdzu</w:t>
      </w:r>
    </w:p>
    <w:p w14:paraId="7DE1FE69" w14:textId="77777777" w:rsidR="00461601" w:rsidRPr="00992414" w:rsidRDefault="00461601" w:rsidP="00461601">
      <w:pPr>
        <w:pStyle w:val="LineBottom"/>
      </w:pPr>
    </w:p>
    <w:p w14:paraId="61E9FFB9" w14:textId="4F103708" w:rsidR="00793EA9" w:rsidRPr="00992414" w:rsidRDefault="00B66F3C">
      <w:pPr>
        <w:pStyle w:val="RefProc"/>
      </w:pPr>
      <w:r w:rsidRPr="00992414">
        <w:rPr>
          <w:rStyle w:val="HideTWBExt"/>
          <w:noProof w:val="0"/>
        </w:rPr>
        <w:t>&lt;NoDocSe&gt;</w:t>
      </w:r>
      <w:r w:rsidRPr="00992414">
        <w:t>A8-0394/2017</w:t>
      </w:r>
      <w:r w:rsidRPr="00992414">
        <w:rPr>
          <w:rStyle w:val="HideTWBExt"/>
          <w:noProof w:val="0"/>
        </w:rPr>
        <w:t>&lt;/NoDocSe&gt;</w:t>
      </w:r>
    </w:p>
    <w:p w14:paraId="69044687" w14:textId="45C82FEB" w:rsidR="00793EA9" w:rsidRPr="00992414" w:rsidRDefault="00793EA9">
      <w:pPr>
        <w:pStyle w:val="ZDate"/>
      </w:pPr>
      <w:r w:rsidRPr="00992414">
        <w:rPr>
          <w:rStyle w:val="HideTWBExt"/>
          <w:noProof w:val="0"/>
        </w:rPr>
        <w:t>&lt;Date&gt;</w:t>
      </w:r>
      <w:r w:rsidRPr="00992414">
        <w:rPr>
          <w:rStyle w:val="HideTWBInt"/>
          <w:color w:val="auto"/>
        </w:rPr>
        <w:t>{08/12/2017}</w:t>
      </w:r>
      <w:r w:rsidRPr="00992414">
        <w:t>8.12.2017</w:t>
      </w:r>
      <w:r w:rsidRPr="00992414">
        <w:rPr>
          <w:rStyle w:val="HideTWBExt"/>
          <w:noProof w:val="0"/>
        </w:rPr>
        <w:t>&lt;/Date&gt;</w:t>
      </w:r>
    </w:p>
    <w:p w14:paraId="64129F94" w14:textId="77777777" w:rsidR="00793EA9" w:rsidRPr="00992414" w:rsidRDefault="00793EA9">
      <w:pPr>
        <w:pStyle w:val="StarsAndIs"/>
      </w:pPr>
      <w:r w:rsidRPr="00992414">
        <w:rPr>
          <w:rStyle w:val="HideTWBExt"/>
          <w:b w:val="0"/>
          <w:noProof w:val="0"/>
        </w:rPr>
        <w:t>&lt;RefProcLect&gt;</w:t>
      </w:r>
      <w:r w:rsidRPr="00992414">
        <w:t>***I</w:t>
      </w:r>
      <w:r w:rsidRPr="00992414">
        <w:rPr>
          <w:rStyle w:val="HideTWBExt"/>
          <w:b w:val="0"/>
          <w:noProof w:val="0"/>
        </w:rPr>
        <w:t>&lt;/RefProcLect&gt;</w:t>
      </w:r>
    </w:p>
    <w:p w14:paraId="3980D83E" w14:textId="759E3E54" w:rsidR="00793EA9" w:rsidRPr="00992414" w:rsidRDefault="00793EA9">
      <w:pPr>
        <w:pStyle w:val="TypeDoc"/>
      </w:pPr>
      <w:r w:rsidRPr="00992414">
        <w:rPr>
          <w:rStyle w:val="HideTWBExt"/>
          <w:b w:val="0"/>
          <w:noProof w:val="0"/>
        </w:rPr>
        <w:t>&lt;TitreType&gt;</w:t>
      </w:r>
      <w:r w:rsidRPr="00992414">
        <w:t>SPRÁVA</w:t>
      </w:r>
      <w:r w:rsidRPr="00992414">
        <w:rPr>
          <w:rStyle w:val="HideTWBExt"/>
          <w:b w:val="0"/>
          <w:noProof w:val="0"/>
        </w:rPr>
        <w:t>&lt;/TitreType&gt;</w:t>
      </w:r>
    </w:p>
    <w:p w14:paraId="1EF49672" w14:textId="77777777" w:rsidR="00793EA9" w:rsidRPr="00992414" w:rsidRDefault="00793EA9" w:rsidP="00B80E05">
      <w:pPr>
        <w:pStyle w:val="CoverNormal"/>
      </w:pPr>
      <w:r w:rsidRPr="00992414">
        <w:rPr>
          <w:rStyle w:val="HideTWBExt"/>
          <w:noProof w:val="0"/>
        </w:rPr>
        <w:t>&lt;Titre&gt;</w:t>
      </w:r>
      <w:r w:rsidRPr="00992414">
        <w:t>o návrhu Komisie na nariadenie Európskeho parlamentu a Rady o kontrolách peňažných prostriedkov v hotovosti, ktoré vstupujú do Únie, resp. opúšťajú Úniu, a ktorým sa zrušuje nariadenie (ES) č. 1889/2005</w:t>
      </w:r>
      <w:r w:rsidRPr="00992414">
        <w:rPr>
          <w:rStyle w:val="HideTWBExt"/>
          <w:noProof w:val="0"/>
        </w:rPr>
        <w:t>&lt;/Titre&gt;</w:t>
      </w:r>
    </w:p>
    <w:p w14:paraId="283C57AD" w14:textId="4A7BEE36" w:rsidR="00793EA9" w:rsidRPr="00992414" w:rsidRDefault="00793EA9">
      <w:pPr>
        <w:pStyle w:val="Cover24"/>
      </w:pPr>
      <w:r w:rsidRPr="00992414">
        <w:rPr>
          <w:rStyle w:val="HideTWBExt"/>
          <w:noProof w:val="0"/>
        </w:rPr>
        <w:t>&lt;DocRef&gt;</w:t>
      </w:r>
      <w:r w:rsidRPr="00992414">
        <w:t>(COM(2016)0825 – C8</w:t>
      </w:r>
      <w:r w:rsidRPr="00992414">
        <w:noBreakHyphen/>
        <w:t>0001/2017 – 2016/0413(COD))</w:t>
      </w:r>
      <w:r w:rsidRPr="00992414">
        <w:rPr>
          <w:rStyle w:val="HideTWBExt"/>
          <w:noProof w:val="0"/>
        </w:rPr>
        <w:t>&lt;/DocRef&gt;</w:t>
      </w:r>
    </w:p>
    <w:p w14:paraId="2DFC4D88" w14:textId="77777777" w:rsidR="00793EA9" w:rsidRPr="00992414" w:rsidRDefault="00793EA9">
      <w:pPr>
        <w:pStyle w:val="Cover24"/>
      </w:pPr>
      <w:r w:rsidRPr="00992414">
        <w:rPr>
          <w:rStyle w:val="HideTWBExt"/>
          <w:noProof w:val="0"/>
        </w:rPr>
        <w:t>&lt;Commission&gt;</w:t>
      </w:r>
      <w:r w:rsidRPr="00992414">
        <w:rPr>
          <w:rStyle w:val="HideTWBInt"/>
          <w:color w:val="auto"/>
        </w:rPr>
        <w:t>{CJ12}</w:t>
      </w:r>
      <w:r w:rsidRPr="00992414">
        <w:t>Výbor pre hospodárske a menové veci</w:t>
      </w:r>
      <w:r w:rsidRPr="00992414">
        <w:br/>
        <w:t>Výbor pre občianske slobody, spravodlivosť a vnútorné veci</w:t>
      </w:r>
      <w:r w:rsidRPr="00992414">
        <w:rPr>
          <w:rStyle w:val="HideTWBExt"/>
          <w:noProof w:val="0"/>
        </w:rPr>
        <w:t>&lt;/Commission&gt;</w:t>
      </w:r>
    </w:p>
    <w:p w14:paraId="43373166" w14:textId="0F6E62AA" w:rsidR="00793EA9" w:rsidRPr="00992414" w:rsidRDefault="00A25AB3">
      <w:pPr>
        <w:pStyle w:val="Cover24"/>
      </w:pPr>
      <w:r w:rsidRPr="00992414">
        <w:t xml:space="preserve">Spravodajcovia: </w:t>
      </w:r>
      <w:r w:rsidRPr="00992414">
        <w:rPr>
          <w:rStyle w:val="HideTWBExt"/>
          <w:noProof w:val="0"/>
        </w:rPr>
        <w:t>&lt;Depute&gt;</w:t>
      </w:r>
      <w:r w:rsidRPr="00992414">
        <w:t>Mady Delvaux, Juan Fernando López Aguilar</w:t>
      </w:r>
      <w:r w:rsidRPr="00992414">
        <w:rPr>
          <w:rStyle w:val="HideTWBExt"/>
          <w:noProof w:val="0"/>
        </w:rPr>
        <w:t>&lt;/Depute&gt;</w:t>
      </w:r>
    </w:p>
    <w:p w14:paraId="376EEB79" w14:textId="77777777" w:rsidR="001C5B44" w:rsidRPr="00992414" w:rsidRDefault="00DF47D2" w:rsidP="001C5B44">
      <w:pPr>
        <w:pStyle w:val="CoverNormal"/>
        <w:rPr>
          <w:snapToGrid w:val="0"/>
          <w:szCs w:val="24"/>
        </w:rPr>
      </w:pPr>
      <w:r w:rsidRPr="00992414">
        <w:rPr>
          <w:snapToGrid w:val="0"/>
          <w:szCs w:val="24"/>
        </w:rPr>
        <w:t>(Postup spoločných schôdzí výborov – článok 55 rokovacieho poriadku)</w:t>
      </w:r>
    </w:p>
    <w:p w14:paraId="41B22BDE" w14:textId="77777777" w:rsidR="00D6100F" w:rsidRPr="00992414" w:rsidRDefault="00D6100F" w:rsidP="001C5B44">
      <w:pPr>
        <w:pStyle w:val="CoverNormal"/>
        <w:rPr>
          <w:snapToGrid w:val="0"/>
          <w:szCs w:val="24"/>
        </w:rPr>
      </w:pPr>
    </w:p>
    <w:p w14:paraId="6B49BCA9" w14:textId="77777777" w:rsidR="00D6100F" w:rsidRPr="00992414" w:rsidRDefault="00D6100F" w:rsidP="001C5B44">
      <w:pPr>
        <w:pStyle w:val="CoverNormal"/>
        <w:rPr>
          <w:snapToGrid w:val="0"/>
          <w:szCs w:val="24"/>
        </w:rPr>
      </w:pPr>
    </w:p>
    <w:p w14:paraId="354C5D7F" w14:textId="77777777" w:rsidR="00793EA9" w:rsidRPr="00992414" w:rsidRDefault="00793EA9" w:rsidP="00187008">
      <w:pPr>
        <w:widowControl/>
        <w:tabs>
          <w:tab w:val="center" w:pos="4677"/>
        </w:tabs>
      </w:pPr>
      <w:r w:rsidRPr="00992414">
        <w:br w:type="page"/>
      </w:r>
      <w:bookmarkStart w:id="1" w:name="DocEPTmpStart"/>
      <w:bookmarkEnd w:id="1"/>
    </w:p>
    <w:p w14:paraId="4DAB9120" w14:textId="77777777" w:rsidR="0042212B" w:rsidRPr="00992414" w:rsidRDefault="00A35D60">
      <w:fldSimple w:instr=" TITLE  \* MERGEFORMAT ">
        <w:r w:rsidR="00D26774">
          <w:t>PR_COD_1amCom</w:t>
        </w:r>
      </w:fldSimple>
    </w:p>
    <w:p w14:paraId="49EB571C" w14:textId="77777777" w:rsidR="0042212B" w:rsidRPr="00992414" w:rsidRDefault="0042212B"/>
    <w:p w14:paraId="6479A8E2" w14:textId="77777777" w:rsidR="0042212B" w:rsidRPr="00992414" w:rsidRDefault="0042212B"/>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42212B" w:rsidRPr="00992414" w14:paraId="78C33C7E" w14:textId="77777777">
        <w:tc>
          <w:tcPr>
            <w:tcW w:w="5811" w:type="dxa"/>
          </w:tcPr>
          <w:p w14:paraId="2A50CC88" w14:textId="77777777" w:rsidR="0042212B" w:rsidRPr="00992414" w:rsidRDefault="0042212B">
            <w:pPr>
              <w:pStyle w:val="Lgendetitre"/>
            </w:pPr>
            <w:r w:rsidRPr="00992414">
              <w:t>Označenie postupov</w:t>
            </w:r>
          </w:p>
        </w:tc>
      </w:tr>
      <w:tr w:rsidR="0042212B" w:rsidRPr="00992414" w14:paraId="1F2EEE00" w14:textId="77777777" w:rsidTr="00AD6BB4">
        <w:trPr>
          <w:cantSplit/>
          <w:trHeight w:val="1944"/>
        </w:trPr>
        <w:tc>
          <w:tcPr>
            <w:tcW w:w="5811" w:type="dxa"/>
            <w:tcBorders>
              <w:bottom w:val="single" w:sz="4" w:space="0" w:color="auto"/>
            </w:tcBorders>
          </w:tcPr>
          <w:p w14:paraId="74F4ABBA" w14:textId="77777777" w:rsidR="0042212B" w:rsidRPr="00992414" w:rsidRDefault="0042212B">
            <w:pPr>
              <w:pStyle w:val="Lgendesigne"/>
            </w:pPr>
            <w:r w:rsidRPr="00992414">
              <w:tab/>
              <w:t>*</w:t>
            </w:r>
            <w:r w:rsidRPr="00992414">
              <w:tab/>
              <w:t>Konzultácia</w:t>
            </w:r>
          </w:p>
          <w:p w14:paraId="696CE572" w14:textId="77777777" w:rsidR="0042212B" w:rsidRPr="00992414" w:rsidRDefault="0042212B">
            <w:pPr>
              <w:pStyle w:val="Lgendesigne"/>
            </w:pPr>
            <w:r w:rsidRPr="00992414">
              <w:tab/>
              <w:t>***</w:t>
            </w:r>
            <w:r w:rsidRPr="00992414">
              <w:tab/>
              <w:t>Súhlas</w:t>
            </w:r>
          </w:p>
          <w:p w14:paraId="11AB2F64" w14:textId="77777777" w:rsidR="0042212B" w:rsidRPr="00992414" w:rsidRDefault="0042212B">
            <w:pPr>
              <w:pStyle w:val="Lgendesigne"/>
            </w:pPr>
            <w:r w:rsidRPr="00992414">
              <w:tab/>
              <w:t>***I</w:t>
            </w:r>
            <w:r w:rsidRPr="00992414">
              <w:tab/>
              <w:t>Riadny legislatívny postup (prvé čítanie)</w:t>
            </w:r>
          </w:p>
          <w:p w14:paraId="6F45D529" w14:textId="77777777" w:rsidR="0042212B" w:rsidRPr="00992414" w:rsidRDefault="0042212B">
            <w:pPr>
              <w:pStyle w:val="Lgendesigne"/>
            </w:pPr>
            <w:r w:rsidRPr="00992414">
              <w:tab/>
              <w:t>***II</w:t>
            </w:r>
            <w:r w:rsidRPr="00992414">
              <w:tab/>
              <w:t>Riadny legislatívny postup (druhé čítanie)</w:t>
            </w:r>
          </w:p>
          <w:p w14:paraId="650F6AD2" w14:textId="77777777" w:rsidR="0042212B" w:rsidRPr="00992414" w:rsidRDefault="0042212B">
            <w:pPr>
              <w:pStyle w:val="Lgendesigne"/>
            </w:pPr>
            <w:r w:rsidRPr="00992414">
              <w:tab/>
              <w:t>***III</w:t>
            </w:r>
            <w:r w:rsidRPr="00992414">
              <w:tab/>
              <w:t>Riadny legislatívny postup (tretie čítanie)</w:t>
            </w:r>
          </w:p>
          <w:p w14:paraId="1B81EDE8" w14:textId="77777777" w:rsidR="0042212B" w:rsidRPr="00992414" w:rsidRDefault="0042212B">
            <w:pPr>
              <w:pStyle w:val="Lgendesigne"/>
              <w:ind w:left="0" w:firstLine="0"/>
            </w:pPr>
          </w:p>
          <w:p w14:paraId="62909B2C" w14:textId="77777777" w:rsidR="0042212B" w:rsidRPr="00992414" w:rsidRDefault="0042212B">
            <w:pPr>
              <w:pStyle w:val="Lgendestandard"/>
            </w:pPr>
            <w:r w:rsidRPr="00992414">
              <w:t>(Typ postupu závisí od právneho základu navrhnutého v návrhu aktu.)</w:t>
            </w:r>
          </w:p>
          <w:p w14:paraId="609DC22C" w14:textId="77777777" w:rsidR="0042212B" w:rsidRPr="00992414" w:rsidRDefault="0042212B">
            <w:pPr>
              <w:pStyle w:val="Lgendesigne"/>
              <w:ind w:left="0" w:firstLine="0"/>
            </w:pPr>
          </w:p>
        </w:tc>
      </w:tr>
    </w:tbl>
    <w:p w14:paraId="666D2B92" w14:textId="77777777" w:rsidR="0042212B" w:rsidRPr="00992414" w:rsidRDefault="0042212B"/>
    <w:p w14:paraId="052D7B60" w14:textId="77777777" w:rsidR="0042212B" w:rsidRPr="00992414" w:rsidRDefault="0042212B"/>
    <w:p w14:paraId="3CE2C49A" w14:textId="77777777" w:rsidR="0042212B" w:rsidRPr="00992414" w:rsidRDefault="0042212B"/>
    <w:p w14:paraId="629D20A9" w14:textId="77777777" w:rsidR="0042212B" w:rsidRPr="00992414" w:rsidRDefault="0042212B"/>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42212B" w:rsidRPr="00992414" w14:paraId="70FC4454" w14:textId="77777777">
        <w:tc>
          <w:tcPr>
            <w:tcW w:w="5811" w:type="dxa"/>
          </w:tcPr>
          <w:p w14:paraId="40FACFA2" w14:textId="77777777" w:rsidR="0042212B" w:rsidRPr="00992414" w:rsidRDefault="0042212B">
            <w:pPr>
              <w:pStyle w:val="Lgendetitre"/>
            </w:pPr>
            <w:r w:rsidRPr="00992414">
              <w:t>Pozmeňujúce návrhy k návrhu aktu</w:t>
            </w:r>
          </w:p>
        </w:tc>
      </w:tr>
      <w:tr w:rsidR="0042212B" w:rsidRPr="00992414" w14:paraId="156691FB" w14:textId="77777777">
        <w:tc>
          <w:tcPr>
            <w:tcW w:w="5811" w:type="dxa"/>
          </w:tcPr>
          <w:p w14:paraId="18D6397D" w14:textId="77777777" w:rsidR="0042212B" w:rsidRPr="00992414" w:rsidRDefault="0042212B" w:rsidP="00AD6BB4">
            <w:pPr>
              <w:pStyle w:val="Lgendestandard"/>
              <w:rPr>
                <w:szCs w:val="24"/>
              </w:rPr>
            </w:pPr>
            <w:r w:rsidRPr="00992414">
              <w:rPr>
                <w:b/>
                <w:szCs w:val="24"/>
              </w:rPr>
              <w:t>Pozmeňujúce návrhy Európskeho parlamentu v dvoch stĺpcoch</w:t>
            </w:r>
          </w:p>
          <w:p w14:paraId="6D682455" w14:textId="77777777" w:rsidR="0042212B" w:rsidRPr="00992414" w:rsidRDefault="0042212B" w:rsidP="00AD6BB4">
            <w:pPr>
              <w:pStyle w:val="Lgendestandard"/>
              <w:rPr>
                <w:szCs w:val="24"/>
              </w:rPr>
            </w:pPr>
          </w:p>
          <w:p w14:paraId="4F46CC5C" w14:textId="77777777" w:rsidR="0042212B" w:rsidRPr="00992414" w:rsidRDefault="0042212B" w:rsidP="00AD6BB4">
            <w:pPr>
              <w:pStyle w:val="Lgendestandard"/>
              <w:rPr>
                <w:szCs w:val="24"/>
              </w:rPr>
            </w:pPr>
            <w:r w:rsidRPr="00992414">
              <w:t xml:space="preserve">Vypustenia sa označujú </w:t>
            </w:r>
            <w:r w:rsidRPr="00992414">
              <w:rPr>
                <w:b/>
                <w:i/>
              </w:rPr>
              <w:t>hrubou kurzívou</w:t>
            </w:r>
            <w:r w:rsidRPr="00992414">
              <w:t xml:space="preserve"> v ľavom stĺpci. Nahradenia sa označujú </w:t>
            </w:r>
            <w:r w:rsidRPr="00992414">
              <w:rPr>
                <w:b/>
                <w:i/>
              </w:rPr>
              <w:t>hrubou kurzívou</w:t>
            </w:r>
            <w:r w:rsidRPr="00992414">
              <w:t xml:space="preserve"> v oboch stĺpcoch. Nový text sa označuje </w:t>
            </w:r>
            <w:r w:rsidRPr="00992414">
              <w:rPr>
                <w:b/>
                <w:i/>
              </w:rPr>
              <w:t>hrubou kurzívou</w:t>
            </w:r>
            <w:r w:rsidRPr="00992414">
              <w:t xml:space="preserve"> v pravom stĺpci.</w:t>
            </w:r>
          </w:p>
          <w:p w14:paraId="6A1ACC72" w14:textId="77777777" w:rsidR="0042212B" w:rsidRPr="00992414" w:rsidRDefault="0042212B" w:rsidP="00AD6BB4">
            <w:pPr>
              <w:pStyle w:val="Lgendestandard"/>
              <w:rPr>
                <w:szCs w:val="24"/>
              </w:rPr>
            </w:pPr>
          </w:p>
          <w:p w14:paraId="21222841" w14:textId="77777777" w:rsidR="0042212B" w:rsidRPr="00992414" w:rsidRDefault="0042212B" w:rsidP="00AD6BB4">
            <w:pPr>
              <w:pStyle w:val="Lgendestandard"/>
              <w:rPr>
                <w:szCs w:val="24"/>
              </w:rPr>
            </w:pPr>
            <w:r w:rsidRPr="00992414">
              <w:t>Prvý a druhý riadok záhlavia každého pozmeňujúceho návrhu vymedzujú príslušnú časť v návrhu aktu predloženého na prerokovanie. Ak sa pozmeňujúci návrh týka platného aktu, ktorý sa má návrhom aktu zmeniť, záhlavie navyše obsahuje tretí riadok uvádzajúci platný akt a štvrtý riadok uvádzajúci príslušné ustanovenie tohto aktu.</w:t>
            </w:r>
          </w:p>
          <w:p w14:paraId="366EFC3D" w14:textId="77777777" w:rsidR="0042212B" w:rsidRPr="00992414" w:rsidRDefault="0042212B" w:rsidP="00AD6BB4">
            <w:pPr>
              <w:pStyle w:val="Lgendestandard"/>
              <w:rPr>
                <w:szCs w:val="24"/>
              </w:rPr>
            </w:pPr>
          </w:p>
          <w:p w14:paraId="5ACF7398" w14:textId="77777777" w:rsidR="0042212B" w:rsidRPr="00992414" w:rsidRDefault="0042212B" w:rsidP="00AD6BB4">
            <w:pPr>
              <w:pStyle w:val="Lgendestandard"/>
              <w:rPr>
                <w:b/>
                <w:szCs w:val="24"/>
              </w:rPr>
            </w:pPr>
            <w:r w:rsidRPr="00992414">
              <w:rPr>
                <w:b/>
                <w:szCs w:val="24"/>
              </w:rPr>
              <w:t>Pozmeňujúce návrhy Európskeho parlamentu v podobe konsolidovaného textu</w:t>
            </w:r>
          </w:p>
          <w:p w14:paraId="63927A57" w14:textId="77777777" w:rsidR="0042212B" w:rsidRPr="00992414" w:rsidRDefault="0042212B" w:rsidP="00AD6BB4">
            <w:pPr>
              <w:pStyle w:val="Lgendestandard"/>
              <w:rPr>
                <w:szCs w:val="24"/>
              </w:rPr>
            </w:pPr>
          </w:p>
          <w:p w14:paraId="056C3992" w14:textId="77777777" w:rsidR="0042212B" w:rsidRPr="00992414" w:rsidRDefault="0042212B" w:rsidP="00AD6BB4">
            <w:pPr>
              <w:pStyle w:val="Lgendestandard"/>
              <w:rPr>
                <w:szCs w:val="24"/>
              </w:rPr>
            </w:pPr>
            <w:r w:rsidRPr="00992414">
              <w:t xml:space="preserve">Nové časti textov sa označujú </w:t>
            </w:r>
            <w:r w:rsidRPr="00992414">
              <w:rPr>
                <w:b/>
                <w:i/>
              </w:rPr>
              <w:t>hrubou kurzívou</w:t>
            </w:r>
            <w:r w:rsidRPr="00992414">
              <w:t xml:space="preserve">. Vypustené časti textu sa označujú symbolom ▌ alebo sa prečiarkujú. V prípade nahradenia sa nový text vyznačí hrubou kurzívou a nahradený text sa vymaže alebo sa prečiarkne. </w:t>
            </w:r>
          </w:p>
          <w:p w14:paraId="23E940FA" w14:textId="77777777" w:rsidR="0042212B" w:rsidRPr="00992414" w:rsidRDefault="0042212B" w:rsidP="00AD6BB4">
            <w:pPr>
              <w:pStyle w:val="Lgendestandard"/>
              <w:rPr>
                <w:szCs w:val="24"/>
              </w:rPr>
            </w:pPr>
            <w:r w:rsidRPr="00992414">
              <w:t>Čisto technické zmeny, ktoré vykonávajú útvary s cieľom vypracovať konečný text, sa však nevyznačujú.</w:t>
            </w:r>
          </w:p>
          <w:p w14:paraId="466E6D5E" w14:textId="77777777" w:rsidR="0042212B" w:rsidRPr="00992414" w:rsidRDefault="0042212B">
            <w:pPr>
              <w:pStyle w:val="Lgendestandard"/>
            </w:pPr>
          </w:p>
        </w:tc>
      </w:tr>
    </w:tbl>
    <w:p w14:paraId="1AFB1411" w14:textId="77777777" w:rsidR="0042212B" w:rsidRPr="00992414" w:rsidRDefault="0042212B"/>
    <w:p w14:paraId="2D3D8766" w14:textId="77777777" w:rsidR="00793EA9" w:rsidRPr="00992414" w:rsidRDefault="00793EA9" w:rsidP="00012351">
      <w:pPr>
        <w:widowControl/>
        <w:tabs>
          <w:tab w:val="center" w:pos="4677"/>
        </w:tabs>
      </w:pPr>
    </w:p>
    <w:p w14:paraId="2C8028E0" w14:textId="77777777" w:rsidR="00793EA9" w:rsidRPr="00992414" w:rsidRDefault="00793EA9">
      <w:pPr>
        <w:pStyle w:val="TOCHeading"/>
      </w:pPr>
      <w:r w:rsidRPr="00992414">
        <w:br w:type="page"/>
      </w:r>
      <w:r w:rsidRPr="00992414">
        <w:lastRenderedPageBreak/>
        <w:t>OBSAH</w:t>
      </w:r>
    </w:p>
    <w:p w14:paraId="4BACE487" w14:textId="77777777" w:rsidR="00793EA9" w:rsidRPr="00992414" w:rsidRDefault="00A25AB3">
      <w:pPr>
        <w:pStyle w:val="TOCPage"/>
      </w:pPr>
      <w:r w:rsidRPr="00992414">
        <w:t>Strana</w:t>
      </w:r>
    </w:p>
    <w:p w14:paraId="6F6E48D7" w14:textId="77777777" w:rsidR="00D26774" w:rsidRDefault="001767E2">
      <w:pPr>
        <w:pStyle w:val="TOC1"/>
        <w:tabs>
          <w:tab w:val="right" w:leader="dot" w:pos="9060"/>
        </w:tabs>
        <w:rPr>
          <w:rFonts w:asciiTheme="minorHAnsi" w:eastAsiaTheme="minorEastAsia" w:hAnsiTheme="minorHAnsi" w:cstheme="minorBidi"/>
          <w:noProof/>
          <w:sz w:val="22"/>
          <w:szCs w:val="22"/>
          <w:lang w:val="en-GB"/>
        </w:rPr>
      </w:pPr>
      <w:r w:rsidRPr="00992414">
        <w:rPr>
          <w:b/>
        </w:rPr>
        <w:fldChar w:fldCharType="begin"/>
      </w:r>
      <w:r w:rsidRPr="00992414">
        <w:rPr>
          <w:b/>
        </w:rPr>
        <w:instrText xml:space="preserve"> TOC \t "PageHeading</w:instrText>
      </w:r>
      <w:r w:rsidR="00992414" w:rsidRPr="00992414">
        <w:rPr>
          <w:b/>
        </w:rPr>
        <w:instrText>;</w:instrText>
      </w:r>
      <w:r w:rsidRPr="00992414">
        <w:rPr>
          <w:b/>
        </w:rPr>
        <w:instrText xml:space="preserve">1" </w:instrText>
      </w:r>
      <w:r w:rsidRPr="00992414">
        <w:rPr>
          <w:b/>
        </w:rPr>
        <w:fldChar w:fldCharType="separate"/>
      </w:r>
      <w:r w:rsidR="00D26774">
        <w:rPr>
          <w:noProof/>
        </w:rPr>
        <w:t>NÁVRH LEGISLATÍVNEHO UZNESENIA EURÓPSKEHO PARLAMENTU</w:t>
      </w:r>
      <w:r w:rsidR="00D26774">
        <w:rPr>
          <w:noProof/>
        </w:rPr>
        <w:tab/>
      </w:r>
      <w:r w:rsidR="00D26774">
        <w:rPr>
          <w:noProof/>
        </w:rPr>
        <w:fldChar w:fldCharType="begin"/>
      </w:r>
      <w:r w:rsidR="00D26774">
        <w:rPr>
          <w:noProof/>
        </w:rPr>
        <w:instrText xml:space="preserve"> PAGEREF _Toc501622908 \h </w:instrText>
      </w:r>
      <w:r w:rsidR="00D26774">
        <w:rPr>
          <w:noProof/>
        </w:rPr>
      </w:r>
      <w:r w:rsidR="00D26774">
        <w:rPr>
          <w:noProof/>
        </w:rPr>
        <w:fldChar w:fldCharType="separate"/>
      </w:r>
      <w:r w:rsidR="00D26774">
        <w:rPr>
          <w:noProof/>
        </w:rPr>
        <w:t>5</w:t>
      </w:r>
      <w:r w:rsidR="00D26774">
        <w:rPr>
          <w:noProof/>
        </w:rPr>
        <w:fldChar w:fldCharType="end"/>
      </w:r>
    </w:p>
    <w:p w14:paraId="74ED566A" w14:textId="77777777" w:rsidR="00D26774" w:rsidRDefault="00D26774">
      <w:pPr>
        <w:pStyle w:val="TOC1"/>
        <w:tabs>
          <w:tab w:val="right" w:leader="dot" w:pos="9060"/>
        </w:tabs>
        <w:rPr>
          <w:rFonts w:asciiTheme="minorHAnsi" w:eastAsiaTheme="minorEastAsia" w:hAnsiTheme="minorHAnsi" w:cstheme="minorBidi"/>
          <w:noProof/>
          <w:sz w:val="22"/>
          <w:szCs w:val="22"/>
          <w:lang w:val="en-GB"/>
        </w:rPr>
      </w:pPr>
      <w:r>
        <w:rPr>
          <w:noProof/>
        </w:rPr>
        <w:t>DÔVODOVÁ SPRÁVA</w:t>
      </w:r>
      <w:r>
        <w:rPr>
          <w:noProof/>
        </w:rPr>
        <w:tab/>
      </w:r>
      <w:r>
        <w:rPr>
          <w:noProof/>
        </w:rPr>
        <w:fldChar w:fldCharType="begin"/>
      </w:r>
      <w:r>
        <w:rPr>
          <w:noProof/>
        </w:rPr>
        <w:instrText xml:space="preserve"> PAGEREF _Toc501622909 \h </w:instrText>
      </w:r>
      <w:r>
        <w:rPr>
          <w:noProof/>
        </w:rPr>
      </w:r>
      <w:r>
        <w:rPr>
          <w:noProof/>
        </w:rPr>
        <w:fldChar w:fldCharType="separate"/>
      </w:r>
      <w:r>
        <w:rPr>
          <w:noProof/>
        </w:rPr>
        <w:t>50</w:t>
      </w:r>
      <w:r>
        <w:rPr>
          <w:noProof/>
        </w:rPr>
        <w:fldChar w:fldCharType="end"/>
      </w:r>
    </w:p>
    <w:p w14:paraId="50191984" w14:textId="77777777" w:rsidR="00D26774" w:rsidRDefault="00D26774">
      <w:pPr>
        <w:pStyle w:val="TOC1"/>
        <w:tabs>
          <w:tab w:val="right" w:leader="dot" w:pos="9060"/>
        </w:tabs>
        <w:rPr>
          <w:rFonts w:asciiTheme="minorHAnsi" w:eastAsiaTheme="minorEastAsia" w:hAnsiTheme="minorHAnsi" w:cstheme="minorBidi"/>
          <w:noProof/>
          <w:sz w:val="22"/>
          <w:szCs w:val="22"/>
          <w:lang w:val="en-GB"/>
        </w:rPr>
      </w:pPr>
      <w:r>
        <w:rPr>
          <w:noProof/>
        </w:rPr>
        <w:t>POSTUP GESTORSKÉHO VÝBORU</w:t>
      </w:r>
      <w:r>
        <w:rPr>
          <w:noProof/>
        </w:rPr>
        <w:tab/>
      </w:r>
      <w:r>
        <w:rPr>
          <w:noProof/>
        </w:rPr>
        <w:fldChar w:fldCharType="begin"/>
      </w:r>
      <w:r>
        <w:rPr>
          <w:noProof/>
        </w:rPr>
        <w:instrText xml:space="preserve"> PAGEREF _Toc501622910 \h </w:instrText>
      </w:r>
      <w:r>
        <w:rPr>
          <w:noProof/>
        </w:rPr>
      </w:r>
      <w:r>
        <w:rPr>
          <w:noProof/>
        </w:rPr>
        <w:fldChar w:fldCharType="separate"/>
      </w:r>
      <w:r>
        <w:rPr>
          <w:noProof/>
        </w:rPr>
        <w:t>53</w:t>
      </w:r>
      <w:r>
        <w:rPr>
          <w:noProof/>
        </w:rPr>
        <w:fldChar w:fldCharType="end"/>
      </w:r>
    </w:p>
    <w:p w14:paraId="6DF4C447" w14:textId="77777777" w:rsidR="00D26774" w:rsidRDefault="00D26774">
      <w:pPr>
        <w:pStyle w:val="TOC1"/>
        <w:tabs>
          <w:tab w:val="right" w:leader="dot" w:pos="9060"/>
        </w:tabs>
        <w:rPr>
          <w:rFonts w:asciiTheme="minorHAnsi" w:eastAsiaTheme="minorEastAsia" w:hAnsiTheme="minorHAnsi" w:cstheme="minorBidi"/>
          <w:noProof/>
          <w:sz w:val="22"/>
          <w:szCs w:val="22"/>
          <w:lang w:val="en-GB"/>
        </w:rPr>
      </w:pPr>
      <w:r>
        <w:rPr>
          <w:noProof/>
        </w:rPr>
        <w:t>ZÁVEREČNÉ HLASOVANIE PODĽA MIEN V GESTORSKOM VÝBORE</w:t>
      </w:r>
      <w:r>
        <w:rPr>
          <w:noProof/>
        </w:rPr>
        <w:tab/>
      </w:r>
      <w:r>
        <w:rPr>
          <w:noProof/>
        </w:rPr>
        <w:fldChar w:fldCharType="begin"/>
      </w:r>
      <w:r>
        <w:rPr>
          <w:noProof/>
        </w:rPr>
        <w:instrText xml:space="preserve"> PAGEREF _Toc501622911 \h </w:instrText>
      </w:r>
      <w:r>
        <w:rPr>
          <w:noProof/>
        </w:rPr>
      </w:r>
      <w:r>
        <w:rPr>
          <w:noProof/>
        </w:rPr>
        <w:fldChar w:fldCharType="separate"/>
      </w:r>
      <w:r>
        <w:rPr>
          <w:noProof/>
        </w:rPr>
        <w:t>54</w:t>
      </w:r>
      <w:r>
        <w:rPr>
          <w:noProof/>
        </w:rPr>
        <w:fldChar w:fldCharType="end"/>
      </w:r>
    </w:p>
    <w:p w14:paraId="72788BEE" w14:textId="77777777" w:rsidR="00793EA9" w:rsidRPr="00992414" w:rsidRDefault="001767E2" w:rsidP="002346B0">
      <w:r w:rsidRPr="00992414">
        <w:rPr>
          <w:b/>
        </w:rPr>
        <w:fldChar w:fldCharType="end"/>
      </w:r>
    </w:p>
    <w:p w14:paraId="159D1B48" w14:textId="77777777" w:rsidR="002346B0" w:rsidRPr="00992414" w:rsidRDefault="002346B0" w:rsidP="002346B0"/>
    <w:p w14:paraId="472C4956" w14:textId="77777777" w:rsidR="002346B0" w:rsidRPr="00992414" w:rsidRDefault="002346B0">
      <w:pPr>
        <w:pStyle w:val="PageHeading"/>
      </w:pPr>
    </w:p>
    <w:p w14:paraId="09063A38" w14:textId="77777777" w:rsidR="00793EA9" w:rsidRPr="00992414" w:rsidRDefault="00793EA9">
      <w:pPr>
        <w:pStyle w:val="PageHeading"/>
      </w:pPr>
      <w:r w:rsidRPr="00992414">
        <w:br w:type="page"/>
      </w:r>
      <w:r w:rsidRPr="00992414">
        <w:lastRenderedPageBreak/>
        <w:br w:type="page"/>
      </w:r>
      <w:bookmarkStart w:id="2" w:name="_Toc501622908"/>
      <w:r w:rsidRPr="00992414">
        <w:t>NÁVRH LEGISLATÍVNEHO UZNESENIA EURÓPSKEHO PARLAMENTU</w:t>
      </w:r>
      <w:bookmarkEnd w:id="2"/>
    </w:p>
    <w:p w14:paraId="4EF41EE1" w14:textId="77777777" w:rsidR="00793EA9" w:rsidRPr="00992414" w:rsidRDefault="00A25AB3">
      <w:pPr>
        <w:pStyle w:val="NormalBold"/>
      </w:pPr>
      <w:r w:rsidRPr="00992414">
        <w:t>o návrhu Komisie na nariadenie Európskeho parlamentu a Rady o kontrolách peňažných prostriedkov v hotovosti, ktoré vstupujú do Únie, resp. opúšťajú Úniu, a ktorým sa zrušuje nariadenie (ES) č. 1889/2005</w:t>
      </w:r>
    </w:p>
    <w:p w14:paraId="065181D9" w14:textId="18CBCD75" w:rsidR="00793EA9" w:rsidRPr="00992414" w:rsidRDefault="00A25AB3">
      <w:pPr>
        <w:pStyle w:val="Normal12Bold"/>
      </w:pPr>
      <w:r w:rsidRPr="00992414">
        <w:t>(COM(2016)0825 – C8</w:t>
      </w:r>
      <w:r w:rsidRPr="00992414">
        <w:noBreakHyphen/>
        <w:t>0001/2017 – 2016/0413(COD))</w:t>
      </w:r>
    </w:p>
    <w:p w14:paraId="7FEF08B7" w14:textId="77777777" w:rsidR="00793EA9" w:rsidRPr="00992414" w:rsidRDefault="00A25AB3">
      <w:pPr>
        <w:pStyle w:val="Normal12Bold"/>
      </w:pPr>
      <w:r w:rsidRPr="00992414">
        <w:t>(Riadny legislatívny postup: prvé čítanie)</w:t>
      </w:r>
    </w:p>
    <w:p w14:paraId="102E5F1A" w14:textId="77777777" w:rsidR="00793EA9" w:rsidRPr="00992414" w:rsidRDefault="00A25AB3">
      <w:pPr>
        <w:pStyle w:val="Normal12"/>
      </w:pPr>
      <w:r w:rsidRPr="00992414">
        <w:rPr>
          <w:i/>
        </w:rPr>
        <w:t>Európsky parlament,</w:t>
      </w:r>
    </w:p>
    <w:p w14:paraId="5E031D6B" w14:textId="5D95AFBC" w:rsidR="00793EA9" w:rsidRPr="00992414" w:rsidRDefault="00793EA9">
      <w:pPr>
        <w:pStyle w:val="Normal12Hanging"/>
      </w:pPr>
      <w:r w:rsidRPr="00992414">
        <w:t>–</w:t>
      </w:r>
      <w:r w:rsidRPr="00992414">
        <w:tab/>
        <w:t>so zreteľom na návrh Komisie pre Európsky parlament a Radu (COM(2016)0825),</w:t>
      </w:r>
    </w:p>
    <w:p w14:paraId="388C7BD2" w14:textId="77777777" w:rsidR="00793EA9" w:rsidRPr="00992414" w:rsidRDefault="00793EA9">
      <w:pPr>
        <w:pStyle w:val="Normal12Hanging"/>
      </w:pPr>
      <w:r w:rsidRPr="00992414">
        <w:t>–</w:t>
      </w:r>
      <w:r w:rsidRPr="00992414">
        <w:tab/>
        <w:t>so zreteľom na článok 294 ods. 2 a články 33 a 114 Zmluvy o fungovaní Európskej únie, v súlade s ktorými Komisia predložila návrh Európskemu parlamentu (C8</w:t>
      </w:r>
      <w:r w:rsidRPr="00992414">
        <w:noBreakHyphen/>
        <w:t>0001/2017),</w:t>
      </w:r>
    </w:p>
    <w:p w14:paraId="0076FAFD" w14:textId="77777777" w:rsidR="00A26F46" w:rsidRPr="00992414" w:rsidRDefault="00A26F46" w:rsidP="00A26F46">
      <w:pPr>
        <w:pStyle w:val="Normal12Hanging"/>
      </w:pPr>
      <w:r w:rsidRPr="00992414">
        <w:t>–</w:t>
      </w:r>
      <w:r w:rsidRPr="00992414">
        <w:tab/>
        <w:t>so zreteľom na článok 294 ods. 3 Zmluvy o fungovaní Európskej únie,</w:t>
      </w:r>
    </w:p>
    <w:p w14:paraId="6F876B43" w14:textId="77777777" w:rsidR="00FB52FE" w:rsidRPr="00992414" w:rsidRDefault="00FB52FE" w:rsidP="00FB52FE">
      <w:pPr>
        <w:pStyle w:val="Normal12Hanging"/>
      </w:pPr>
      <w:r w:rsidRPr="00992414">
        <w:t>–</w:t>
      </w:r>
      <w:r w:rsidRPr="00992414">
        <w:tab/>
        <w:t>so zreteľom na príspevky k návrhu legislatívneho aktu, ktoré predložili česká Poslanecká snemovňa a španielsky Parlament,</w:t>
      </w:r>
    </w:p>
    <w:p w14:paraId="392AE1C0" w14:textId="7533736B" w:rsidR="00792B85" w:rsidRPr="00992414" w:rsidRDefault="00792B85" w:rsidP="00690B4E">
      <w:pPr>
        <w:pStyle w:val="Normal12Hanging"/>
      </w:pPr>
      <w:r w:rsidRPr="00992414">
        <w:t>–</w:t>
      </w:r>
      <w:r w:rsidRPr="00992414">
        <w:tab/>
        <w:t>so zreteľom na stanovisko Európskeho hospodárskeho a sociálneho výboru z 27. apríla 2017</w:t>
      </w:r>
      <w:r w:rsidRPr="00992414">
        <w:rPr>
          <w:rStyle w:val="FootnoteReference"/>
        </w:rPr>
        <w:footnoteReference w:id="1"/>
      </w:r>
      <w:r w:rsidRPr="00992414">
        <w:t>,</w:t>
      </w:r>
    </w:p>
    <w:p w14:paraId="3D23643B" w14:textId="2A12C3B8" w:rsidR="00792B85" w:rsidRPr="00992414" w:rsidRDefault="00792B85" w:rsidP="00792B85">
      <w:pPr>
        <w:pStyle w:val="Normal12Hanging"/>
      </w:pPr>
      <w:r w:rsidRPr="00992414">
        <w:t>–</w:t>
      </w:r>
      <w:r w:rsidRPr="00992414">
        <w:tab/>
        <w:t>po porade s Výborom regiónov,</w:t>
      </w:r>
    </w:p>
    <w:p w14:paraId="11C91157" w14:textId="77777777" w:rsidR="00793EA9" w:rsidRPr="00992414" w:rsidRDefault="00793EA9">
      <w:pPr>
        <w:pStyle w:val="Normal12Hanging"/>
      </w:pPr>
      <w:r w:rsidRPr="00992414">
        <w:t>–</w:t>
      </w:r>
      <w:r w:rsidRPr="00992414">
        <w:tab/>
        <w:t>so zreteľom na článok 59 rokovacieho poriadku,</w:t>
      </w:r>
    </w:p>
    <w:p w14:paraId="69AAEB47" w14:textId="77777777" w:rsidR="00DF47D2" w:rsidRPr="00992414" w:rsidRDefault="00DF47D2" w:rsidP="001108A3">
      <w:pPr>
        <w:pStyle w:val="Normal12Hanging"/>
        <w:rPr>
          <w:szCs w:val="24"/>
        </w:rPr>
      </w:pPr>
      <w:r w:rsidRPr="00992414">
        <w:t>–</w:t>
      </w:r>
      <w:r w:rsidRPr="00992414">
        <w:tab/>
        <w:t>so zreteľom na spoločné rokovania Výboru pre hospodárske a menové veci a Výboru pre občianske slobody, spravodlivosť a vnútorné veci podľa článku 55 rokovacieho poriadku,</w:t>
      </w:r>
    </w:p>
    <w:p w14:paraId="5D10F73B" w14:textId="1AE6361D" w:rsidR="00793EA9" w:rsidRPr="00992414" w:rsidRDefault="00793EA9">
      <w:pPr>
        <w:pStyle w:val="Normal12Hanging"/>
      </w:pPr>
      <w:r w:rsidRPr="00992414">
        <w:t>–</w:t>
      </w:r>
      <w:r w:rsidRPr="00992414">
        <w:tab/>
        <w:t>so zreteľom na správu Výboru pre hospodárske a menové veci a Výboru pre občianske slobody, spravodlivosť a vnútorné veci (A8-0394/2017),</w:t>
      </w:r>
    </w:p>
    <w:p w14:paraId="6EE9769C" w14:textId="77777777" w:rsidR="009F6C2F" w:rsidRPr="00992414" w:rsidRDefault="009F6C2F" w:rsidP="009F6C2F">
      <w:pPr>
        <w:pStyle w:val="Normal12Hanging"/>
      </w:pPr>
      <w:r w:rsidRPr="00992414">
        <w:t>1.</w:t>
      </w:r>
      <w:r w:rsidRPr="00992414">
        <w:tab/>
        <w:t>prijíma nasledujúcu pozíciu v prvom čítaní;</w:t>
      </w:r>
    </w:p>
    <w:p w14:paraId="0D783942" w14:textId="77777777" w:rsidR="009F6C2F" w:rsidRPr="00992414" w:rsidRDefault="00792B85" w:rsidP="009F6C2F">
      <w:pPr>
        <w:pStyle w:val="Normal12Hanging"/>
      </w:pPr>
      <w:r w:rsidRPr="00992414">
        <w:t>2.</w:t>
      </w:r>
      <w:r w:rsidRPr="00992414">
        <w:tab/>
        <w:t>žiada Komisiu, aby mu vec znovu predložila, ak nahrádza, podstatne mení alebo má v úmysle podstatne zmeniť svoj návrh;</w:t>
      </w:r>
    </w:p>
    <w:p w14:paraId="583952BF" w14:textId="77777777" w:rsidR="009F6C2F" w:rsidRPr="00992414" w:rsidRDefault="00792B85" w:rsidP="009F6C2F">
      <w:pPr>
        <w:pStyle w:val="Normal12Hanging"/>
      </w:pPr>
      <w:r w:rsidRPr="00992414">
        <w:t>3.</w:t>
      </w:r>
      <w:r w:rsidRPr="00992414">
        <w:tab/>
        <w:t>poveruje svojho predsedu, aby postúpil túto pozíciu Rade, Komisii a národným parlamentom.</w:t>
      </w:r>
    </w:p>
    <w:p w14:paraId="1194516F" w14:textId="5800A8B6" w:rsidR="00055926" w:rsidRPr="00992414" w:rsidRDefault="00055926" w:rsidP="00055926">
      <w:pPr>
        <w:pStyle w:val="AMNumberTabs"/>
        <w:keepNext/>
      </w:pPr>
      <w:r w:rsidRPr="00992414">
        <w:rPr>
          <w:rStyle w:val="HideTWBExt"/>
          <w:b w:val="0"/>
          <w:noProof w:val="0"/>
        </w:rPr>
        <w:t>&lt;RepeatBlock-Amend&gt;&lt;AmendB&gt;</w:t>
      </w:r>
      <w:r w:rsidRPr="00992414">
        <w:t>Pozmeňujúci návrh</w:t>
      </w:r>
      <w:r w:rsidRPr="00992414">
        <w:tab/>
      </w:r>
      <w:r w:rsidRPr="00992414">
        <w:tab/>
      </w:r>
      <w:r w:rsidRPr="00992414">
        <w:rPr>
          <w:rStyle w:val="HideTWBExt"/>
          <w:b w:val="0"/>
          <w:noProof w:val="0"/>
        </w:rPr>
        <w:t>&lt;NumAmB&gt;</w:t>
      </w:r>
      <w:r w:rsidRPr="00992414">
        <w:t>1</w:t>
      </w:r>
      <w:r w:rsidRPr="00992414">
        <w:rPr>
          <w:rStyle w:val="HideTWBExt"/>
          <w:b w:val="0"/>
          <w:noProof w:val="0"/>
        </w:rPr>
        <w:t>&lt;/NumAmB&gt;</w:t>
      </w:r>
    </w:p>
    <w:p w14:paraId="0204D95C" w14:textId="77777777" w:rsidR="00055926" w:rsidRPr="00992414" w:rsidRDefault="00055926" w:rsidP="00055926">
      <w:pPr>
        <w:pStyle w:val="NormalBold12b"/>
      </w:pPr>
      <w:r w:rsidRPr="00992414">
        <w:rPr>
          <w:rStyle w:val="HideTWBExt"/>
          <w:b w:val="0"/>
          <w:noProof w:val="0"/>
        </w:rPr>
        <w:t>&lt;DocAmend&gt;</w:t>
      </w:r>
      <w:r w:rsidRPr="00992414">
        <w:t>Návrh nariadenia</w:t>
      </w:r>
      <w:r w:rsidRPr="00992414">
        <w:rPr>
          <w:rStyle w:val="HideTWBExt"/>
          <w:b w:val="0"/>
          <w:noProof w:val="0"/>
        </w:rPr>
        <w:t>&lt;/DocAmend&gt;</w:t>
      </w:r>
    </w:p>
    <w:p w14:paraId="0F133D39" w14:textId="77777777" w:rsidR="00055926" w:rsidRPr="00992414" w:rsidRDefault="00055926" w:rsidP="00055926">
      <w:pPr>
        <w:pStyle w:val="NormalBold"/>
      </w:pPr>
      <w:r w:rsidRPr="00992414">
        <w:rPr>
          <w:rStyle w:val="HideTWBExt"/>
          <w:b w:val="0"/>
          <w:noProof w:val="0"/>
        </w:rPr>
        <w:t>&lt;Article&gt;</w:t>
      </w:r>
      <w:r w:rsidRPr="00992414">
        <w:t>Odôvodnenie 2 a (nové)</w:t>
      </w:r>
      <w:r w:rsidRPr="0099241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55926" w:rsidRPr="00992414" w14:paraId="242695A4" w14:textId="77777777" w:rsidTr="001A7F08">
        <w:trPr>
          <w:jc w:val="center"/>
        </w:trPr>
        <w:tc>
          <w:tcPr>
            <w:tcW w:w="9752" w:type="dxa"/>
            <w:gridSpan w:val="2"/>
          </w:tcPr>
          <w:p w14:paraId="702059EC" w14:textId="77777777" w:rsidR="00055926" w:rsidRPr="00992414" w:rsidRDefault="00055926" w:rsidP="001A7F08">
            <w:pPr>
              <w:keepNext/>
            </w:pPr>
          </w:p>
        </w:tc>
      </w:tr>
      <w:tr w:rsidR="00055926" w:rsidRPr="00992414" w14:paraId="78FBBB27" w14:textId="77777777" w:rsidTr="001A7F08">
        <w:trPr>
          <w:jc w:val="center"/>
        </w:trPr>
        <w:tc>
          <w:tcPr>
            <w:tcW w:w="4876" w:type="dxa"/>
          </w:tcPr>
          <w:p w14:paraId="7747856C" w14:textId="77777777" w:rsidR="00055926" w:rsidRPr="00992414" w:rsidRDefault="00055926" w:rsidP="001A7F08">
            <w:pPr>
              <w:pStyle w:val="ColumnHeading"/>
              <w:keepNext/>
            </w:pPr>
            <w:r w:rsidRPr="00992414">
              <w:t>Text predložený Komisiou</w:t>
            </w:r>
          </w:p>
        </w:tc>
        <w:tc>
          <w:tcPr>
            <w:tcW w:w="4876" w:type="dxa"/>
          </w:tcPr>
          <w:p w14:paraId="0DD68011" w14:textId="77777777" w:rsidR="00055926" w:rsidRPr="00992414" w:rsidRDefault="00055926" w:rsidP="001A7F08">
            <w:pPr>
              <w:pStyle w:val="ColumnHeading"/>
              <w:keepNext/>
            </w:pPr>
            <w:r w:rsidRPr="00992414">
              <w:t>Pozmeňujúci návrh</w:t>
            </w:r>
          </w:p>
        </w:tc>
      </w:tr>
      <w:tr w:rsidR="00055926" w:rsidRPr="00992414" w14:paraId="659A6583" w14:textId="77777777" w:rsidTr="001A7F08">
        <w:trPr>
          <w:jc w:val="center"/>
        </w:trPr>
        <w:tc>
          <w:tcPr>
            <w:tcW w:w="4876" w:type="dxa"/>
          </w:tcPr>
          <w:p w14:paraId="6C47C319" w14:textId="77777777" w:rsidR="00055926" w:rsidRPr="00992414" w:rsidRDefault="00055926" w:rsidP="001A7F08">
            <w:pPr>
              <w:pStyle w:val="Normal6"/>
            </w:pPr>
          </w:p>
        </w:tc>
        <w:tc>
          <w:tcPr>
            <w:tcW w:w="4876" w:type="dxa"/>
          </w:tcPr>
          <w:p w14:paraId="181480B5" w14:textId="7B225507" w:rsidR="00055926" w:rsidRPr="00992414" w:rsidRDefault="00055926" w:rsidP="005C7451">
            <w:pPr>
              <w:pStyle w:val="Normal6"/>
              <w:rPr>
                <w:szCs w:val="24"/>
              </w:rPr>
            </w:pPr>
            <w:r w:rsidRPr="00992414">
              <w:rPr>
                <w:b/>
                <w:i/>
              </w:rPr>
              <w:t>(2a)</w:t>
            </w:r>
            <w:r w:rsidRPr="00992414">
              <w:rPr>
                <w:b/>
                <w:i/>
              </w:rPr>
              <w:tab/>
              <w:t>Zločinci pašujú peňažné prostriedky v hotovosti do EÚ, ale neexistujú žiadne jednoznačné odhady rozsahu a hodnoty súm pašovaných cez hranice. Zodpovednosť za zisťovanie, zaznamenávanie a vyšetrovanie pohybov peňažných prostriedkov v hotovosti je rozdrobená medzi členské štáty a vnútroštátne orgány môžu čeliť právnym prekážkam, ktoré colným orgánom bránia v kontrole alebo oznamovaní peňažných prostriedkov v hotovosti, ktoré vstupujú do Únie, resp. opúšťajú Úniu. Niektoré nosiče vysokej hodnoty iné ako peňažné prostriedky v hotovosti, napríklad zlato, diamanty, predplatené karty, digitálne peňaženky a akcie na doručiteľa, sa oznamujú len zriedka, a to z dôvodu ťažkostí s ich zisťovaním alebo preto, že v súčasnosti vo väčšine členských štátov nepatria do pôsobnosti regulácie peňažných prostriedkov v hotovosti.</w:t>
            </w:r>
          </w:p>
        </w:tc>
      </w:tr>
    </w:tbl>
    <w:p w14:paraId="6F35308C" w14:textId="77777777" w:rsidR="00055926" w:rsidRPr="00992414" w:rsidRDefault="00055926" w:rsidP="00055926">
      <w:r w:rsidRPr="00992414">
        <w:rPr>
          <w:rStyle w:val="HideTWBExt"/>
          <w:noProof w:val="0"/>
        </w:rPr>
        <w:t>&lt;/AmendB&gt;</w:t>
      </w:r>
    </w:p>
    <w:p w14:paraId="697AC702" w14:textId="2C3720A5" w:rsidR="00055926" w:rsidRPr="00992414" w:rsidRDefault="00FF635F" w:rsidP="0073214C">
      <w:r w:rsidRPr="00992414">
        <w:t xml:space="preserve"> </w:t>
      </w:r>
      <w:r w:rsidRPr="00992414">
        <w:rPr>
          <w:rStyle w:val="HideTWBExt"/>
          <w:noProof w:val="0"/>
        </w:rPr>
        <w:t>&lt;AmendB&gt;</w:t>
      </w:r>
      <w:r w:rsidRPr="00992414">
        <w:t>Pozmeňujúci návrh</w:t>
      </w:r>
      <w:r w:rsidRPr="00992414">
        <w:rPr>
          <w:rStyle w:val="HideTWBExt"/>
          <w:noProof w:val="0"/>
        </w:rPr>
        <w:t>&lt;NumAmB&gt;</w:t>
      </w:r>
      <w:r w:rsidRPr="00992414">
        <w:rPr>
          <w:b/>
          <w:color w:val="000000"/>
        </w:rPr>
        <w:t>2</w:t>
      </w:r>
      <w:r w:rsidRPr="00992414">
        <w:rPr>
          <w:rStyle w:val="HideTWBExt"/>
          <w:noProof w:val="0"/>
        </w:rPr>
        <w:t>&lt;/NumAmB&gt;</w:t>
      </w:r>
    </w:p>
    <w:p w14:paraId="26317B62" w14:textId="77777777" w:rsidR="00055926" w:rsidRPr="00992414" w:rsidRDefault="00055926" w:rsidP="00055926">
      <w:pPr>
        <w:pStyle w:val="NormalBold12b"/>
      </w:pPr>
      <w:r w:rsidRPr="00992414">
        <w:rPr>
          <w:rStyle w:val="HideTWBExt"/>
          <w:b w:val="0"/>
          <w:noProof w:val="0"/>
        </w:rPr>
        <w:t>&lt;DocAmend&gt;</w:t>
      </w:r>
      <w:r w:rsidRPr="00992414">
        <w:t>Návrh nariadenia</w:t>
      </w:r>
      <w:r w:rsidRPr="00992414">
        <w:rPr>
          <w:rStyle w:val="HideTWBExt"/>
          <w:b w:val="0"/>
          <w:noProof w:val="0"/>
        </w:rPr>
        <w:t>&lt;/DocAmend&gt;</w:t>
      </w:r>
    </w:p>
    <w:p w14:paraId="53572868" w14:textId="77777777" w:rsidR="00055926" w:rsidRPr="00992414" w:rsidRDefault="00055926" w:rsidP="00055926">
      <w:pPr>
        <w:pStyle w:val="NormalBold"/>
      </w:pPr>
      <w:r w:rsidRPr="00992414">
        <w:rPr>
          <w:rStyle w:val="HideTWBExt"/>
          <w:b w:val="0"/>
          <w:noProof w:val="0"/>
        </w:rPr>
        <w:t>&lt;Article&gt;</w:t>
      </w:r>
      <w:r w:rsidRPr="00992414">
        <w:t>Odôvodnenie 4</w:t>
      </w:r>
      <w:r w:rsidRPr="0099241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55926" w:rsidRPr="00992414" w14:paraId="4C6DC5FE" w14:textId="77777777" w:rsidTr="001A7F08">
        <w:trPr>
          <w:jc w:val="center"/>
        </w:trPr>
        <w:tc>
          <w:tcPr>
            <w:tcW w:w="9752" w:type="dxa"/>
            <w:gridSpan w:val="2"/>
          </w:tcPr>
          <w:p w14:paraId="51B5F466" w14:textId="77777777" w:rsidR="00055926" w:rsidRPr="00992414" w:rsidRDefault="00055926" w:rsidP="001A7F08">
            <w:pPr>
              <w:keepNext/>
            </w:pPr>
          </w:p>
        </w:tc>
      </w:tr>
      <w:tr w:rsidR="00055926" w:rsidRPr="00992414" w14:paraId="1AE043A4" w14:textId="77777777" w:rsidTr="001A7F08">
        <w:trPr>
          <w:jc w:val="center"/>
        </w:trPr>
        <w:tc>
          <w:tcPr>
            <w:tcW w:w="4876" w:type="dxa"/>
          </w:tcPr>
          <w:p w14:paraId="2A51926B" w14:textId="77777777" w:rsidR="00055926" w:rsidRPr="00992414" w:rsidRDefault="00055926" w:rsidP="001A7F08">
            <w:pPr>
              <w:pStyle w:val="ColumnHeading"/>
              <w:keepNext/>
            </w:pPr>
            <w:r w:rsidRPr="00992414">
              <w:t>Text predložený Komisiou</w:t>
            </w:r>
          </w:p>
        </w:tc>
        <w:tc>
          <w:tcPr>
            <w:tcW w:w="4876" w:type="dxa"/>
          </w:tcPr>
          <w:p w14:paraId="166AD0FD" w14:textId="77777777" w:rsidR="00055926" w:rsidRPr="00992414" w:rsidRDefault="00055926" w:rsidP="001A7F08">
            <w:pPr>
              <w:pStyle w:val="ColumnHeading"/>
              <w:keepNext/>
            </w:pPr>
            <w:r w:rsidRPr="00992414">
              <w:t>Pozmeňujúci návrh</w:t>
            </w:r>
          </w:p>
        </w:tc>
      </w:tr>
      <w:tr w:rsidR="00055926" w:rsidRPr="00992414" w14:paraId="602582C1" w14:textId="77777777" w:rsidTr="001A7F08">
        <w:trPr>
          <w:jc w:val="center"/>
        </w:trPr>
        <w:tc>
          <w:tcPr>
            <w:tcW w:w="4876" w:type="dxa"/>
          </w:tcPr>
          <w:p w14:paraId="288FBA3B" w14:textId="77777777" w:rsidR="00055926" w:rsidRPr="00992414" w:rsidRDefault="00055926" w:rsidP="001A7F08">
            <w:pPr>
              <w:pStyle w:val="Normal6"/>
            </w:pPr>
            <w:r w:rsidRPr="00992414">
              <w:t>(4)</w:t>
            </w:r>
            <w:r w:rsidRPr="00992414">
              <w:tab/>
              <w:t>Vzhľadom na riziko, že uplatňovanie smernice Rady 91/308/EHS by viedlo k zvýšenému pohybu peňažných prostriedkov v hotovosti na nezákonné účely, čo by mohlo predstavovať hrozbu pre finančný systém a vnútorný trh, uvedená smernica bola doplnená nariadením Európskeho parlamentu a Rady (ES) č. 1889/2005</w:t>
            </w:r>
            <w:r w:rsidRPr="00992414">
              <w:rPr>
                <w:vertAlign w:val="superscript"/>
              </w:rPr>
              <w:t>20</w:t>
            </w:r>
            <w:r w:rsidRPr="00992414">
              <w:t xml:space="preserve">. Uvedené nariadenie má za cieľ predchádzať praniu špinavých peňazí a financovaniu terorizmu a odhaľovať ich, a to tak, že zavádza systém kontrol uplatniteľný na fyzické osoby, ktoré vstupujú do Únie, resp. opúšťajú Úniu, a prepravujú pri tom peňažné prostriedky v hotovosti </w:t>
            </w:r>
            <w:r w:rsidRPr="00992414">
              <w:rPr>
                <w:b/>
                <w:i/>
              </w:rPr>
              <w:t xml:space="preserve">alebo obchodovateľné finančné nástroje na doručiteľa </w:t>
            </w:r>
            <w:r w:rsidRPr="00992414">
              <w:t>v hodnote 10 000 EUR alebo viac alebo ekvivalent tejto hodnoty v iných menách.</w:t>
            </w:r>
          </w:p>
        </w:tc>
        <w:tc>
          <w:tcPr>
            <w:tcW w:w="4876" w:type="dxa"/>
          </w:tcPr>
          <w:p w14:paraId="2CE82022" w14:textId="24EB7836" w:rsidR="00055926" w:rsidRPr="00992414" w:rsidRDefault="00055926" w:rsidP="00CE340B">
            <w:pPr>
              <w:pStyle w:val="Normal6"/>
              <w:rPr>
                <w:szCs w:val="24"/>
              </w:rPr>
            </w:pPr>
            <w:r w:rsidRPr="00992414">
              <w:t>(4)</w:t>
            </w:r>
            <w:r w:rsidRPr="00992414">
              <w:tab/>
              <w:t>Vzhľadom na riziko, že uplatňovanie smernice Rady 91/308/EHS by viedlo k zvýšenému pohybu peňažných prostriedkov v hotovosti na nezákonné účely, čo by mohlo predstavovať hrozbu pre finančný systém a vnútorný trh, uvedená smernica bola doplnená nariadením Európskeho parlamentu a Rady (ES) č. 1889/2005</w:t>
            </w:r>
            <w:r w:rsidRPr="00992414">
              <w:rPr>
                <w:vertAlign w:val="superscript"/>
              </w:rPr>
              <w:t>20</w:t>
            </w:r>
            <w:r w:rsidRPr="00992414">
              <w:t xml:space="preserve">. Uvedené nariadenie má za cieľ predchádzať praniu špinavých peňazí a financovaniu terorizmu a odhaľovať ich, a to tak, že zavádza systém kontrol uplatniteľný na fyzické osoby, ktoré vstupujú do Únie, resp. opúšťajú Úniu, a prepravujú pri tom peňažné prostriedky v hotovosti v hodnote 10 000 EUR alebo viac alebo ekvivalent tejto hodnoty v iných menách. </w:t>
            </w:r>
            <w:r w:rsidRPr="00992414">
              <w:rPr>
                <w:b/>
                <w:i/>
              </w:rPr>
              <w:t>Pojem „vstupujú do Únie, resp. opúšťajú Úniu“ by sa mal vymedziť podľa územia Únie vymedzeného v článku 355 Zmluvy o fungovaní Únie, aby sa zaistil čo najširší rozsah pôsobnosti tohto nariadenia a aby žiadne oblasti ako slobodné pásma, medzinárodné tranzitné oblasti a podobné oblasti z tohto rozsahu pôsobnosti nemali výnimku a predstavovali možnosť obchádzania príslušných kontrol.</w:t>
            </w:r>
          </w:p>
        </w:tc>
      </w:tr>
      <w:tr w:rsidR="00055926" w:rsidRPr="00992414" w14:paraId="3419D4CA" w14:textId="77777777" w:rsidTr="001A7F08">
        <w:trPr>
          <w:jc w:val="center"/>
        </w:trPr>
        <w:tc>
          <w:tcPr>
            <w:tcW w:w="4876" w:type="dxa"/>
          </w:tcPr>
          <w:p w14:paraId="1A160E1E" w14:textId="77777777" w:rsidR="00055926" w:rsidRPr="00992414" w:rsidRDefault="00055926" w:rsidP="001A7F08">
            <w:pPr>
              <w:pStyle w:val="Normal6"/>
            </w:pPr>
            <w:r w:rsidRPr="00992414">
              <w:t>__________________</w:t>
            </w:r>
          </w:p>
        </w:tc>
        <w:tc>
          <w:tcPr>
            <w:tcW w:w="4876" w:type="dxa"/>
          </w:tcPr>
          <w:p w14:paraId="5B284CDE" w14:textId="77777777" w:rsidR="00055926" w:rsidRPr="00992414" w:rsidRDefault="00055926" w:rsidP="001A7F08">
            <w:pPr>
              <w:pStyle w:val="Normal6"/>
              <w:rPr>
                <w:szCs w:val="24"/>
              </w:rPr>
            </w:pPr>
            <w:r w:rsidRPr="00992414">
              <w:t>__________________</w:t>
            </w:r>
          </w:p>
        </w:tc>
      </w:tr>
      <w:tr w:rsidR="00055926" w:rsidRPr="00992414" w14:paraId="0B087F37" w14:textId="77777777" w:rsidTr="001A7F08">
        <w:trPr>
          <w:jc w:val="center"/>
        </w:trPr>
        <w:tc>
          <w:tcPr>
            <w:tcW w:w="4876" w:type="dxa"/>
          </w:tcPr>
          <w:p w14:paraId="5E0511B0" w14:textId="77777777" w:rsidR="00055926" w:rsidRPr="00992414" w:rsidRDefault="00055926" w:rsidP="001A7F08">
            <w:pPr>
              <w:pStyle w:val="Normal6"/>
            </w:pPr>
            <w:r w:rsidRPr="00992414">
              <w:rPr>
                <w:vertAlign w:val="superscript"/>
              </w:rPr>
              <w:t>20</w:t>
            </w:r>
            <w:r w:rsidRPr="00992414">
              <w:t xml:space="preserve"> Nariadenie Európskeho parlamentu a Rady (ES) č. 1889/2005 z 26. októbra 2005 o kontrole peňažných prostriedkov v hotovosti, ktoré vstupujú do Spoločenstva alebo vystupujú zo Spoločenstva (Ú. v. EÚ L 309, 25.11.2005, s. 9).</w:t>
            </w:r>
          </w:p>
        </w:tc>
        <w:tc>
          <w:tcPr>
            <w:tcW w:w="4876" w:type="dxa"/>
          </w:tcPr>
          <w:p w14:paraId="038471A5" w14:textId="77777777" w:rsidR="00055926" w:rsidRPr="00992414" w:rsidRDefault="00055926" w:rsidP="001A7F08">
            <w:pPr>
              <w:pStyle w:val="Normal6"/>
              <w:rPr>
                <w:szCs w:val="24"/>
              </w:rPr>
            </w:pPr>
            <w:r w:rsidRPr="00992414">
              <w:rPr>
                <w:vertAlign w:val="superscript"/>
              </w:rPr>
              <w:t>20</w:t>
            </w:r>
            <w:r w:rsidRPr="00992414">
              <w:t xml:space="preserve"> Nariadenie Európskeho parlamentu a Rady (ES) č. 1889/2005 z 26. októbra 2005 o kontrole peňažných prostriedkov v hotovosti, ktoré vstupujú do Spoločenstva alebo vystupujú zo Spoločenstva (Ú. v. EÚ L 309, 25.11.2005, s. 9).</w:t>
            </w:r>
          </w:p>
        </w:tc>
      </w:tr>
    </w:tbl>
    <w:p w14:paraId="5C3E4F28" w14:textId="77777777" w:rsidR="00F55047" w:rsidRPr="00992414" w:rsidRDefault="00055926" w:rsidP="00F55047">
      <w:r w:rsidRPr="00992414">
        <w:rPr>
          <w:rStyle w:val="HideTWBExt"/>
          <w:noProof w:val="0"/>
        </w:rPr>
        <w:t>&lt;/AmendB&gt;</w:t>
      </w:r>
    </w:p>
    <w:p w14:paraId="06230836" w14:textId="6489DDC4" w:rsidR="00F55047" w:rsidRPr="00992414" w:rsidRDefault="00F55047" w:rsidP="00F55047">
      <w:pPr>
        <w:pStyle w:val="AMNumberTabs"/>
        <w:keepNext/>
      </w:pPr>
      <w:r w:rsidRPr="00992414">
        <w:rPr>
          <w:rStyle w:val="HideTWBExt"/>
          <w:b w:val="0"/>
          <w:noProof w:val="0"/>
        </w:rPr>
        <w:t>&lt;AmendB&gt;</w:t>
      </w:r>
      <w:r w:rsidRPr="00992414">
        <w:t>Pozmeňujúci návrh</w:t>
      </w:r>
      <w:r w:rsidRPr="00992414">
        <w:tab/>
      </w:r>
      <w:r w:rsidRPr="00992414">
        <w:tab/>
      </w:r>
      <w:r w:rsidRPr="00992414">
        <w:rPr>
          <w:rStyle w:val="HideTWBExt"/>
          <w:b w:val="0"/>
          <w:noProof w:val="0"/>
        </w:rPr>
        <w:t>&lt;NumAmB&gt;</w:t>
      </w:r>
      <w:r w:rsidRPr="00992414">
        <w:t>3</w:t>
      </w:r>
      <w:r w:rsidRPr="00992414">
        <w:rPr>
          <w:rStyle w:val="HideTWBExt"/>
          <w:b w:val="0"/>
          <w:noProof w:val="0"/>
        </w:rPr>
        <w:t>&lt;/NumAmB&gt;</w:t>
      </w:r>
    </w:p>
    <w:p w14:paraId="08FEAADB" w14:textId="77777777" w:rsidR="00F55047" w:rsidRPr="00992414" w:rsidRDefault="00F55047" w:rsidP="00F55047">
      <w:pPr>
        <w:pStyle w:val="NormalBold12b"/>
      </w:pPr>
      <w:r w:rsidRPr="00992414">
        <w:rPr>
          <w:rStyle w:val="HideTWBExt"/>
          <w:b w:val="0"/>
          <w:noProof w:val="0"/>
        </w:rPr>
        <w:t>&lt;DocAmend&gt;</w:t>
      </w:r>
      <w:r w:rsidRPr="00992414">
        <w:t>Návrh nariadenia</w:t>
      </w:r>
      <w:r w:rsidRPr="00992414">
        <w:rPr>
          <w:rStyle w:val="HideTWBExt"/>
          <w:b w:val="0"/>
          <w:noProof w:val="0"/>
        </w:rPr>
        <w:t>&lt;/DocAmend&gt;</w:t>
      </w:r>
    </w:p>
    <w:p w14:paraId="2CED3F9E" w14:textId="77777777" w:rsidR="00F55047" w:rsidRPr="00992414" w:rsidRDefault="00F55047" w:rsidP="00F55047">
      <w:pPr>
        <w:pStyle w:val="NormalBold"/>
      </w:pPr>
      <w:r w:rsidRPr="00992414">
        <w:rPr>
          <w:rStyle w:val="HideTWBExt"/>
          <w:b w:val="0"/>
          <w:noProof w:val="0"/>
        </w:rPr>
        <w:t>&lt;Article&gt;</w:t>
      </w:r>
      <w:r w:rsidRPr="00992414">
        <w:t>Odôvodnenie 4 a (nové)</w:t>
      </w:r>
      <w:r w:rsidRPr="0099241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55047" w:rsidRPr="00992414" w14:paraId="510F04C4" w14:textId="77777777" w:rsidTr="001A7F08">
        <w:trPr>
          <w:jc w:val="center"/>
        </w:trPr>
        <w:tc>
          <w:tcPr>
            <w:tcW w:w="9752" w:type="dxa"/>
            <w:gridSpan w:val="2"/>
          </w:tcPr>
          <w:p w14:paraId="24AE62BF" w14:textId="77777777" w:rsidR="00F55047" w:rsidRPr="00992414" w:rsidRDefault="00F55047" w:rsidP="001A7F08">
            <w:pPr>
              <w:keepNext/>
            </w:pPr>
          </w:p>
        </w:tc>
      </w:tr>
      <w:tr w:rsidR="00F55047" w:rsidRPr="00992414" w14:paraId="46C37499" w14:textId="77777777" w:rsidTr="001A7F08">
        <w:trPr>
          <w:jc w:val="center"/>
        </w:trPr>
        <w:tc>
          <w:tcPr>
            <w:tcW w:w="4876" w:type="dxa"/>
          </w:tcPr>
          <w:p w14:paraId="4836A2B4" w14:textId="77777777" w:rsidR="00F55047" w:rsidRPr="00992414" w:rsidRDefault="00F55047" w:rsidP="001A7F08">
            <w:pPr>
              <w:pStyle w:val="ColumnHeading"/>
              <w:keepNext/>
            </w:pPr>
            <w:r w:rsidRPr="00992414">
              <w:t>Text predložený Komisiou</w:t>
            </w:r>
          </w:p>
        </w:tc>
        <w:tc>
          <w:tcPr>
            <w:tcW w:w="4876" w:type="dxa"/>
          </w:tcPr>
          <w:p w14:paraId="730CA283" w14:textId="77777777" w:rsidR="00F55047" w:rsidRPr="00992414" w:rsidRDefault="00F55047" w:rsidP="001A7F08">
            <w:pPr>
              <w:pStyle w:val="ColumnHeading"/>
              <w:keepNext/>
            </w:pPr>
            <w:r w:rsidRPr="00992414">
              <w:t>Pozmeňujúci návrh</w:t>
            </w:r>
          </w:p>
        </w:tc>
      </w:tr>
      <w:tr w:rsidR="00F55047" w:rsidRPr="00992414" w14:paraId="2EAE94FE" w14:textId="77777777" w:rsidTr="001A7F08">
        <w:trPr>
          <w:jc w:val="center"/>
        </w:trPr>
        <w:tc>
          <w:tcPr>
            <w:tcW w:w="4876" w:type="dxa"/>
          </w:tcPr>
          <w:p w14:paraId="535CF8E8" w14:textId="77777777" w:rsidR="00F55047" w:rsidRPr="00992414" w:rsidRDefault="00F55047" w:rsidP="001A7F08">
            <w:pPr>
              <w:pStyle w:val="Normal6"/>
            </w:pPr>
          </w:p>
        </w:tc>
        <w:tc>
          <w:tcPr>
            <w:tcW w:w="4876" w:type="dxa"/>
          </w:tcPr>
          <w:p w14:paraId="30C5C8A1" w14:textId="235EF92B" w:rsidR="00F55047" w:rsidRPr="00992414" w:rsidRDefault="00F55047" w:rsidP="004F5E09">
            <w:pPr>
              <w:pStyle w:val="Normal6"/>
              <w:rPr>
                <w:szCs w:val="24"/>
              </w:rPr>
            </w:pPr>
            <w:r w:rsidRPr="00992414">
              <w:rPr>
                <w:b/>
                <w:i/>
              </w:rPr>
              <w:t>(4a)</w:t>
            </w:r>
            <w:r w:rsidRPr="00992414">
              <w:rPr>
                <w:b/>
                <w:i/>
              </w:rPr>
              <w:tab/>
              <w:t>Dôležitosť kontroly pohybov peňažných prostriedkov v hotovosti, ktoré vstupujú do Únie, resp. opúšťajú Úniu, zdôrazňujú anomálie, o ktorých informuje Europol, konkrétne, že napriek trvalému zvyšovaniu využívania bezhotovostných platobných metód a miernemu zníženiu využívania peňažných prostriedkov v hotovosti na platby sa celková hodnota eurobankoviek v obehu naďalej zvyšuje tempom presahujúcim mieru inflácie a dopyt po bankovkách vysokej nominálnej hodnoty, ktoré sa bežne nespájajú s platbami, je stále rovnaký, čo by mohlo naznačovať väzbu na trestnú činnosť, ako sa uvádza v správe Europolu z roku 2015 s názvom Why is Cash still King?.</w:t>
            </w:r>
          </w:p>
        </w:tc>
      </w:tr>
      <w:tr w:rsidR="00F55047" w:rsidRPr="00992414" w14:paraId="1E94433A" w14:textId="77777777" w:rsidTr="001A7F08">
        <w:trPr>
          <w:jc w:val="center"/>
        </w:trPr>
        <w:tc>
          <w:tcPr>
            <w:tcW w:w="4876" w:type="dxa"/>
          </w:tcPr>
          <w:p w14:paraId="7A969934" w14:textId="77777777" w:rsidR="00F55047" w:rsidRPr="00992414" w:rsidRDefault="00F55047" w:rsidP="001A7F08">
            <w:pPr>
              <w:pStyle w:val="Normal6"/>
            </w:pPr>
          </w:p>
        </w:tc>
        <w:tc>
          <w:tcPr>
            <w:tcW w:w="4876" w:type="dxa"/>
          </w:tcPr>
          <w:p w14:paraId="7E806449" w14:textId="0D89AE8E" w:rsidR="00F55047" w:rsidRPr="00992414" w:rsidRDefault="00F55047" w:rsidP="001A7F08">
            <w:pPr>
              <w:pStyle w:val="Normal6"/>
              <w:rPr>
                <w:szCs w:val="24"/>
              </w:rPr>
            </w:pPr>
          </w:p>
        </w:tc>
      </w:tr>
      <w:tr w:rsidR="00F55047" w:rsidRPr="00992414" w14:paraId="418E410D" w14:textId="77777777" w:rsidTr="001A7F08">
        <w:trPr>
          <w:jc w:val="center"/>
        </w:trPr>
        <w:tc>
          <w:tcPr>
            <w:tcW w:w="4876" w:type="dxa"/>
          </w:tcPr>
          <w:p w14:paraId="38E3C18B" w14:textId="77777777" w:rsidR="00F55047" w:rsidRPr="00992414" w:rsidRDefault="00F55047" w:rsidP="001A7F08">
            <w:pPr>
              <w:pStyle w:val="Normal6"/>
            </w:pPr>
          </w:p>
        </w:tc>
        <w:tc>
          <w:tcPr>
            <w:tcW w:w="4876" w:type="dxa"/>
          </w:tcPr>
          <w:p w14:paraId="1484B130" w14:textId="4D3D4D98" w:rsidR="00F55047" w:rsidRPr="00992414" w:rsidRDefault="00F55047" w:rsidP="001A7F08">
            <w:pPr>
              <w:pStyle w:val="Normal6"/>
              <w:rPr>
                <w:szCs w:val="24"/>
              </w:rPr>
            </w:pPr>
          </w:p>
        </w:tc>
      </w:tr>
    </w:tbl>
    <w:p w14:paraId="30C07CC1" w14:textId="77777777" w:rsidR="00F55047" w:rsidRPr="00992414" w:rsidRDefault="00F55047" w:rsidP="00F55047">
      <w:r w:rsidRPr="00992414">
        <w:rPr>
          <w:rStyle w:val="HideTWBExt"/>
          <w:noProof w:val="0"/>
        </w:rPr>
        <w:t>&lt;/AmendB&gt;</w:t>
      </w:r>
    </w:p>
    <w:p w14:paraId="76E5481B" w14:textId="1A822764" w:rsidR="00F55047" w:rsidRPr="00992414" w:rsidRDefault="00F55047" w:rsidP="00F55047">
      <w:pPr>
        <w:pStyle w:val="AMNumberTabs"/>
        <w:keepNext/>
      </w:pPr>
      <w:r w:rsidRPr="00992414">
        <w:rPr>
          <w:rStyle w:val="HideTWBExt"/>
          <w:b w:val="0"/>
          <w:noProof w:val="0"/>
        </w:rPr>
        <w:t>&lt;AmendB&gt;</w:t>
      </w:r>
      <w:r w:rsidRPr="00992414">
        <w:t>Pozmeňujúci návrh</w:t>
      </w:r>
      <w:r w:rsidRPr="00992414">
        <w:tab/>
      </w:r>
      <w:r w:rsidRPr="00992414">
        <w:tab/>
      </w:r>
      <w:r w:rsidRPr="00992414">
        <w:rPr>
          <w:rStyle w:val="HideTWBExt"/>
          <w:b w:val="0"/>
          <w:noProof w:val="0"/>
        </w:rPr>
        <w:t>&lt;NumAmB&gt;</w:t>
      </w:r>
      <w:r w:rsidRPr="00992414">
        <w:t>4</w:t>
      </w:r>
      <w:r w:rsidRPr="00992414">
        <w:rPr>
          <w:rStyle w:val="HideTWBExt"/>
          <w:b w:val="0"/>
          <w:noProof w:val="0"/>
        </w:rPr>
        <w:t>&lt;/NumAmB&gt;</w:t>
      </w:r>
    </w:p>
    <w:p w14:paraId="550C29F8" w14:textId="77777777" w:rsidR="00F55047" w:rsidRPr="00992414" w:rsidRDefault="00F55047" w:rsidP="00F55047">
      <w:pPr>
        <w:pStyle w:val="NormalBold12b"/>
      </w:pPr>
      <w:r w:rsidRPr="00992414">
        <w:rPr>
          <w:rStyle w:val="HideTWBExt"/>
          <w:b w:val="0"/>
          <w:noProof w:val="0"/>
        </w:rPr>
        <w:t>&lt;DocAmend&gt;</w:t>
      </w:r>
      <w:r w:rsidRPr="00992414">
        <w:t>Návrh nariadenia</w:t>
      </w:r>
      <w:r w:rsidRPr="00992414">
        <w:rPr>
          <w:rStyle w:val="HideTWBExt"/>
          <w:b w:val="0"/>
          <w:noProof w:val="0"/>
        </w:rPr>
        <w:t>&lt;/DocAmend&gt;</w:t>
      </w:r>
    </w:p>
    <w:p w14:paraId="4EB2FA2A" w14:textId="77777777" w:rsidR="00F55047" w:rsidRPr="00992414" w:rsidRDefault="00F55047" w:rsidP="00F55047">
      <w:pPr>
        <w:pStyle w:val="NormalBold"/>
      </w:pPr>
      <w:r w:rsidRPr="00992414">
        <w:rPr>
          <w:rStyle w:val="HideTWBExt"/>
          <w:b w:val="0"/>
          <w:noProof w:val="0"/>
        </w:rPr>
        <w:t>&lt;Article&gt;</w:t>
      </w:r>
      <w:r w:rsidRPr="00992414">
        <w:t>Odôvodnenie 6</w:t>
      </w:r>
      <w:r w:rsidRPr="0099241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55047" w:rsidRPr="00992414" w14:paraId="3EDA0661" w14:textId="77777777" w:rsidTr="001A7F08">
        <w:trPr>
          <w:jc w:val="center"/>
        </w:trPr>
        <w:tc>
          <w:tcPr>
            <w:tcW w:w="9752" w:type="dxa"/>
            <w:gridSpan w:val="2"/>
          </w:tcPr>
          <w:p w14:paraId="43340CC0" w14:textId="77777777" w:rsidR="00F55047" w:rsidRPr="00992414" w:rsidRDefault="00F55047" w:rsidP="001A7F08">
            <w:pPr>
              <w:keepNext/>
            </w:pPr>
          </w:p>
        </w:tc>
      </w:tr>
      <w:tr w:rsidR="00F55047" w:rsidRPr="00992414" w14:paraId="295F3AC0" w14:textId="77777777" w:rsidTr="001A7F08">
        <w:trPr>
          <w:jc w:val="center"/>
        </w:trPr>
        <w:tc>
          <w:tcPr>
            <w:tcW w:w="4876" w:type="dxa"/>
          </w:tcPr>
          <w:p w14:paraId="4D338EE7" w14:textId="77777777" w:rsidR="00F55047" w:rsidRPr="00992414" w:rsidRDefault="00F55047" w:rsidP="001A7F08">
            <w:pPr>
              <w:pStyle w:val="ColumnHeading"/>
              <w:keepNext/>
            </w:pPr>
            <w:r w:rsidRPr="00992414">
              <w:t>Text predložený Komisiou</w:t>
            </w:r>
          </w:p>
        </w:tc>
        <w:tc>
          <w:tcPr>
            <w:tcW w:w="4876" w:type="dxa"/>
          </w:tcPr>
          <w:p w14:paraId="4DFE21B0" w14:textId="77777777" w:rsidR="00F55047" w:rsidRPr="00992414" w:rsidRDefault="00F55047" w:rsidP="001A7F08">
            <w:pPr>
              <w:pStyle w:val="ColumnHeading"/>
              <w:keepNext/>
            </w:pPr>
            <w:r w:rsidRPr="00992414">
              <w:t>Pozmeňujúci návrh</w:t>
            </w:r>
          </w:p>
        </w:tc>
      </w:tr>
      <w:tr w:rsidR="00F55047" w:rsidRPr="00992414" w14:paraId="30A6603C" w14:textId="77777777" w:rsidTr="001A7F08">
        <w:trPr>
          <w:jc w:val="center"/>
        </w:trPr>
        <w:tc>
          <w:tcPr>
            <w:tcW w:w="4876" w:type="dxa"/>
          </w:tcPr>
          <w:p w14:paraId="455D9B1C" w14:textId="77777777" w:rsidR="00F55047" w:rsidRPr="00992414" w:rsidRDefault="00F55047" w:rsidP="001A7F08">
            <w:pPr>
              <w:pStyle w:val="Normal6"/>
            </w:pPr>
            <w:r w:rsidRPr="00992414">
              <w:t>(6)</w:t>
            </w:r>
            <w:r w:rsidRPr="00992414">
              <w:tab/>
              <w:t>V smernici (EÚ) 2015/849 sa určuje a opisuje niekoľko trestných činností, z ktorých príjmy sa môžu stať predmetom prania špinavých peňazí alebo sa môžu použiť na financovanie terorizmu. Príjmy z týchto trestných činností sa často prepravujú cez vonkajšie hranice Únie, aby sa stali predmetom prania alebo aby sa použili na financovanie terorizmu. Toto nariadenie by malo tieto skutočnosti zohľadniť a</w:t>
            </w:r>
            <w:r w:rsidRPr="00992414">
              <w:rPr>
                <w:b/>
                <w:i/>
              </w:rPr>
              <w:t xml:space="preserve"> </w:t>
            </w:r>
            <w:r w:rsidRPr="00992414">
              <w:t xml:space="preserve">stanoviť systém pravidiel, </w:t>
            </w:r>
            <w:r w:rsidRPr="00992414">
              <w:rPr>
                <w:b/>
                <w:i/>
              </w:rPr>
              <w:t>ktorý</w:t>
            </w:r>
            <w:r w:rsidRPr="00992414">
              <w:t xml:space="preserve"> by nielen prispeli k</w:t>
            </w:r>
            <w:r w:rsidRPr="00992414">
              <w:rPr>
                <w:b/>
                <w:i/>
              </w:rPr>
              <w:t xml:space="preserve"> </w:t>
            </w:r>
            <w:r w:rsidRPr="00992414">
              <w:t>predchádzaniu prania špinavých peňazí</w:t>
            </w:r>
            <w:r w:rsidRPr="00992414">
              <w:rPr>
                <w:b/>
                <w:i/>
              </w:rPr>
              <w:t xml:space="preserve"> a </w:t>
            </w:r>
            <w:r w:rsidRPr="00992414">
              <w:t xml:space="preserve">financovania terorizmu ako takého, </w:t>
            </w:r>
            <w:r w:rsidRPr="00992414">
              <w:rPr>
                <w:b/>
                <w:i/>
              </w:rPr>
              <w:t>takisto</w:t>
            </w:r>
            <w:r w:rsidRPr="00992414">
              <w:t xml:space="preserve"> by </w:t>
            </w:r>
            <w:r w:rsidRPr="00992414">
              <w:rPr>
                <w:b/>
                <w:i/>
              </w:rPr>
              <w:t xml:space="preserve">však </w:t>
            </w:r>
            <w:r w:rsidRPr="00992414">
              <w:t>uľahčili odhaľovanie a</w:t>
            </w:r>
            <w:r w:rsidRPr="00992414">
              <w:rPr>
                <w:b/>
                <w:i/>
              </w:rPr>
              <w:t xml:space="preserve"> </w:t>
            </w:r>
            <w:r w:rsidRPr="00992414">
              <w:t>vyšetrovanie trestných činností určených v</w:t>
            </w:r>
            <w:r w:rsidRPr="00992414">
              <w:rPr>
                <w:b/>
                <w:i/>
              </w:rPr>
              <w:t xml:space="preserve"> </w:t>
            </w:r>
            <w:r w:rsidRPr="00992414">
              <w:t>smernici (EÚ) 2015/849.</w:t>
            </w:r>
          </w:p>
        </w:tc>
        <w:tc>
          <w:tcPr>
            <w:tcW w:w="4876" w:type="dxa"/>
          </w:tcPr>
          <w:p w14:paraId="33146654" w14:textId="0E2DEF43" w:rsidR="00F55047" w:rsidRPr="00992414" w:rsidRDefault="00F55047" w:rsidP="00623275">
            <w:pPr>
              <w:pStyle w:val="Normal6"/>
              <w:rPr>
                <w:szCs w:val="24"/>
              </w:rPr>
            </w:pPr>
            <w:r w:rsidRPr="00992414">
              <w:t>(6)</w:t>
            </w:r>
            <w:r w:rsidRPr="00992414">
              <w:tab/>
              <w:t>V smernici (EÚ) 2015/849 sa určuje a opisuje niekoľko trestných činností, z ktorých príjmy sa môžu stať predmetom prania špinavých peňazí alebo sa môžu použiť na financovanie terorizmu. Príjmy z týchto trestných činností sa často prepravujú cez vonkajšie hranice Únie, aby sa stali predmetom prania alebo aby sa použili na financovanie terorizmu. Toto nariadenie by malo tieto skutočnosti zohľadniť a</w:t>
            </w:r>
            <w:r w:rsidRPr="00992414">
              <w:rPr>
                <w:b/>
                <w:i/>
              </w:rPr>
              <w:t> </w:t>
            </w:r>
            <w:r w:rsidRPr="00992414">
              <w:t xml:space="preserve">stanoviť systém pravidiel, </w:t>
            </w:r>
            <w:r w:rsidRPr="00992414">
              <w:rPr>
                <w:b/>
                <w:i/>
              </w:rPr>
              <w:t>ktoré</w:t>
            </w:r>
            <w:r w:rsidRPr="00992414">
              <w:t xml:space="preserve"> by nielen prispeli k</w:t>
            </w:r>
            <w:r w:rsidRPr="00992414">
              <w:rPr>
                <w:b/>
                <w:i/>
              </w:rPr>
              <w:t> </w:t>
            </w:r>
            <w:r w:rsidRPr="00992414">
              <w:t>predchádzaniu prania špinavých peňazí</w:t>
            </w:r>
            <w:r w:rsidRPr="00992414">
              <w:rPr>
                <w:b/>
                <w:i/>
              </w:rPr>
              <w:t>, ako aj predchádzaniu predikatívnych trestných činov, akými sú daňové trestné činy, a </w:t>
            </w:r>
            <w:r w:rsidRPr="00992414">
              <w:t xml:space="preserve">financovania terorizmu ako takého, </w:t>
            </w:r>
            <w:r w:rsidRPr="00992414">
              <w:rPr>
                <w:b/>
                <w:i/>
              </w:rPr>
              <w:t>ale</w:t>
            </w:r>
            <w:r w:rsidRPr="00992414">
              <w:t xml:space="preserve"> by uľahčili</w:t>
            </w:r>
            <w:r w:rsidRPr="00992414">
              <w:rPr>
                <w:b/>
                <w:i/>
              </w:rPr>
              <w:t xml:space="preserve"> aj</w:t>
            </w:r>
            <w:r w:rsidRPr="00992414">
              <w:t xml:space="preserve"> odhaľovanie a</w:t>
            </w:r>
            <w:r w:rsidRPr="00992414">
              <w:rPr>
                <w:b/>
                <w:i/>
              </w:rPr>
              <w:t> </w:t>
            </w:r>
            <w:r w:rsidRPr="00992414">
              <w:t>vyšetrovanie trestných činností určených v</w:t>
            </w:r>
            <w:r w:rsidRPr="00992414">
              <w:rPr>
                <w:b/>
                <w:i/>
              </w:rPr>
              <w:t> </w:t>
            </w:r>
            <w:r w:rsidRPr="00992414">
              <w:t>smernici (EÚ) 2015/849</w:t>
            </w:r>
            <w:r w:rsidRPr="00992414">
              <w:rPr>
                <w:b/>
                <w:i/>
              </w:rPr>
              <w:t xml:space="preserve"> a trestných činností, ktoré majú vplyv na bezpečnosť Únie a jej členských štátov</w:t>
            </w:r>
            <w:r w:rsidRPr="00992414">
              <w:t>.</w:t>
            </w:r>
          </w:p>
        </w:tc>
      </w:tr>
    </w:tbl>
    <w:p w14:paraId="783AA351" w14:textId="77777777" w:rsidR="00370D8D" w:rsidRPr="00992414" w:rsidRDefault="00F55047" w:rsidP="00370D8D">
      <w:r w:rsidRPr="00992414">
        <w:rPr>
          <w:rStyle w:val="HideTWBExt"/>
          <w:noProof w:val="0"/>
        </w:rPr>
        <w:t>&lt;/AmendB&gt;</w:t>
      </w:r>
    </w:p>
    <w:p w14:paraId="3C07AAD0" w14:textId="31285AC5" w:rsidR="00370D8D" w:rsidRPr="00992414" w:rsidRDefault="00370D8D" w:rsidP="00370D8D">
      <w:pPr>
        <w:pStyle w:val="AMNumberTabs"/>
        <w:keepNext/>
      </w:pPr>
      <w:r w:rsidRPr="00992414">
        <w:rPr>
          <w:rStyle w:val="HideTWBExt"/>
          <w:b w:val="0"/>
          <w:noProof w:val="0"/>
        </w:rPr>
        <w:t>&lt;AmendB&gt;</w:t>
      </w:r>
      <w:r w:rsidRPr="00992414">
        <w:t>Pozmeňujúci návrh</w:t>
      </w:r>
      <w:r w:rsidRPr="00992414">
        <w:tab/>
      </w:r>
      <w:r w:rsidRPr="00992414">
        <w:tab/>
      </w:r>
      <w:r w:rsidRPr="00992414">
        <w:rPr>
          <w:rStyle w:val="HideTWBExt"/>
          <w:b w:val="0"/>
          <w:noProof w:val="0"/>
        </w:rPr>
        <w:t>&lt;NumAmB&gt;</w:t>
      </w:r>
      <w:r w:rsidRPr="00992414">
        <w:t>5</w:t>
      </w:r>
      <w:r w:rsidRPr="00992414">
        <w:rPr>
          <w:rStyle w:val="HideTWBExt"/>
          <w:b w:val="0"/>
          <w:noProof w:val="0"/>
        </w:rPr>
        <w:t>&lt;/NumAmB&gt;</w:t>
      </w:r>
    </w:p>
    <w:p w14:paraId="0D30B32D" w14:textId="77777777" w:rsidR="00370D8D" w:rsidRPr="00992414" w:rsidRDefault="00370D8D" w:rsidP="00370D8D">
      <w:pPr>
        <w:pStyle w:val="NormalBold12b"/>
      </w:pPr>
      <w:r w:rsidRPr="00992414">
        <w:rPr>
          <w:rStyle w:val="HideTWBExt"/>
          <w:b w:val="0"/>
          <w:noProof w:val="0"/>
        </w:rPr>
        <w:t>&lt;DocAmend&gt;</w:t>
      </w:r>
      <w:r w:rsidRPr="00992414">
        <w:t>Návrh nariadenia</w:t>
      </w:r>
      <w:r w:rsidRPr="00992414">
        <w:rPr>
          <w:rStyle w:val="HideTWBExt"/>
          <w:b w:val="0"/>
          <w:noProof w:val="0"/>
        </w:rPr>
        <w:t>&lt;/DocAmend&gt;</w:t>
      </w:r>
    </w:p>
    <w:p w14:paraId="20566F03" w14:textId="77777777" w:rsidR="00370D8D" w:rsidRPr="00992414" w:rsidRDefault="00370D8D" w:rsidP="00370D8D">
      <w:pPr>
        <w:pStyle w:val="NormalBold"/>
      </w:pPr>
      <w:r w:rsidRPr="00992414">
        <w:rPr>
          <w:rStyle w:val="HideTWBExt"/>
          <w:b w:val="0"/>
          <w:noProof w:val="0"/>
        </w:rPr>
        <w:t>&lt;Article&gt;</w:t>
      </w:r>
      <w:r w:rsidRPr="00992414">
        <w:t>Odôvodnenie 8 a (nové)</w:t>
      </w:r>
      <w:r w:rsidRPr="0099241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70D8D" w:rsidRPr="00992414" w14:paraId="675201DD" w14:textId="77777777" w:rsidTr="001A7F08">
        <w:trPr>
          <w:jc w:val="center"/>
        </w:trPr>
        <w:tc>
          <w:tcPr>
            <w:tcW w:w="9752" w:type="dxa"/>
            <w:gridSpan w:val="2"/>
          </w:tcPr>
          <w:p w14:paraId="2EED7944" w14:textId="77777777" w:rsidR="00370D8D" w:rsidRPr="00992414" w:rsidRDefault="00370D8D" w:rsidP="001A7F08">
            <w:pPr>
              <w:keepNext/>
            </w:pPr>
          </w:p>
        </w:tc>
      </w:tr>
      <w:tr w:rsidR="00370D8D" w:rsidRPr="00992414" w14:paraId="743A8799" w14:textId="77777777" w:rsidTr="001A7F08">
        <w:trPr>
          <w:jc w:val="center"/>
        </w:trPr>
        <w:tc>
          <w:tcPr>
            <w:tcW w:w="4876" w:type="dxa"/>
          </w:tcPr>
          <w:p w14:paraId="501E6528" w14:textId="77777777" w:rsidR="00370D8D" w:rsidRPr="00992414" w:rsidRDefault="00370D8D" w:rsidP="001A7F08">
            <w:pPr>
              <w:pStyle w:val="ColumnHeading"/>
              <w:keepNext/>
            </w:pPr>
            <w:r w:rsidRPr="00992414">
              <w:t>Text predložený Komisiou</w:t>
            </w:r>
          </w:p>
        </w:tc>
        <w:tc>
          <w:tcPr>
            <w:tcW w:w="4876" w:type="dxa"/>
          </w:tcPr>
          <w:p w14:paraId="391BA29F" w14:textId="77777777" w:rsidR="00370D8D" w:rsidRPr="00992414" w:rsidRDefault="00370D8D" w:rsidP="001A7F08">
            <w:pPr>
              <w:pStyle w:val="ColumnHeading"/>
              <w:keepNext/>
            </w:pPr>
            <w:r w:rsidRPr="00992414">
              <w:t>Pozmeňujúci návrh</w:t>
            </w:r>
          </w:p>
        </w:tc>
      </w:tr>
      <w:tr w:rsidR="00370D8D" w:rsidRPr="00992414" w14:paraId="5135F159" w14:textId="77777777" w:rsidTr="001A7F08">
        <w:trPr>
          <w:jc w:val="center"/>
        </w:trPr>
        <w:tc>
          <w:tcPr>
            <w:tcW w:w="4876" w:type="dxa"/>
          </w:tcPr>
          <w:p w14:paraId="0470F09F" w14:textId="77777777" w:rsidR="00370D8D" w:rsidRPr="00992414" w:rsidRDefault="00370D8D" w:rsidP="001A7F08">
            <w:pPr>
              <w:pStyle w:val="Normal6"/>
            </w:pPr>
          </w:p>
        </w:tc>
        <w:tc>
          <w:tcPr>
            <w:tcW w:w="4876" w:type="dxa"/>
          </w:tcPr>
          <w:p w14:paraId="7BCBB6EF" w14:textId="742EF8FA" w:rsidR="00370D8D" w:rsidRPr="00992414" w:rsidRDefault="00370D8D" w:rsidP="002C1A14">
            <w:pPr>
              <w:pStyle w:val="Normal6"/>
              <w:rPr>
                <w:szCs w:val="24"/>
              </w:rPr>
            </w:pPr>
            <w:r w:rsidRPr="00992414">
              <w:rPr>
                <w:b/>
                <w:i/>
              </w:rPr>
              <w:t>(8a)</w:t>
            </w:r>
            <w:r w:rsidRPr="00992414">
              <w:rPr>
                <w:b/>
                <w:i/>
              </w:rPr>
              <w:tab/>
              <w:t>Dôsledkom tohto nariadenia nie je zmena povinnosti dodržiavať základné práva a základné právne zásady zakotvené v článku 6 Zmluvy o fungovaní Európskej únie a v Charte základných práv Európskej únie (ďalej len „Charta“).</w:t>
            </w:r>
          </w:p>
        </w:tc>
      </w:tr>
    </w:tbl>
    <w:p w14:paraId="1D78CD5C" w14:textId="77777777" w:rsidR="00370D8D" w:rsidRPr="00992414" w:rsidRDefault="00370D8D" w:rsidP="00370D8D">
      <w:r w:rsidRPr="00992414">
        <w:rPr>
          <w:rStyle w:val="HideTWBExt"/>
          <w:noProof w:val="0"/>
        </w:rPr>
        <w:t>&lt;/AmendB&gt;</w:t>
      </w:r>
    </w:p>
    <w:p w14:paraId="3F519A78" w14:textId="6590272C"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6</w:t>
      </w:r>
      <w:r w:rsidRPr="00992414">
        <w:rPr>
          <w:rStyle w:val="HideTWBExt"/>
          <w:b w:val="0"/>
          <w:noProof w:val="0"/>
        </w:rPr>
        <w:t>&lt;/NumAm&gt;</w:t>
      </w:r>
    </w:p>
    <w:p w14:paraId="389FD61F"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66E625A5" w14:textId="77777777" w:rsidR="00376950" w:rsidRPr="00992414" w:rsidRDefault="00376950" w:rsidP="00376950">
      <w:pPr>
        <w:pStyle w:val="NormalBold"/>
      </w:pPr>
      <w:r w:rsidRPr="00992414">
        <w:rPr>
          <w:rStyle w:val="HideTWBExt"/>
          <w:b w:val="0"/>
          <w:noProof w:val="0"/>
        </w:rPr>
        <w:t>&lt;Article&gt;</w:t>
      </w:r>
      <w:r w:rsidRPr="00992414">
        <w:t>Odôvodnenie 9 a (nové)</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60054082" w14:textId="77777777" w:rsidTr="00376950">
        <w:trPr>
          <w:jc w:val="center"/>
        </w:trPr>
        <w:tc>
          <w:tcPr>
            <w:tcW w:w="9752" w:type="dxa"/>
            <w:gridSpan w:val="2"/>
          </w:tcPr>
          <w:p w14:paraId="263F2899" w14:textId="77777777" w:rsidR="00376950" w:rsidRPr="00992414" w:rsidRDefault="00376950">
            <w:pPr>
              <w:keepNext/>
            </w:pPr>
          </w:p>
        </w:tc>
      </w:tr>
      <w:tr w:rsidR="00376950" w:rsidRPr="00992414" w14:paraId="5205D05C" w14:textId="77777777" w:rsidTr="00376950">
        <w:trPr>
          <w:jc w:val="center"/>
        </w:trPr>
        <w:tc>
          <w:tcPr>
            <w:tcW w:w="4876" w:type="dxa"/>
            <w:hideMark/>
          </w:tcPr>
          <w:p w14:paraId="4488ADA4" w14:textId="77777777" w:rsidR="00376950" w:rsidRPr="00992414" w:rsidRDefault="00376950">
            <w:pPr>
              <w:pStyle w:val="ColumnHeading"/>
              <w:keepNext/>
            </w:pPr>
            <w:r w:rsidRPr="00992414">
              <w:t>Text predložený Komisiou</w:t>
            </w:r>
          </w:p>
        </w:tc>
        <w:tc>
          <w:tcPr>
            <w:tcW w:w="4876" w:type="dxa"/>
            <w:hideMark/>
          </w:tcPr>
          <w:p w14:paraId="4A7A546E" w14:textId="77777777" w:rsidR="00376950" w:rsidRPr="00992414" w:rsidRDefault="00376950">
            <w:pPr>
              <w:pStyle w:val="ColumnHeading"/>
              <w:keepNext/>
            </w:pPr>
            <w:r w:rsidRPr="00992414">
              <w:t>Pozmeňujúci návrh</w:t>
            </w:r>
          </w:p>
        </w:tc>
      </w:tr>
      <w:tr w:rsidR="00376950" w:rsidRPr="00992414" w14:paraId="02DA2B0F" w14:textId="77777777" w:rsidTr="00376950">
        <w:trPr>
          <w:jc w:val="center"/>
        </w:trPr>
        <w:tc>
          <w:tcPr>
            <w:tcW w:w="4876" w:type="dxa"/>
          </w:tcPr>
          <w:p w14:paraId="44172F71" w14:textId="77777777" w:rsidR="00376950" w:rsidRPr="00992414" w:rsidRDefault="00376950">
            <w:pPr>
              <w:pStyle w:val="Normal6"/>
            </w:pPr>
          </w:p>
        </w:tc>
        <w:tc>
          <w:tcPr>
            <w:tcW w:w="4876" w:type="dxa"/>
            <w:hideMark/>
          </w:tcPr>
          <w:p w14:paraId="4883C99B" w14:textId="663BB087" w:rsidR="00376950" w:rsidRPr="00992414" w:rsidRDefault="00376950" w:rsidP="002C1A14">
            <w:pPr>
              <w:pStyle w:val="Normal6"/>
              <w:rPr>
                <w:szCs w:val="24"/>
              </w:rPr>
            </w:pPr>
            <w:r w:rsidRPr="00992414">
              <w:rPr>
                <w:b/>
                <w:i/>
              </w:rPr>
              <w:t>(9a)</w:t>
            </w:r>
            <w:r w:rsidRPr="00992414">
              <w:rPr>
                <w:b/>
                <w:i/>
              </w:rPr>
              <w:tab/>
              <w:t>Zosúladený súbor pravidiel Únie umožňujúci kontroly pohybu peňažných prostriedkov v hotovosti v rámci Únie by výrazne zjednodušil úsilie zamerané na predchádzanie praniu špinavých peňazí a financovaniu terorizmu.</w:t>
            </w:r>
          </w:p>
        </w:tc>
      </w:tr>
    </w:tbl>
    <w:p w14:paraId="0CBA3596" w14:textId="77777777" w:rsidR="00376950" w:rsidRPr="00992414" w:rsidRDefault="00376950" w:rsidP="00376950">
      <w:r w:rsidRPr="00992414">
        <w:rPr>
          <w:rStyle w:val="HideTWBExt"/>
          <w:noProof w:val="0"/>
        </w:rPr>
        <w:t>&lt;/Amend&gt;</w:t>
      </w:r>
    </w:p>
    <w:p w14:paraId="608F703C" w14:textId="59EC3115" w:rsidR="00370D8D" w:rsidRPr="00992414" w:rsidRDefault="00FF635F" w:rsidP="0073214C">
      <w:r w:rsidRPr="00992414">
        <w:t xml:space="preserve"> </w:t>
      </w:r>
      <w:r w:rsidRPr="00992414">
        <w:rPr>
          <w:rStyle w:val="HideTWBExt"/>
          <w:noProof w:val="0"/>
        </w:rPr>
        <w:t>&lt;AmendB&gt;</w:t>
      </w:r>
      <w:r w:rsidRPr="00992414">
        <w:t>Pozmeňujúci návrh</w:t>
      </w:r>
      <w:r w:rsidRPr="00992414">
        <w:rPr>
          <w:rStyle w:val="HideTWBExt"/>
          <w:noProof w:val="0"/>
        </w:rPr>
        <w:t>&lt;NumAmB&gt;</w:t>
      </w:r>
      <w:r w:rsidRPr="00992414">
        <w:rPr>
          <w:b/>
          <w:color w:val="000000"/>
        </w:rPr>
        <w:t>7</w:t>
      </w:r>
      <w:r w:rsidRPr="00992414">
        <w:rPr>
          <w:rStyle w:val="HideTWBExt"/>
          <w:noProof w:val="0"/>
        </w:rPr>
        <w:t>&lt;/NumAmB&gt;</w:t>
      </w:r>
    </w:p>
    <w:p w14:paraId="79D1A1A2" w14:textId="77777777" w:rsidR="00370D8D" w:rsidRPr="00992414" w:rsidRDefault="00370D8D" w:rsidP="00370D8D">
      <w:pPr>
        <w:pStyle w:val="NormalBold12b"/>
      </w:pPr>
      <w:r w:rsidRPr="00992414">
        <w:rPr>
          <w:rStyle w:val="HideTWBExt"/>
          <w:b w:val="0"/>
          <w:noProof w:val="0"/>
        </w:rPr>
        <w:t>&lt;DocAmend&gt;</w:t>
      </w:r>
      <w:r w:rsidRPr="00992414">
        <w:t>Návrh nariadenia</w:t>
      </w:r>
      <w:r w:rsidRPr="00992414">
        <w:rPr>
          <w:rStyle w:val="HideTWBExt"/>
          <w:b w:val="0"/>
          <w:noProof w:val="0"/>
        </w:rPr>
        <w:t>&lt;/DocAmend&gt;</w:t>
      </w:r>
    </w:p>
    <w:p w14:paraId="7A32BD02" w14:textId="77777777" w:rsidR="00370D8D" w:rsidRPr="00992414" w:rsidRDefault="00370D8D" w:rsidP="00370D8D">
      <w:pPr>
        <w:pStyle w:val="NormalBold"/>
      </w:pPr>
      <w:r w:rsidRPr="00992414">
        <w:rPr>
          <w:rStyle w:val="HideTWBExt"/>
          <w:b w:val="0"/>
          <w:noProof w:val="0"/>
        </w:rPr>
        <w:t>&lt;Article&gt;</w:t>
      </w:r>
      <w:r w:rsidRPr="00992414">
        <w:t>Odôvodnenie 11</w:t>
      </w:r>
      <w:r w:rsidRPr="0099241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70D8D" w:rsidRPr="00992414" w14:paraId="5108D017" w14:textId="77777777" w:rsidTr="001A7F08">
        <w:trPr>
          <w:jc w:val="center"/>
        </w:trPr>
        <w:tc>
          <w:tcPr>
            <w:tcW w:w="9752" w:type="dxa"/>
            <w:gridSpan w:val="2"/>
          </w:tcPr>
          <w:p w14:paraId="0789EAFE" w14:textId="77777777" w:rsidR="00370D8D" w:rsidRPr="00992414" w:rsidRDefault="00370D8D" w:rsidP="001A7F08">
            <w:pPr>
              <w:keepNext/>
            </w:pPr>
          </w:p>
        </w:tc>
      </w:tr>
      <w:tr w:rsidR="00370D8D" w:rsidRPr="00992414" w14:paraId="0A3A5456" w14:textId="77777777" w:rsidTr="001A7F08">
        <w:trPr>
          <w:jc w:val="center"/>
        </w:trPr>
        <w:tc>
          <w:tcPr>
            <w:tcW w:w="4876" w:type="dxa"/>
          </w:tcPr>
          <w:p w14:paraId="5A23D693" w14:textId="77777777" w:rsidR="00370D8D" w:rsidRPr="00992414" w:rsidRDefault="00370D8D" w:rsidP="001A7F08">
            <w:pPr>
              <w:pStyle w:val="ColumnHeading"/>
              <w:keepNext/>
            </w:pPr>
            <w:r w:rsidRPr="00992414">
              <w:t>Text predložený Komisiou</w:t>
            </w:r>
          </w:p>
        </w:tc>
        <w:tc>
          <w:tcPr>
            <w:tcW w:w="4876" w:type="dxa"/>
          </w:tcPr>
          <w:p w14:paraId="2BEBA589" w14:textId="77777777" w:rsidR="00370D8D" w:rsidRPr="00992414" w:rsidRDefault="00370D8D" w:rsidP="001A7F08">
            <w:pPr>
              <w:pStyle w:val="ColumnHeading"/>
              <w:keepNext/>
            </w:pPr>
            <w:r w:rsidRPr="00992414">
              <w:t>Pozmeňujúci návrh</w:t>
            </w:r>
          </w:p>
        </w:tc>
      </w:tr>
      <w:tr w:rsidR="00370D8D" w:rsidRPr="00992414" w14:paraId="4C49ED4F" w14:textId="77777777" w:rsidTr="001A7F08">
        <w:trPr>
          <w:jc w:val="center"/>
        </w:trPr>
        <w:tc>
          <w:tcPr>
            <w:tcW w:w="4876" w:type="dxa"/>
          </w:tcPr>
          <w:p w14:paraId="7AC2195E" w14:textId="77777777" w:rsidR="00370D8D" w:rsidRPr="00992414" w:rsidRDefault="00370D8D" w:rsidP="001A7F08">
            <w:pPr>
              <w:pStyle w:val="Normal6"/>
            </w:pPr>
            <w:r w:rsidRPr="00992414">
              <w:t>(11)</w:t>
            </w:r>
            <w:r w:rsidRPr="00992414">
              <w:tab/>
              <w:t>Colné orgány by mali aj naďalej pôsobiť ako príslušné orgány na účely tohto nariadenia, vzhľadom na ich prítomnosť na vonkajších hraniciach Únie, ich odborné znalosti pri vykonávaní kontrol cestujúcich a nákladu prekračujúcich vonkajšie hranice a na skúsenosti získané pri uplatňovaní nariadenia (ES) č. 1889/2005. Členské štáty by zároveň mali aj naďalej mať možnosť vymenovať iné vnútroštátne orgány prítomné na vonkajších hraniciach, aby pôsobili ako príslušné orgány.</w:t>
            </w:r>
          </w:p>
        </w:tc>
        <w:tc>
          <w:tcPr>
            <w:tcW w:w="4876" w:type="dxa"/>
          </w:tcPr>
          <w:p w14:paraId="035418D9" w14:textId="639984CF" w:rsidR="00370D8D" w:rsidRPr="00992414" w:rsidRDefault="00370D8D" w:rsidP="002C1A14">
            <w:pPr>
              <w:pStyle w:val="Normal6"/>
              <w:rPr>
                <w:szCs w:val="24"/>
              </w:rPr>
            </w:pPr>
            <w:r w:rsidRPr="00992414">
              <w:t>(11)</w:t>
            </w:r>
            <w:r w:rsidRPr="00992414">
              <w:tab/>
              <w:t xml:space="preserve">Colné orgány by mali aj naďalej pôsobiť ako príslušné orgány na účely tohto nariadenia, vzhľadom na ich prítomnosť na vonkajších hraniciach Únie, ich odborné znalosti pri vykonávaní kontrol cestujúcich a nákladu prekračujúcich vonkajšie hranice a na skúsenosti získané pri uplatňovaní nariadenia (ES) č. 1889/2005. Členské štáty by zároveň mali aj naďalej mať možnosť vymenovať iné vnútroštátne orgány prítomné na vonkajších hraniciach, aby pôsobili ako príslušné orgány. </w:t>
            </w:r>
            <w:r w:rsidRPr="00992414">
              <w:rPr>
                <w:b/>
                <w:i/>
              </w:rPr>
              <w:t>Zamestnanci colných orgánov a iných vnútroštátnych orgánov by mali byť osobitne vyškolení, ako zisťovať pranie špinavých peňazí založené na využívaní peňažných prostriedkov v hotovosti, a členské štáty by mali vyčleniť zdroje podľa analýzy rizík a nemali by zanedbávať potrebné kontroly súkromných lietadiel a jácht vstupujúcich na ich územie a opúšťajúcich ich územie.</w:t>
            </w:r>
          </w:p>
        </w:tc>
      </w:tr>
    </w:tbl>
    <w:p w14:paraId="4B21DD8C" w14:textId="77777777" w:rsidR="00370D8D" w:rsidRPr="00992414" w:rsidRDefault="00370D8D" w:rsidP="00370D8D">
      <w:r w:rsidRPr="00992414">
        <w:rPr>
          <w:rStyle w:val="HideTWBExt"/>
          <w:noProof w:val="0"/>
        </w:rPr>
        <w:t>&lt;/AmendB&gt;</w:t>
      </w:r>
    </w:p>
    <w:p w14:paraId="15BC26C2" w14:textId="0722A99F"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8</w:t>
      </w:r>
      <w:r w:rsidRPr="00992414">
        <w:rPr>
          <w:rStyle w:val="HideTWBExt"/>
          <w:b w:val="0"/>
          <w:noProof w:val="0"/>
        </w:rPr>
        <w:t>&lt;/NumAm&gt;</w:t>
      </w:r>
    </w:p>
    <w:p w14:paraId="6E278C02"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7E331704" w14:textId="77777777" w:rsidR="00376950" w:rsidRPr="00992414" w:rsidRDefault="00376950" w:rsidP="00376950">
      <w:pPr>
        <w:pStyle w:val="NormalBold"/>
      </w:pPr>
      <w:r w:rsidRPr="00992414">
        <w:rPr>
          <w:rStyle w:val="HideTWBExt"/>
          <w:b w:val="0"/>
          <w:noProof w:val="0"/>
        </w:rPr>
        <w:t>&lt;Article&gt;</w:t>
      </w:r>
      <w:r w:rsidRPr="00992414">
        <w:t>Odôvodnenie 12</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6D0C89F2" w14:textId="77777777" w:rsidTr="00376950">
        <w:trPr>
          <w:jc w:val="center"/>
        </w:trPr>
        <w:tc>
          <w:tcPr>
            <w:tcW w:w="9752" w:type="dxa"/>
            <w:gridSpan w:val="2"/>
          </w:tcPr>
          <w:p w14:paraId="0907030C" w14:textId="77777777" w:rsidR="00376950" w:rsidRPr="00992414" w:rsidRDefault="00376950">
            <w:pPr>
              <w:keepNext/>
            </w:pPr>
          </w:p>
        </w:tc>
      </w:tr>
      <w:tr w:rsidR="00376950" w:rsidRPr="00992414" w14:paraId="70653AA5" w14:textId="77777777" w:rsidTr="00376950">
        <w:trPr>
          <w:jc w:val="center"/>
        </w:trPr>
        <w:tc>
          <w:tcPr>
            <w:tcW w:w="4876" w:type="dxa"/>
            <w:hideMark/>
          </w:tcPr>
          <w:p w14:paraId="1514F7A9" w14:textId="77777777" w:rsidR="00376950" w:rsidRPr="00992414" w:rsidRDefault="00376950">
            <w:pPr>
              <w:pStyle w:val="ColumnHeading"/>
              <w:keepNext/>
            </w:pPr>
            <w:r w:rsidRPr="00992414">
              <w:t>Text predložený Komisiou</w:t>
            </w:r>
          </w:p>
        </w:tc>
        <w:tc>
          <w:tcPr>
            <w:tcW w:w="4876" w:type="dxa"/>
            <w:hideMark/>
          </w:tcPr>
          <w:p w14:paraId="606DD3DA" w14:textId="77777777" w:rsidR="00376950" w:rsidRPr="00992414" w:rsidRDefault="00376950">
            <w:pPr>
              <w:pStyle w:val="ColumnHeading"/>
              <w:keepNext/>
            </w:pPr>
            <w:r w:rsidRPr="00992414">
              <w:t>Pozmeňujúci návrh</w:t>
            </w:r>
          </w:p>
        </w:tc>
      </w:tr>
      <w:tr w:rsidR="00376950" w:rsidRPr="00992414" w14:paraId="4D1D1743" w14:textId="77777777" w:rsidTr="00376950">
        <w:trPr>
          <w:jc w:val="center"/>
        </w:trPr>
        <w:tc>
          <w:tcPr>
            <w:tcW w:w="4876" w:type="dxa"/>
            <w:hideMark/>
          </w:tcPr>
          <w:p w14:paraId="7687ADB8" w14:textId="77777777" w:rsidR="00376950" w:rsidRPr="00992414" w:rsidRDefault="00376950">
            <w:pPr>
              <w:pStyle w:val="Normal6"/>
            </w:pPr>
            <w:r w:rsidRPr="00992414">
              <w:t>(12)</w:t>
            </w:r>
            <w:r w:rsidRPr="00992414">
              <w:tab/>
              <w:t>Jedným z kľúčových pojmov tohto nariadenia je pojem „peňažné prostriedky v hotovosti“, ktorý by mal byť vymedzený tak, aby zahŕňal štyri kategórie: mena, obchodovateľné finančné nástroje na doručiteľa, komodity používané ako vysoko likvidné uchovávatele hodnoty a určité typy predplatených kariet. Vzhľadom na svoje vlastnosti budú určité obchodovateľné finančné nástroje na doručiteľa, komodity používané ako vysoko likvidné uchovávatele hodnoty, ako aj predplatené karty, ktoré nie sú prepojené s</w:t>
            </w:r>
            <w:r w:rsidRPr="00992414">
              <w:rPr>
                <w:b/>
                <w:i/>
              </w:rPr>
              <w:t xml:space="preserve"> </w:t>
            </w:r>
            <w:r w:rsidRPr="00992414">
              <w:t>bankovým účtom, pravdepodobne používané namiesto meny ako anonymné prostriedky na prevod hodnoty cez vonkajšie hranice, ktoré sa nedajú vypátrať s</w:t>
            </w:r>
            <w:r w:rsidRPr="00992414">
              <w:rPr>
                <w:b/>
                <w:i/>
              </w:rPr>
              <w:t xml:space="preserve"> </w:t>
            </w:r>
            <w:r w:rsidRPr="00992414">
              <w:t>použitím klasického systému dohľadu zo strany orgánov verejnej moci. V tomto nariadení by sa mali stanoviť základné prvky vymedzenia pojmu „peňažné prostriedky v hotovosti“ a zároveň by sa Komisii malo umožniť meniť vedľajšie zložky v reakcii na snahy páchateľov trestnej činnosti a ich spoločníkov obísť opatrenie, ktorým sa kontroluje iba jeden typ vysoko likvidných uchovávateľov hodnoty tak, že cez vonkajšie hranice prenesú iný typ. Ak sa zistí dôkaz o takejto činnosti značného rozsahu, je nevyhnutné rýchlo prijať opatrenia na nápravu situácie.</w:t>
            </w:r>
          </w:p>
        </w:tc>
        <w:tc>
          <w:tcPr>
            <w:tcW w:w="4876" w:type="dxa"/>
            <w:hideMark/>
          </w:tcPr>
          <w:p w14:paraId="4E206DB2" w14:textId="6DCABDD1" w:rsidR="00376950" w:rsidRPr="00992414" w:rsidRDefault="00376950" w:rsidP="00EB574C">
            <w:pPr>
              <w:pStyle w:val="Normal6"/>
              <w:rPr>
                <w:szCs w:val="24"/>
              </w:rPr>
            </w:pPr>
            <w:r w:rsidRPr="00992414">
              <w:t>(12)</w:t>
            </w:r>
            <w:r w:rsidRPr="00992414">
              <w:tab/>
              <w:t xml:space="preserve">Jedným z kľúčových pojmov tohto nariadenia je pojem „peňažné prostriedky v hotovosti“, ktorý by mal byť vymedzený tak, aby zahŕňal štyri kategórie: mena, obchodovateľné finančné nástroje na doručiteľa, komodity používané ako vysoko likvidné uchovávatele hodnoty a určité typy </w:t>
            </w:r>
            <w:r w:rsidRPr="00992414">
              <w:rPr>
                <w:b/>
                <w:i/>
              </w:rPr>
              <w:t xml:space="preserve">anonymných </w:t>
            </w:r>
            <w:r w:rsidRPr="00992414">
              <w:t xml:space="preserve">predplatených kariet. Vzhľadom na svoje vlastnosti budú určité obchodovateľné finančné nástroje na doručiteľa, komodity používané ako vysoko likvidné uchovávatele hodnoty, ako aj </w:t>
            </w:r>
            <w:r w:rsidRPr="00992414">
              <w:rPr>
                <w:b/>
                <w:i/>
              </w:rPr>
              <w:t xml:space="preserve">anonymné </w:t>
            </w:r>
            <w:r w:rsidRPr="00992414">
              <w:t>predplatené karty, ktoré nie sú prepojené s</w:t>
            </w:r>
            <w:r w:rsidRPr="00992414">
              <w:rPr>
                <w:b/>
                <w:i/>
              </w:rPr>
              <w:t> </w:t>
            </w:r>
            <w:r w:rsidRPr="00992414">
              <w:t>bankovým účtom, pravdepodobne používané namiesto meny ako anonymné prostriedky na prevod hodnoty cez vonkajšie hranice, ktoré sa nedajú vypátrať s</w:t>
            </w:r>
            <w:r w:rsidRPr="00992414">
              <w:rPr>
                <w:b/>
                <w:i/>
              </w:rPr>
              <w:t> </w:t>
            </w:r>
            <w:r w:rsidRPr="00992414">
              <w:t xml:space="preserve">použitím klasického systému dohľadu zo strany orgánov verejnej moci. </w:t>
            </w:r>
            <w:r w:rsidRPr="00992414">
              <w:rPr>
                <w:b/>
                <w:i/>
              </w:rPr>
              <w:t xml:space="preserve">Colné orgány v súčasnosti čelia technickým ťažkostiam, keď sa od nich vyžaduje, aby v krátkom čase kontrolovali množstvo peňazí uložených na predplatených kartách. </w:t>
            </w:r>
            <w:r w:rsidRPr="00992414">
              <w:t>V tomto nariadení by sa</w:t>
            </w:r>
            <w:r w:rsidRPr="00992414">
              <w:rPr>
                <w:b/>
                <w:i/>
              </w:rPr>
              <w:t xml:space="preserve"> preto</w:t>
            </w:r>
            <w:r w:rsidRPr="00992414">
              <w:t xml:space="preserve"> mali stanoviť základné prvky vymedzenia pojmu „peňažné prostriedky v hotovosti“ a zároveň by sa Komisii malo umožniť meniť vedľajšie zložky v reakcii na snahy páchateľov trestnej činnosti a ich spoločníkov obísť opatrenie, ktorým sa kontroluje iba jeden typ vysoko likvidných uchovávateľov hodnoty tak, že cez vonkajšie hranice prenesú iný typ. Ak sa zistí dôkaz o takejto činnosti značného rozsahu, je nevyhnutné rýchlo prijať opatrenia na nápravu situácie. </w:t>
            </w:r>
            <w:r w:rsidRPr="00992414">
              <w:rPr>
                <w:b/>
                <w:i/>
              </w:rPr>
              <w:t>Napriek vysokej úrovni rizika, ktorú predstavujú virtuálne meny, ako sa dokazuje v správe Komisie z 26. júna 2017 o posudzovaní rizík spojených s praním špinavých peňazí a financovaním terorizmu, ktoré majú vplyv na vnútorný trh a súvisia s cezhraničnou činnosťou</w:t>
            </w:r>
            <w:r w:rsidRPr="00992414">
              <w:rPr>
                <w:b/>
                <w:i/>
                <w:vertAlign w:val="superscript"/>
              </w:rPr>
              <w:t>1a</w:t>
            </w:r>
            <w:r w:rsidRPr="00992414">
              <w:rPr>
                <w:b/>
                <w:i/>
              </w:rPr>
              <w:t>, colným orgánom chýbajú dostatočné zdroje na ich monitorovanie.</w:t>
            </w:r>
          </w:p>
        </w:tc>
      </w:tr>
      <w:tr w:rsidR="008C3F18" w:rsidRPr="00992414" w14:paraId="0FDA0C46" w14:textId="77777777" w:rsidTr="00376950">
        <w:trPr>
          <w:jc w:val="center"/>
        </w:trPr>
        <w:tc>
          <w:tcPr>
            <w:tcW w:w="4876" w:type="dxa"/>
          </w:tcPr>
          <w:p w14:paraId="49D44A3A" w14:textId="77777777" w:rsidR="008C3F18" w:rsidRPr="00992414" w:rsidRDefault="008C3F18">
            <w:pPr>
              <w:pStyle w:val="Normal6"/>
            </w:pPr>
          </w:p>
        </w:tc>
        <w:tc>
          <w:tcPr>
            <w:tcW w:w="4876" w:type="dxa"/>
          </w:tcPr>
          <w:p w14:paraId="70308137" w14:textId="57B1A122" w:rsidR="008C3F18" w:rsidRPr="00992414" w:rsidRDefault="008C3F18" w:rsidP="00EB574C">
            <w:pPr>
              <w:pStyle w:val="Normal6"/>
            </w:pPr>
            <w:r w:rsidRPr="00992414">
              <w:t>_____________</w:t>
            </w:r>
          </w:p>
        </w:tc>
      </w:tr>
      <w:tr w:rsidR="009746A8" w:rsidRPr="00992414" w14:paraId="206372EF" w14:textId="77777777" w:rsidTr="00376950">
        <w:trPr>
          <w:jc w:val="center"/>
        </w:trPr>
        <w:tc>
          <w:tcPr>
            <w:tcW w:w="4876" w:type="dxa"/>
          </w:tcPr>
          <w:p w14:paraId="4691A0C8" w14:textId="77777777" w:rsidR="009746A8" w:rsidRPr="00992414" w:rsidRDefault="009746A8">
            <w:pPr>
              <w:pStyle w:val="Normal6"/>
            </w:pPr>
          </w:p>
        </w:tc>
        <w:tc>
          <w:tcPr>
            <w:tcW w:w="4876" w:type="dxa"/>
          </w:tcPr>
          <w:p w14:paraId="5BD1F2FB" w14:textId="60798B2E" w:rsidR="009746A8" w:rsidRPr="00992414" w:rsidRDefault="009746A8" w:rsidP="009746A8">
            <w:pPr>
              <w:pStyle w:val="Normal6"/>
            </w:pPr>
            <w:r w:rsidRPr="00992414">
              <w:rPr>
                <w:b/>
                <w:i/>
                <w:vertAlign w:val="superscript"/>
              </w:rPr>
              <w:t xml:space="preserve">1a </w:t>
            </w:r>
            <w:r w:rsidRPr="00992414">
              <w:rPr>
                <w:b/>
                <w:i/>
              </w:rPr>
              <w:t>(COM(2017)340 final and SWD(2017)241 final)</w:t>
            </w:r>
          </w:p>
        </w:tc>
      </w:tr>
    </w:tbl>
    <w:p w14:paraId="05F20631" w14:textId="77777777" w:rsidR="00376950" w:rsidRPr="00992414" w:rsidRDefault="00376950" w:rsidP="00376950">
      <w:r w:rsidRPr="00992414">
        <w:rPr>
          <w:rStyle w:val="HideTWBExt"/>
          <w:noProof w:val="0"/>
        </w:rPr>
        <w:t>&lt;/Amend&gt;</w:t>
      </w:r>
    </w:p>
    <w:p w14:paraId="30E42AE4" w14:textId="2C9443FF"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9</w:t>
      </w:r>
      <w:r w:rsidRPr="00992414">
        <w:rPr>
          <w:rStyle w:val="HideTWBExt"/>
          <w:b w:val="0"/>
          <w:noProof w:val="0"/>
        </w:rPr>
        <w:t>&lt;/NumAm&gt;</w:t>
      </w:r>
    </w:p>
    <w:p w14:paraId="3C4E434C"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2178859D" w14:textId="77777777" w:rsidR="00376950" w:rsidRPr="00992414" w:rsidRDefault="00376950" w:rsidP="00376950">
      <w:pPr>
        <w:pStyle w:val="NormalBold"/>
      </w:pPr>
      <w:r w:rsidRPr="00992414">
        <w:rPr>
          <w:rStyle w:val="HideTWBExt"/>
          <w:b w:val="0"/>
          <w:noProof w:val="0"/>
        </w:rPr>
        <w:t>&lt;Article&gt;</w:t>
      </w:r>
      <w:r w:rsidRPr="00992414">
        <w:t>Odôvodnenie 15</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59711BD0" w14:textId="77777777" w:rsidTr="00376950">
        <w:trPr>
          <w:jc w:val="center"/>
        </w:trPr>
        <w:tc>
          <w:tcPr>
            <w:tcW w:w="9752" w:type="dxa"/>
            <w:gridSpan w:val="2"/>
          </w:tcPr>
          <w:p w14:paraId="27AAAB0F" w14:textId="77777777" w:rsidR="00376950" w:rsidRPr="00992414" w:rsidRDefault="00376950">
            <w:pPr>
              <w:keepNext/>
            </w:pPr>
          </w:p>
        </w:tc>
      </w:tr>
      <w:tr w:rsidR="00376950" w:rsidRPr="00992414" w14:paraId="01141800" w14:textId="77777777" w:rsidTr="00376950">
        <w:trPr>
          <w:jc w:val="center"/>
        </w:trPr>
        <w:tc>
          <w:tcPr>
            <w:tcW w:w="4876" w:type="dxa"/>
            <w:hideMark/>
          </w:tcPr>
          <w:p w14:paraId="6344F1B2" w14:textId="77777777" w:rsidR="00376950" w:rsidRPr="00992414" w:rsidRDefault="00376950">
            <w:pPr>
              <w:pStyle w:val="ColumnHeading"/>
              <w:keepNext/>
            </w:pPr>
            <w:r w:rsidRPr="00992414">
              <w:t>Text predložený Komisiou</w:t>
            </w:r>
          </w:p>
        </w:tc>
        <w:tc>
          <w:tcPr>
            <w:tcW w:w="4876" w:type="dxa"/>
            <w:hideMark/>
          </w:tcPr>
          <w:p w14:paraId="66F93285" w14:textId="77777777" w:rsidR="00376950" w:rsidRPr="00992414" w:rsidRDefault="00376950">
            <w:pPr>
              <w:pStyle w:val="ColumnHeading"/>
              <w:keepNext/>
            </w:pPr>
            <w:r w:rsidRPr="00992414">
              <w:t>Pozmeňujúci návrh</w:t>
            </w:r>
          </w:p>
        </w:tc>
      </w:tr>
      <w:tr w:rsidR="00376950" w:rsidRPr="00992414" w14:paraId="69427851" w14:textId="77777777" w:rsidTr="00376950">
        <w:trPr>
          <w:jc w:val="center"/>
        </w:trPr>
        <w:tc>
          <w:tcPr>
            <w:tcW w:w="4876" w:type="dxa"/>
            <w:hideMark/>
          </w:tcPr>
          <w:p w14:paraId="7AE958E4" w14:textId="77777777" w:rsidR="00376950" w:rsidRPr="00992414" w:rsidRDefault="00376950">
            <w:pPr>
              <w:pStyle w:val="Normal6"/>
            </w:pPr>
            <w:r w:rsidRPr="00992414">
              <w:t>(15)</w:t>
            </w:r>
            <w:r w:rsidRPr="00992414">
              <w:tab/>
              <w:t>Predplatené karty sú karty neuvádzajúce meno majiteľa uchovávajúce peňažnú hodnotu alebo zdroje, ktoré možno použiť na platobné transakcie, na účely nadobudnutia tovaru alebo služieb alebo na vyplatenie meny, ktoré nie sú prepojené s</w:t>
            </w:r>
            <w:r w:rsidRPr="00992414">
              <w:rPr>
                <w:b/>
                <w:i/>
              </w:rPr>
              <w:t xml:space="preserve"> </w:t>
            </w:r>
            <w:r w:rsidRPr="00992414">
              <w:t>bankovým účtom. Často sa používajú na rôzne zákonné účely a niektoré z týchto nástrojov takisto predstavujú jasný spoločenský záujem. Predplatené karty sú teda ľahko prevoditeľné a</w:t>
            </w:r>
            <w:r w:rsidRPr="00992414">
              <w:rPr>
                <w:b/>
                <w:i/>
              </w:rPr>
              <w:t xml:space="preserve"> </w:t>
            </w:r>
            <w:r w:rsidRPr="00992414">
              <w:t xml:space="preserve">dajú sa použiť na prevod značnej hodnoty cez vonkajšie hranice. Je preto </w:t>
            </w:r>
            <w:r w:rsidRPr="00992414">
              <w:rPr>
                <w:b/>
                <w:i/>
              </w:rPr>
              <w:t>potrebné</w:t>
            </w:r>
            <w:r w:rsidRPr="00992414">
              <w:t xml:space="preserve"> predplatené karty zahrnúť do vymedzenia pojmu peňažné prostriedky v</w:t>
            </w:r>
            <w:r w:rsidRPr="00992414">
              <w:rPr>
                <w:b/>
                <w:i/>
              </w:rPr>
              <w:t xml:space="preserve"> </w:t>
            </w:r>
            <w:r w:rsidRPr="00992414">
              <w:t xml:space="preserve">hotovosti. Tak sa zabezpečí možnosť rozšíriť opatrenia na </w:t>
            </w:r>
            <w:r w:rsidRPr="00992414">
              <w:rPr>
                <w:b/>
                <w:i/>
              </w:rPr>
              <w:t>určité typy predplatených kariet</w:t>
            </w:r>
            <w:r w:rsidRPr="00992414">
              <w:t>, pokiaľ je to odôvodnené a s náležitým ohľadom na proporcionalitu a presaditeľnosť v praxi.</w:t>
            </w:r>
          </w:p>
        </w:tc>
        <w:tc>
          <w:tcPr>
            <w:tcW w:w="4876" w:type="dxa"/>
            <w:hideMark/>
          </w:tcPr>
          <w:p w14:paraId="65041910" w14:textId="0103067E" w:rsidR="00376950" w:rsidRPr="00992414" w:rsidRDefault="00376950" w:rsidP="009B4C07">
            <w:pPr>
              <w:pStyle w:val="Normal6"/>
              <w:rPr>
                <w:szCs w:val="24"/>
              </w:rPr>
            </w:pPr>
            <w:r w:rsidRPr="00992414">
              <w:t>(15)</w:t>
            </w:r>
            <w:r w:rsidRPr="00992414">
              <w:tab/>
            </w:r>
            <w:r w:rsidRPr="00992414">
              <w:rPr>
                <w:b/>
                <w:i/>
              </w:rPr>
              <w:t>Anonymné</w:t>
            </w:r>
            <w:r w:rsidRPr="00992414">
              <w:t xml:space="preserve"> predplatené karty sú karty neuvádzajúce meno majiteľa uchovávajúce peňažnú hodnotu alebo zdroje, ktoré možno použiť na platobné transakcie, na účely nadobudnutia tovaru alebo služieb alebo na vyplatenie meny, </w:t>
            </w:r>
            <w:r w:rsidRPr="00992414">
              <w:rPr>
                <w:b/>
                <w:i/>
              </w:rPr>
              <w:t xml:space="preserve">alebo poskytujúce prístup k takejto peňažnej hodnote alebo zdrojom, a </w:t>
            </w:r>
            <w:r w:rsidRPr="00992414">
              <w:t>ktoré nie sú prepojené s</w:t>
            </w:r>
            <w:r w:rsidRPr="00992414">
              <w:rPr>
                <w:b/>
                <w:i/>
              </w:rPr>
              <w:t> </w:t>
            </w:r>
            <w:r w:rsidRPr="00992414">
              <w:t xml:space="preserve">bankovým účtom. Často sa používajú na rôzne zákonné účely a niektoré z týchto nástrojov takisto predstavujú jasný spoločenský záujem. </w:t>
            </w:r>
            <w:r w:rsidRPr="00992414">
              <w:rPr>
                <w:b/>
                <w:i/>
              </w:rPr>
              <w:t xml:space="preserve">Anonymné </w:t>
            </w:r>
            <w:r w:rsidRPr="00992414">
              <w:t>predplatené karty sú teda ľahko prevoditeľné a</w:t>
            </w:r>
            <w:r w:rsidRPr="00992414">
              <w:rPr>
                <w:b/>
                <w:i/>
              </w:rPr>
              <w:t> </w:t>
            </w:r>
            <w:r w:rsidRPr="00992414">
              <w:t xml:space="preserve">dajú sa použiť na prevod značnej hodnoty cez vonkajšie hranice. Je preto </w:t>
            </w:r>
            <w:r w:rsidRPr="00992414">
              <w:rPr>
                <w:b/>
                <w:i/>
              </w:rPr>
              <w:t>nutné tieto</w:t>
            </w:r>
            <w:r w:rsidRPr="00992414">
              <w:t xml:space="preserve"> predplatené karty zahrnúť do vymedzenia pojmu peňažné prostriedky v</w:t>
            </w:r>
            <w:r w:rsidRPr="00992414">
              <w:rPr>
                <w:b/>
                <w:i/>
              </w:rPr>
              <w:t> </w:t>
            </w:r>
            <w:r w:rsidRPr="00992414">
              <w:t>hotovosti</w:t>
            </w:r>
            <w:r w:rsidRPr="00992414">
              <w:rPr>
                <w:b/>
                <w:i/>
              </w:rPr>
              <w:t>, najmä ak ich možno zakúpiť bez postupov náležitej starostlivosti o zákazníka</w:t>
            </w:r>
            <w:r w:rsidRPr="00992414">
              <w:t xml:space="preserve">. Tak sa zabezpečí možnosť rozšíriť opatrenia na </w:t>
            </w:r>
            <w:r w:rsidRPr="00992414">
              <w:rPr>
                <w:b/>
                <w:i/>
              </w:rPr>
              <w:t>anonymné predplatené karty</w:t>
            </w:r>
            <w:r w:rsidRPr="00992414">
              <w:t>, pokiaľ je to odôvodnené a s náležitým ohľadom na proporcionalitu a presaditeľnosť v praxi</w:t>
            </w:r>
            <w:r w:rsidRPr="00992414">
              <w:rPr>
                <w:b/>
                <w:i/>
              </w:rPr>
              <w:t xml:space="preserve"> v súlade s dostupnou technológiou</w:t>
            </w:r>
            <w:r w:rsidRPr="00992414">
              <w:t>.</w:t>
            </w:r>
          </w:p>
        </w:tc>
      </w:tr>
    </w:tbl>
    <w:p w14:paraId="21BC2310" w14:textId="77777777" w:rsidR="0062551E" w:rsidRPr="00992414" w:rsidRDefault="00376950" w:rsidP="0062551E">
      <w:r w:rsidRPr="00992414">
        <w:rPr>
          <w:rStyle w:val="HideTWBExt"/>
          <w:noProof w:val="0"/>
        </w:rPr>
        <w:t>&lt;/Amend&gt;</w:t>
      </w:r>
    </w:p>
    <w:p w14:paraId="72257B60" w14:textId="25646C78"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10</w:t>
      </w:r>
      <w:r w:rsidRPr="00992414">
        <w:rPr>
          <w:rStyle w:val="HideTWBExt"/>
          <w:b w:val="0"/>
          <w:noProof w:val="0"/>
        </w:rPr>
        <w:t>&lt;/NumAm&gt;</w:t>
      </w:r>
    </w:p>
    <w:p w14:paraId="22FB0FAF"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14955F27" w14:textId="77777777" w:rsidR="00376950" w:rsidRPr="00992414" w:rsidRDefault="00376950" w:rsidP="00376950">
      <w:pPr>
        <w:pStyle w:val="NormalBold"/>
      </w:pPr>
      <w:r w:rsidRPr="00992414">
        <w:rPr>
          <w:rStyle w:val="HideTWBExt"/>
          <w:b w:val="0"/>
          <w:noProof w:val="0"/>
        </w:rPr>
        <w:t>&lt;Article&gt;</w:t>
      </w:r>
      <w:r w:rsidRPr="00992414">
        <w:t>Odôvodnenie 16</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066C9966" w14:textId="77777777" w:rsidTr="00376950">
        <w:trPr>
          <w:jc w:val="center"/>
        </w:trPr>
        <w:tc>
          <w:tcPr>
            <w:tcW w:w="9752" w:type="dxa"/>
            <w:gridSpan w:val="2"/>
          </w:tcPr>
          <w:p w14:paraId="417025F2" w14:textId="77777777" w:rsidR="00376950" w:rsidRPr="00992414" w:rsidRDefault="00376950">
            <w:pPr>
              <w:keepNext/>
            </w:pPr>
          </w:p>
        </w:tc>
      </w:tr>
      <w:tr w:rsidR="00376950" w:rsidRPr="00992414" w14:paraId="4F3A4A29" w14:textId="77777777" w:rsidTr="00376950">
        <w:trPr>
          <w:jc w:val="center"/>
        </w:trPr>
        <w:tc>
          <w:tcPr>
            <w:tcW w:w="4876" w:type="dxa"/>
            <w:hideMark/>
          </w:tcPr>
          <w:p w14:paraId="0F45816D" w14:textId="77777777" w:rsidR="00376950" w:rsidRPr="00992414" w:rsidRDefault="00376950">
            <w:pPr>
              <w:pStyle w:val="ColumnHeading"/>
              <w:keepNext/>
            </w:pPr>
            <w:r w:rsidRPr="00992414">
              <w:t>Text predložený Komisiou</w:t>
            </w:r>
          </w:p>
        </w:tc>
        <w:tc>
          <w:tcPr>
            <w:tcW w:w="4876" w:type="dxa"/>
            <w:hideMark/>
          </w:tcPr>
          <w:p w14:paraId="7882DBE1" w14:textId="77777777" w:rsidR="00376950" w:rsidRPr="00992414" w:rsidRDefault="00376950">
            <w:pPr>
              <w:pStyle w:val="ColumnHeading"/>
              <w:keepNext/>
            </w:pPr>
            <w:r w:rsidRPr="00992414">
              <w:t>Pozmeňujúci návrh</w:t>
            </w:r>
          </w:p>
        </w:tc>
      </w:tr>
      <w:tr w:rsidR="00376950" w:rsidRPr="00992414" w14:paraId="18BE32CF" w14:textId="77777777" w:rsidTr="00376950">
        <w:trPr>
          <w:jc w:val="center"/>
        </w:trPr>
        <w:tc>
          <w:tcPr>
            <w:tcW w:w="4876" w:type="dxa"/>
            <w:hideMark/>
          </w:tcPr>
          <w:p w14:paraId="0A3BF7D1" w14:textId="77777777" w:rsidR="00376950" w:rsidRPr="00992414" w:rsidRDefault="00376950">
            <w:pPr>
              <w:pStyle w:val="Normal6"/>
            </w:pPr>
            <w:r w:rsidRPr="00992414">
              <w:t>(16)</w:t>
            </w:r>
            <w:r w:rsidRPr="00992414">
              <w:tab/>
              <w:t>Na predchádzanie praniu špinavých peňazí a financovaniu terorizmu by sa fyzickým osobám, ktoré vstupujú do Únie, resp. opúšťajú Úniu, mala uložiť oznamovacia povinnosť. Aby sa predišlo prílišnému obmedzeniu voľného pohybu alebo neprimeranému zaťažovaniu občanov a orgánov administratívnymi formalitami, táto povinnosť by mala podliehať hranici 10 000 EUR alebo ekvivalentu tejto sumy v komoditách používaných ako vysoko likvidné uchovávatele hodnoty, obchodovateľných finančných nástrojoch na doručiteľa, hodnote na predplatených kartách alebo v iných menách. Mala by sa vzťahovať na fyzické osoby, ktoré takéto sumy majú pri sebe alebo ich prepravujú v batožine alebo v dopravnom prostriedku, v ktorom prekračujú vonkajšiu hranicu. Mali by byť povinné sprístupniť peňažné prostriedky v hotovosti príslušným orgánom na kontrolu.</w:t>
            </w:r>
          </w:p>
        </w:tc>
        <w:tc>
          <w:tcPr>
            <w:tcW w:w="4876" w:type="dxa"/>
            <w:hideMark/>
          </w:tcPr>
          <w:p w14:paraId="399EB623" w14:textId="4568E3C8" w:rsidR="00376950" w:rsidRPr="00992414" w:rsidRDefault="00376950" w:rsidP="00EB574C">
            <w:pPr>
              <w:pStyle w:val="Normal6"/>
              <w:rPr>
                <w:szCs w:val="24"/>
              </w:rPr>
            </w:pPr>
            <w:r w:rsidRPr="00992414">
              <w:t>(16)</w:t>
            </w:r>
            <w:r w:rsidRPr="00992414">
              <w:tab/>
              <w:t xml:space="preserve">Na predchádzanie praniu špinavých peňazí a financovaniu terorizmu by sa fyzickým osobám, ktoré vstupujú do Únie, resp. opúšťajú Úniu, mala uložiť oznamovacia povinnosť. Aby sa predišlo prílišnému obmedzeniu voľného pohybu alebo neprimeranému zaťažovaniu občanov a orgánov administratívnymi formalitami, táto povinnosť by mala podliehať hranici 10 000 EUR alebo ekvivalentu tejto sumy v komoditách používaných ako vysoko likvidné uchovávatele hodnoty, obchodovateľných finančných nástrojoch na doručiteľa, hodnote na </w:t>
            </w:r>
            <w:r w:rsidRPr="00992414">
              <w:rPr>
                <w:b/>
                <w:i/>
              </w:rPr>
              <w:t xml:space="preserve">anonymných </w:t>
            </w:r>
            <w:r w:rsidRPr="00992414">
              <w:t>predplatených kartách alebo v iných menách. Mala by sa vzťahovať na</w:t>
            </w:r>
            <w:r w:rsidRPr="00992414">
              <w:rPr>
                <w:b/>
                <w:i/>
              </w:rPr>
              <w:t xml:space="preserve"> prepravcov, ktorí sa na účel tohto nariadenia vymedzia ako</w:t>
            </w:r>
            <w:r w:rsidRPr="00992414">
              <w:t xml:space="preserve"> fyzické osoby, ktoré takéto sumy majú pri sebe alebo ich prepravujú v batožine alebo v dopravnom prostriedku, v ktorom prekračujú vonkajšiu hranicu. Mali by byť povinné sprístupniť peňažné prostriedky v hotovosti príslušným orgánom na kontrolu. </w:t>
            </w:r>
            <w:r w:rsidRPr="00992414">
              <w:rPr>
                <w:b/>
                <w:i/>
              </w:rPr>
              <w:t>Vymedzenie pojmu „prepravca“ by sa malo chápať tak, že sa z neho vylučujú profesionálni prepravcovia, ktorí vykonávajú profesionálnu prepravu tovaru alebo osôb.</w:t>
            </w:r>
          </w:p>
        </w:tc>
      </w:tr>
    </w:tbl>
    <w:p w14:paraId="21A589D6" w14:textId="77777777" w:rsidR="00376950" w:rsidRPr="00992414" w:rsidRDefault="00376950" w:rsidP="00376950">
      <w:r w:rsidRPr="00992414">
        <w:rPr>
          <w:rStyle w:val="HideTWBExt"/>
          <w:noProof w:val="0"/>
        </w:rPr>
        <w:t>&lt;/Amend&gt;</w:t>
      </w:r>
    </w:p>
    <w:p w14:paraId="66A5923C" w14:textId="1ADA3424"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11</w:t>
      </w:r>
      <w:r w:rsidRPr="00992414">
        <w:rPr>
          <w:rStyle w:val="HideTWBExt"/>
          <w:b w:val="0"/>
          <w:noProof w:val="0"/>
        </w:rPr>
        <w:t>&lt;/NumAm&gt;</w:t>
      </w:r>
    </w:p>
    <w:p w14:paraId="78E7EA2D"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740FAD24" w14:textId="77777777" w:rsidR="00376950" w:rsidRPr="00992414" w:rsidRDefault="00376950" w:rsidP="00376950">
      <w:pPr>
        <w:pStyle w:val="NormalBold"/>
      </w:pPr>
      <w:r w:rsidRPr="00992414">
        <w:rPr>
          <w:rStyle w:val="HideTWBExt"/>
          <w:b w:val="0"/>
          <w:noProof w:val="0"/>
        </w:rPr>
        <w:t>&lt;Article&gt;</w:t>
      </w:r>
      <w:r w:rsidRPr="00992414">
        <w:t>Odôvodnenie 17</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7050B2F9" w14:textId="77777777" w:rsidTr="00376950">
        <w:trPr>
          <w:jc w:val="center"/>
        </w:trPr>
        <w:tc>
          <w:tcPr>
            <w:tcW w:w="9752" w:type="dxa"/>
            <w:gridSpan w:val="2"/>
          </w:tcPr>
          <w:p w14:paraId="18723465" w14:textId="77777777" w:rsidR="00376950" w:rsidRPr="00992414" w:rsidRDefault="00376950">
            <w:pPr>
              <w:keepNext/>
            </w:pPr>
          </w:p>
        </w:tc>
      </w:tr>
      <w:tr w:rsidR="00376950" w:rsidRPr="00992414" w14:paraId="520B22B7" w14:textId="77777777" w:rsidTr="00376950">
        <w:trPr>
          <w:jc w:val="center"/>
        </w:trPr>
        <w:tc>
          <w:tcPr>
            <w:tcW w:w="4876" w:type="dxa"/>
            <w:hideMark/>
          </w:tcPr>
          <w:p w14:paraId="62EEE1B5" w14:textId="77777777" w:rsidR="00376950" w:rsidRPr="00992414" w:rsidRDefault="00376950">
            <w:pPr>
              <w:pStyle w:val="ColumnHeading"/>
              <w:keepNext/>
            </w:pPr>
            <w:r w:rsidRPr="00992414">
              <w:t>Text predložený Komisiou</w:t>
            </w:r>
          </w:p>
        </w:tc>
        <w:tc>
          <w:tcPr>
            <w:tcW w:w="4876" w:type="dxa"/>
            <w:hideMark/>
          </w:tcPr>
          <w:p w14:paraId="0155C249" w14:textId="77777777" w:rsidR="00376950" w:rsidRPr="00992414" w:rsidRDefault="00376950">
            <w:pPr>
              <w:pStyle w:val="ColumnHeading"/>
              <w:keepNext/>
            </w:pPr>
            <w:r w:rsidRPr="00992414">
              <w:t>Pozmeňujúci návrh</w:t>
            </w:r>
          </w:p>
        </w:tc>
      </w:tr>
      <w:tr w:rsidR="00376950" w:rsidRPr="00992414" w14:paraId="1E809292" w14:textId="77777777" w:rsidTr="00376950">
        <w:trPr>
          <w:jc w:val="center"/>
        </w:trPr>
        <w:tc>
          <w:tcPr>
            <w:tcW w:w="4876" w:type="dxa"/>
            <w:hideMark/>
          </w:tcPr>
          <w:p w14:paraId="103FA92A" w14:textId="77777777" w:rsidR="00376950" w:rsidRPr="00992414" w:rsidRDefault="00376950">
            <w:pPr>
              <w:pStyle w:val="Normal6"/>
            </w:pPr>
            <w:r w:rsidRPr="00992414">
              <w:t>(17)</w:t>
            </w:r>
            <w:r w:rsidRPr="00992414">
              <w:tab/>
              <w:t xml:space="preserve">V prípade pohybov peňažných prostriedkov v hotovosti bez sprievodu ich </w:t>
            </w:r>
            <w:r w:rsidRPr="00992414">
              <w:rPr>
                <w:b/>
                <w:i/>
              </w:rPr>
              <w:t>majiteľa, odosielateľa, zamýšľaného príjemcu alebo ich zástupcu</w:t>
            </w:r>
            <w:r w:rsidRPr="00992414">
              <w:t>, napríklad takých, ktoré vstupujú do Únie, resp. opúšťajú Úniu, v poštových balíkoch, kuriérskych zásielkach, batožine bez sprievodu alebo ako náklad v kontajneroch, by mali mať príslušné orgány</w:t>
            </w:r>
            <w:r w:rsidRPr="00992414">
              <w:rPr>
                <w:b/>
                <w:i/>
              </w:rPr>
              <w:t xml:space="preserve"> na vonkajšej hranici</w:t>
            </w:r>
            <w:r w:rsidRPr="00992414">
              <w:t xml:space="preserve"> právomoc žiadať, aby odosielateľ alebo príjemca alebo ich zástupca splnili oznamovaciu povinnosť. Takéto oznámenie by malo zahŕňať niekoľko prvkov, napr. pôvod, miesto určenia, hospodársky pôvod a zamýšľané použitie finančných prostriedkov, ktoré nezahŕňa bežná dokumentácia predkladaná colným orgánom ako prepravné doklady a colné vyhlásenia. Príslušným orgánom sa tak umožní vykonať analýzu rizika a sústrediť svoje úsilie na zásielky, ktoré považujú za najrizikovejšie, bez toho, aby sa ukladali systematické dodatočné formality. Povinné oznámenie by malo podliehať hranici v rovnakej výške, aká sa stanovila pre peňažné prostriedky v hotovosti prepravované fyzickými osobami.</w:t>
            </w:r>
          </w:p>
        </w:tc>
        <w:tc>
          <w:tcPr>
            <w:tcW w:w="4876" w:type="dxa"/>
            <w:hideMark/>
          </w:tcPr>
          <w:p w14:paraId="754977A9" w14:textId="77777777" w:rsidR="00376950" w:rsidRPr="00992414" w:rsidRDefault="00376950">
            <w:pPr>
              <w:pStyle w:val="Normal6"/>
              <w:rPr>
                <w:szCs w:val="24"/>
              </w:rPr>
            </w:pPr>
            <w:r w:rsidRPr="00992414">
              <w:t>(17)</w:t>
            </w:r>
            <w:r w:rsidRPr="00992414">
              <w:tab/>
              <w:t xml:space="preserve">V prípade pohybov peňažných prostriedkov v hotovosti bez sprievodu ich </w:t>
            </w:r>
            <w:r w:rsidRPr="00992414">
              <w:rPr>
                <w:b/>
                <w:i/>
              </w:rPr>
              <w:t>prepravcu</w:t>
            </w:r>
            <w:r w:rsidRPr="00992414">
              <w:t>, napríklad takých, ktoré vstupujú do Únie, resp. opúšťajú Úniu, v poštových balíkoch, kuriérskych zásielkach, batožine bez sprievodu alebo ako náklad v kontajneroch, by mali mať príslušné orgány právomoc žiadať, aby odosielateľ alebo príjemca alebo ich zástupca splnili oznamovaciu povinnosť. Takéto oznámenie by malo zahŕňať niekoľko prvkov, napr. pôvod, miesto určenia, hospodársky pôvod a zamýšľané použitie finančných prostriedkov, ktoré nezahŕňa bežná dokumentácia predkladaná colným orgánom ako prepravné doklady a colné vyhlásenia. Príslušným orgánom sa tak umožní vykonať analýzu rizika a sústrediť svoje úsilie na zásielky, ktoré považujú za najrizikovejšie, bez toho, aby sa ukladali systematické dodatočné formality. Povinné oznámenie by malo podliehať hranici v rovnakej výške, aká sa stanovila pre peňažné prostriedky v hotovosti prepravované fyzickými osobami.</w:t>
            </w:r>
          </w:p>
        </w:tc>
      </w:tr>
    </w:tbl>
    <w:p w14:paraId="67C66435" w14:textId="77777777" w:rsidR="00376950" w:rsidRPr="00992414" w:rsidRDefault="00376950" w:rsidP="00376950">
      <w:r w:rsidRPr="00992414">
        <w:rPr>
          <w:rStyle w:val="HideTWBExt"/>
          <w:noProof w:val="0"/>
        </w:rPr>
        <w:t>&lt;/Amend&gt;</w:t>
      </w:r>
    </w:p>
    <w:p w14:paraId="1CDB7AB4" w14:textId="5C693ABF"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12</w:t>
      </w:r>
      <w:r w:rsidRPr="00992414">
        <w:rPr>
          <w:rStyle w:val="HideTWBExt"/>
          <w:b w:val="0"/>
          <w:noProof w:val="0"/>
        </w:rPr>
        <w:t>&lt;/NumAm&gt;</w:t>
      </w:r>
    </w:p>
    <w:p w14:paraId="2AFF010A"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13D7B893" w14:textId="77777777" w:rsidR="00376950" w:rsidRPr="00992414" w:rsidRDefault="00376950" w:rsidP="00376950">
      <w:pPr>
        <w:pStyle w:val="NormalBold"/>
      </w:pPr>
      <w:r w:rsidRPr="00992414">
        <w:rPr>
          <w:rStyle w:val="HideTWBExt"/>
          <w:b w:val="0"/>
          <w:noProof w:val="0"/>
        </w:rPr>
        <w:t>&lt;Article&gt;</w:t>
      </w:r>
      <w:r w:rsidRPr="00992414">
        <w:t>Odôvodnenie 20</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3CE4BBD1" w14:textId="77777777" w:rsidTr="00376950">
        <w:trPr>
          <w:jc w:val="center"/>
        </w:trPr>
        <w:tc>
          <w:tcPr>
            <w:tcW w:w="9752" w:type="dxa"/>
            <w:gridSpan w:val="2"/>
          </w:tcPr>
          <w:p w14:paraId="55D08E02" w14:textId="77777777" w:rsidR="00376950" w:rsidRPr="00992414" w:rsidRDefault="00376950">
            <w:pPr>
              <w:keepNext/>
            </w:pPr>
          </w:p>
        </w:tc>
      </w:tr>
      <w:tr w:rsidR="00376950" w:rsidRPr="00992414" w14:paraId="507E1067" w14:textId="77777777" w:rsidTr="00376950">
        <w:trPr>
          <w:jc w:val="center"/>
        </w:trPr>
        <w:tc>
          <w:tcPr>
            <w:tcW w:w="4876" w:type="dxa"/>
            <w:hideMark/>
          </w:tcPr>
          <w:p w14:paraId="2E0619A4" w14:textId="77777777" w:rsidR="00376950" w:rsidRPr="00992414" w:rsidRDefault="00376950">
            <w:pPr>
              <w:pStyle w:val="ColumnHeading"/>
              <w:keepNext/>
            </w:pPr>
            <w:r w:rsidRPr="00992414">
              <w:t>Text predložený Komisiou</w:t>
            </w:r>
          </w:p>
        </w:tc>
        <w:tc>
          <w:tcPr>
            <w:tcW w:w="4876" w:type="dxa"/>
            <w:hideMark/>
          </w:tcPr>
          <w:p w14:paraId="3B1284D1" w14:textId="77777777" w:rsidR="00376950" w:rsidRPr="00992414" w:rsidRDefault="00376950">
            <w:pPr>
              <w:pStyle w:val="ColumnHeading"/>
              <w:keepNext/>
            </w:pPr>
            <w:r w:rsidRPr="00992414">
              <w:t>Pozmeňujúci návrh</w:t>
            </w:r>
          </w:p>
        </w:tc>
      </w:tr>
      <w:tr w:rsidR="00376950" w:rsidRPr="00992414" w14:paraId="2BE4C0DD" w14:textId="77777777" w:rsidTr="00376950">
        <w:trPr>
          <w:jc w:val="center"/>
        </w:trPr>
        <w:tc>
          <w:tcPr>
            <w:tcW w:w="4876" w:type="dxa"/>
            <w:hideMark/>
          </w:tcPr>
          <w:p w14:paraId="0F482E64" w14:textId="77777777" w:rsidR="00376950" w:rsidRPr="00992414" w:rsidRDefault="00376950">
            <w:pPr>
              <w:pStyle w:val="Normal6"/>
            </w:pPr>
            <w:r w:rsidRPr="00992414">
              <w:t>(20)</w:t>
            </w:r>
            <w:r w:rsidRPr="00992414">
              <w:tab/>
              <w:t xml:space="preserve">Ak zistia sumy peňažných prostriedkov v hotovosti nižšie ako daná hranica, ale existuje podozrenie, že dané peňažné prostriedky v hotovosti môžu mať spojitosť s trestnou činnosťou podľa vymedzenia v tomto nariadení, príslušné orgány by mali mať možnosť zaznamenať </w:t>
            </w:r>
            <w:r w:rsidRPr="00992414">
              <w:rPr>
                <w:b/>
                <w:i/>
              </w:rPr>
              <w:t xml:space="preserve">nevyhnutné </w:t>
            </w:r>
            <w:r w:rsidRPr="00992414">
              <w:t xml:space="preserve">informácie o </w:t>
            </w:r>
            <w:r w:rsidRPr="00992414">
              <w:rPr>
                <w:b/>
                <w:i/>
              </w:rPr>
              <w:t>osobách prepravujúcich peňažné prostriedky v hotovosti</w:t>
            </w:r>
            <w:r w:rsidRPr="00992414">
              <w:t xml:space="preserve"> ako ich totožnosť a štátnu príslušnosť a</w:t>
            </w:r>
            <w:r w:rsidRPr="00992414">
              <w:rPr>
                <w:b/>
                <w:i/>
              </w:rPr>
              <w:t xml:space="preserve"> údaje o </w:t>
            </w:r>
            <w:r w:rsidRPr="00992414">
              <w:t>použitých dopravných prostriedkoch ako typ dopravného prostriedku, miesto odchodu a miesto určenia.</w:t>
            </w:r>
          </w:p>
        </w:tc>
        <w:tc>
          <w:tcPr>
            <w:tcW w:w="4876" w:type="dxa"/>
            <w:hideMark/>
          </w:tcPr>
          <w:p w14:paraId="5F28662D" w14:textId="29FFC0CD" w:rsidR="00376950" w:rsidRPr="00992414" w:rsidRDefault="00376950" w:rsidP="00EB574C">
            <w:pPr>
              <w:pStyle w:val="Normal6"/>
              <w:rPr>
                <w:szCs w:val="24"/>
              </w:rPr>
            </w:pPr>
            <w:r w:rsidRPr="00992414">
              <w:t>(20)</w:t>
            </w:r>
            <w:r w:rsidRPr="00992414">
              <w:tab/>
              <w:t xml:space="preserve">Ak zistia sumy peňažných prostriedkov v hotovosti nižšie ako daná hranica, ale existuje podozrenie, že dané peňažné prostriedky v hotovosti môžu mať spojitosť s trestnou činnosťou podľa vymedzenia v tomto nariadení, príslušné orgány by </w:t>
            </w:r>
            <w:r w:rsidRPr="00992414">
              <w:rPr>
                <w:b/>
                <w:i/>
              </w:rPr>
              <w:t xml:space="preserve">v prípade peňažných prostriedkov v hotovosti so sprievodom </w:t>
            </w:r>
            <w:r w:rsidRPr="00992414">
              <w:t xml:space="preserve">mali mať možnosť zaznamenať informácie o </w:t>
            </w:r>
            <w:r w:rsidRPr="00992414">
              <w:rPr>
                <w:b/>
                <w:i/>
              </w:rPr>
              <w:t>prepravcovi, majiteľovi a zamýšľanom príjemcovi</w:t>
            </w:r>
            <w:r w:rsidRPr="00992414">
              <w:t xml:space="preserve"> ako ich totožnosť a </w:t>
            </w:r>
            <w:r w:rsidRPr="00992414">
              <w:rPr>
                <w:b/>
                <w:i/>
              </w:rPr>
              <w:t xml:space="preserve">kontaktné údaje, </w:t>
            </w:r>
            <w:r w:rsidRPr="00992414">
              <w:t>štátnu príslušnosť</w:t>
            </w:r>
            <w:r w:rsidRPr="00992414">
              <w:rPr>
                <w:b/>
                <w:i/>
              </w:rPr>
              <w:t>, podrobnosti o hospodárskom pôvode</w:t>
            </w:r>
            <w:r w:rsidRPr="00992414">
              <w:t xml:space="preserve"> a</w:t>
            </w:r>
            <w:r w:rsidRPr="00992414">
              <w:rPr>
                <w:b/>
                <w:i/>
              </w:rPr>
              <w:t> určenom použití peňažných prostriedkov v hotovosti, ako aj o </w:t>
            </w:r>
            <w:r w:rsidRPr="00992414">
              <w:t xml:space="preserve">použitých dopravných prostriedkoch ako typ dopravného prostriedku, miesto odchodu a miesto určenia. </w:t>
            </w:r>
            <w:r w:rsidRPr="00992414">
              <w:rPr>
                <w:b/>
                <w:i/>
              </w:rPr>
              <w:t>V prípade peňažných prostriedkov v hotovosti bez sprievodu by príslušné orgány mali byť schopné zaznamenávať takéto informácie o odosielateľovi, majiteľovi a zamýšľanom príjemcovi peňažných prostriedkov v hotovosti.</w:t>
            </w:r>
          </w:p>
        </w:tc>
      </w:tr>
    </w:tbl>
    <w:p w14:paraId="62C7B9A3" w14:textId="77777777" w:rsidR="00376950" w:rsidRPr="00992414" w:rsidRDefault="00376950" w:rsidP="00376950">
      <w:r w:rsidRPr="00992414">
        <w:rPr>
          <w:rStyle w:val="HideTWBExt"/>
          <w:noProof w:val="0"/>
        </w:rPr>
        <w:t>&lt;/Amend&gt;</w:t>
      </w:r>
    </w:p>
    <w:p w14:paraId="232982BA" w14:textId="25F47D17"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13</w:t>
      </w:r>
      <w:r w:rsidRPr="00992414">
        <w:rPr>
          <w:rStyle w:val="HideTWBExt"/>
          <w:b w:val="0"/>
          <w:noProof w:val="0"/>
        </w:rPr>
        <w:t>&lt;/NumAm&gt;</w:t>
      </w:r>
    </w:p>
    <w:p w14:paraId="0A88E241"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405C926F" w14:textId="77777777" w:rsidR="00376950" w:rsidRPr="00992414" w:rsidRDefault="00376950" w:rsidP="00376950">
      <w:pPr>
        <w:pStyle w:val="NormalBold"/>
      </w:pPr>
      <w:r w:rsidRPr="00992414">
        <w:rPr>
          <w:rStyle w:val="HideTWBExt"/>
          <w:b w:val="0"/>
          <w:noProof w:val="0"/>
        </w:rPr>
        <w:t>&lt;Article&gt;</w:t>
      </w:r>
      <w:r w:rsidRPr="00992414">
        <w:t>Odôvodnenie 21</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214B4638" w14:textId="77777777" w:rsidTr="00376950">
        <w:trPr>
          <w:jc w:val="center"/>
        </w:trPr>
        <w:tc>
          <w:tcPr>
            <w:tcW w:w="9752" w:type="dxa"/>
            <w:gridSpan w:val="2"/>
          </w:tcPr>
          <w:p w14:paraId="3A6A765B" w14:textId="77777777" w:rsidR="00376950" w:rsidRPr="00992414" w:rsidRDefault="00376950">
            <w:pPr>
              <w:keepNext/>
            </w:pPr>
          </w:p>
        </w:tc>
      </w:tr>
      <w:tr w:rsidR="00376950" w:rsidRPr="00992414" w14:paraId="00F53A22" w14:textId="77777777" w:rsidTr="00376950">
        <w:trPr>
          <w:jc w:val="center"/>
        </w:trPr>
        <w:tc>
          <w:tcPr>
            <w:tcW w:w="4876" w:type="dxa"/>
            <w:hideMark/>
          </w:tcPr>
          <w:p w14:paraId="5FD19EEB" w14:textId="77777777" w:rsidR="00376950" w:rsidRPr="00992414" w:rsidRDefault="00376950">
            <w:pPr>
              <w:pStyle w:val="ColumnHeading"/>
              <w:keepNext/>
            </w:pPr>
            <w:r w:rsidRPr="00992414">
              <w:t>Text predložený Komisiou</w:t>
            </w:r>
          </w:p>
        </w:tc>
        <w:tc>
          <w:tcPr>
            <w:tcW w:w="4876" w:type="dxa"/>
            <w:hideMark/>
          </w:tcPr>
          <w:p w14:paraId="07CA8FA4" w14:textId="77777777" w:rsidR="00376950" w:rsidRPr="00992414" w:rsidRDefault="00376950">
            <w:pPr>
              <w:pStyle w:val="ColumnHeading"/>
              <w:keepNext/>
            </w:pPr>
            <w:r w:rsidRPr="00992414">
              <w:t>Pozmeňujúci návrh</w:t>
            </w:r>
          </w:p>
        </w:tc>
      </w:tr>
      <w:tr w:rsidR="00376950" w:rsidRPr="00992414" w14:paraId="7528A98A" w14:textId="77777777" w:rsidTr="00376950">
        <w:trPr>
          <w:jc w:val="center"/>
        </w:trPr>
        <w:tc>
          <w:tcPr>
            <w:tcW w:w="4876" w:type="dxa"/>
            <w:hideMark/>
          </w:tcPr>
          <w:p w14:paraId="5AC3DCA1" w14:textId="77777777" w:rsidR="00376950" w:rsidRPr="00992414" w:rsidRDefault="00376950">
            <w:pPr>
              <w:pStyle w:val="Normal6"/>
            </w:pPr>
            <w:r w:rsidRPr="00992414">
              <w:t>(21)</w:t>
            </w:r>
            <w:r w:rsidRPr="00992414">
              <w:tab/>
              <w:t>Uvedené informácie by sa mali postúpiť finančnej spravodajskej jednotke predmetného členského štátu. Tieto jednotky sú určené ako centrálne prvky v boji proti praniu špinavých peňazí a financovaniu terorizmu, ktoré prijímajú a spracúvajú informácie z rôznych zdrojov, napríklad z finančných inštitúcií, a analyzujú ich s cieľom stanoviť, či existuje dôvod na ďalšie vyšetrovanie, ktorý nemusel byť zrejmý príslušným orgánom, ktoré podľa tohto nariadenia zbierajú oznámenia a vykonávajú kontroly.</w:t>
            </w:r>
          </w:p>
        </w:tc>
        <w:tc>
          <w:tcPr>
            <w:tcW w:w="4876" w:type="dxa"/>
            <w:hideMark/>
          </w:tcPr>
          <w:p w14:paraId="26F3E1C2" w14:textId="1D3EA499" w:rsidR="00376950" w:rsidRPr="00992414" w:rsidRDefault="00376950" w:rsidP="00D9559A">
            <w:pPr>
              <w:pStyle w:val="Normal6"/>
              <w:rPr>
                <w:szCs w:val="24"/>
              </w:rPr>
            </w:pPr>
            <w:r w:rsidRPr="00992414">
              <w:t>(21)</w:t>
            </w:r>
            <w:r w:rsidRPr="00992414">
              <w:tab/>
              <w:t>Uvedené informácie by sa mali postúpiť finančnej spravodajskej jednotke predmetného členského štátu</w:t>
            </w:r>
            <w:r w:rsidRPr="00992414">
              <w:rPr>
                <w:b/>
                <w:i/>
              </w:rPr>
              <w:t>, ktorá by ich mala bezodkladne sprístupniť finančným spravodajským jednotkám iných členských štátov</w:t>
            </w:r>
            <w:r w:rsidRPr="00992414">
              <w:t xml:space="preserve">. Tieto jednotky sú určené ako centrálne prvky v boji proti praniu špinavých peňazí a financovaniu terorizmu, ktoré prijímajú a spracúvajú informácie z rôznych zdrojov, napríklad z finančných inštitúcií, a analyzujú ich s cieľom stanoviť, či existuje dôvod na ďalšie vyšetrovanie, ktorý nemusel byť zrejmý príslušným orgánom, ktoré podľa tohto nariadenia zbierajú oznámenia a vykonávajú kontroly. </w:t>
            </w:r>
            <w:r w:rsidRPr="00992414">
              <w:rPr>
                <w:b/>
                <w:i/>
              </w:rPr>
              <w:t>Na tento účel by sa malo zaviesť prepojenie medzi systémami na výmenu informácií používanými príslušnými orgánmi a finančnými spravodajskými jednotkami.</w:t>
            </w:r>
          </w:p>
        </w:tc>
      </w:tr>
    </w:tbl>
    <w:p w14:paraId="0B048839" w14:textId="77777777" w:rsidR="00376950" w:rsidRPr="00992414" w:rsidRDefault="00376950" w:rsidP="00376950">
      <w:r w:rsidRPr="00992414">
        <w:rPr>
          <w:rStyle w:val="HideTWBExt"/>
          <w:noProof w:val="0"/>
        </w:rPr>
        <w:t>&lt;/Amend&gt;</w:t>
      </w:r>
    </w:p>
    <w:p w14:paraId="632EE219" w14:textId="073D4F70" w:rsidR="00F76411" w:rsidRPr="00992414" w:rsidRDefault="00F76411" w:rsidP="00F76411">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14</w:t>
      </w:r>
      <w:r w:rsidRPr="00992414">
        <w:rPr>
          <w:rStyle w:val="HideTWBExt"/>
          <w:b w:val="0"/>
          <w:noProof w:val="0"/>
        </w:rPr>
        <w:t>&lt;/NumAm&gt;</w:t>
      </w:r>
    </w:p>
    <w:p w14:paraId="18A4BA91" w14:textId="77777777" w:rsidR="00F76411" w:rsidRPr="00992414" w:rsidRDefault="00F76411" w:rsidP="00F76411">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02960C38" w14:textId="2256CDDC" w:rsidR="00F76411" w:rsidRPr="00992414" w:rsidRDefault="00F76411" w:rsidP="00F76411">
      <w:pPr>
        <w:pStyle w:val="NormalBold"/>
      </w:pPr>
      <w:r w:rsidRPr="00992414">
        <w:rPr>
          <w:rStyle w:val="HideTWBExt"/>
          <w:b w:val="0"/>
          <w:noProof w:val="0"/>
        </w:rPr>
        <w:t>&lt;Article&gt;</w:t>
      </w:r>
      <w:r w:rsidRPr="00992414">
        <w:t>Odôvodnenie 21 a (nové)</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6411" w:rsidRPr="00992414" w14:paraId="56190EE5" w14:textId="77777777" w:rsidTr="00B90B9E">
        <w:trPr>
          <w:jc w:val="center"/>
        </w:trPr>
        <w:tc>
          <w:tcPr>
            <w:tcW w:w="9752" w:type="dxa"/>
            <w:gridSpan w:val="2"/>
          </w:tcPr>
          <w:p w14:paraId="515F7505" w14:textId="77777777" w:rsidR="00F76411" w:rsidRPr="00992414" w:rsidRDefault="00F76411" w:rsidP="00B90B9E">
            <w:pPr>
              <w:keepNext/>
            </w:pPr>
          </w:p>
        </w:tc>
      </w:tr>
      <w:tr w:rsidR="00F76411" w:rsidRPr="00992414" w14:paraId="3299CD7B" w14:textId="77777777" w:rsidTr="00B90B9E">
        <w:trPr>
          <w:jc w:val="center"/>
        </w:trPr>
        <w:tc>
          <w:tcPr>
            <w:tcW w:w="4876" w:type="dxa"/>
            <w:hideMark/>
          </w:tcPr>
          <w:p w14:paraId="1A5D3C03" w14:textId="77777777" w:rsidR="00F76411" w:rsidRPr="00992414" w:rsidRDefault="00F76411" w:rsidP="00B90B9E">
            <w:pPr>
              <w:pStyle w:val="ColumnHeading"/>
              <w:keepNext/>
            </w:pPr>
            <w:r w:rsidRPr="00992414">
              <w:t>Text predložený Komisiou</w:t>
            </w:r>
          </w:p>
        </w:tc>
        <w:tc>
          <w:tcPr>
            <w:tcW w:w="4876" w:type="dxa"/>
            <w:hideMark/>
          </w:tcPr>
          <w:p w14:paraId="05D40A3F" w14:textId="77777777" w:rsidR="00F76411" w:rsidRPr="00992414" w:rsidRDefault="00F76411" w:rsidP="00B90B9E">
            <w:pPr>
              <w:pStyle w:val="ColumnHeading"/>
              <w:keepNext/>
            </w:pPr>
            <w:r w:rsidRPr="00992414">
              <w:t>Pozmeňujúci návrh</w:t>
            </w:r>
          </w:p>
        </w:tc>
      </w:tr>
      <w:tr w:rsidR="00F76411" w:rsidRPr="00992414" w14:paraId="0A1F86AF" w14:textId="77777777" w:rsidTr="000A1F9C">
        <w:trPr>
          <w:jc w:val="center"/>
        </w:trPr>
        <w:tc>
          <w:tcPr>
            <w:tcW w:w="4876" w:type="dxa"/>
          </w:tcPr>
          <w:p w14:paraId="516CC32C" w14:textId="05516960" w:rsidR="00F76411" w:rsidRPr="00992414" w:rsidRDefault="00F76411" w:rsidP="00AB11F3">
            <w:pPr>
              <w:pStyle w:val="Normal6"/>
            </w:pPr>
          </w:p>
        </w:tc>
        <w:tc>
          <w:tcPr>
            <w:tcW w:w="4876" w:type="dxa"/>
            <w:hideMark/>
          </w:tcPr>
          <w:p w14:paraId="54884081" w14:textId="561D2499" w:rsidR="00F76411" w:rsidRPr="00992414" w:rsidRDefault="00F76411" w:rsidP="00333105">
            <w:pPr>
              <w:pStyle w:val="Normal6"/>
              <w:rPr>
                <w:b/>
                <w:i/>
                <w:szCs w:val="24"/>
              </w:rPr>
            </w:pPr>
            <w:r w:rsidRPr="00992414">
              <w:rPr>
                <w:b/>
                <w:i/>
              </w:rPr>
              <w:t>(21a)</w:t>
            </w:r>
            <w:r w:rsidRPr="00992414">
              <w:rPr>
                <w:b/>
                <w:i/>
              </w:rPr>
              <w:tab/>
              <w:t xml:space="preserve">S cieľom ďalej posilniť spoluprácu medzi finančnými spravodajskými jednotkami by Komisia mala posúdiť vhodnosť zriadenia finančnej spravodajskej jednotky Únie a v prípade potreby predložiť legislatívny návrh. </w:t>
            </w:r>
          </w:p>
        </w:tc>
      </w:tr>
    </w:tbl>
    <w:p w14:paraId="767E97AD" w14:textId="77777777" w:rsidR="00F76411" w:rsidRPr="00992414" w:rsidRDefault="00F76411" w:rsidP="00F76411">
      <w:r w:rsidRPr="00992414">
        <w:rPr>
          <w:rStyle w:val="HideTWBExt"/>
          <w:noProof w:val="0"/>
        </w:rPr>
        <w:t>&lt;/Amend&gt;</w:t>
      </w:r>
    </w:p>
    <w:p w14:paraId="47EAA2A9" w14:textId="441E4444"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15</w:t>
      </w:r>
      <w:r w:rsidRPr="00992414">
        <w:rPr>
          <w:rStyle w:val="HideTWBExt"/>
          <w:b w:val="0"/>
          <w:noProof w:val="0"/>
        </w:rPr>
        <w:t>&lt;/NumAm&gt;</w:t>
      </w:r>
    </w:p>
    <w:p w14:paraId="0F6F10D4"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32E549EB" w14:textId="77777777" w:rsidR="00376950" w:rsidRPr="00992414" w:rsidRDefault="00376950" w:rsidP="00376950">
      <w:pPr>
        <w:pStyle w:val="NormalBold"/>
      </w:pPr>
      <w:r w:rsidRPr="00992414">
        <w:rPr>
          <w:rStyle w:val="HideTWBExt"/>
          <w:b w:val="0"/>
          <w:noProof w:val="0"/>
        </w:rPr>
        <w:t>&lt;Article&gt;</w:t>
      </w:r>
      <w:r w:rsidRPr="00992414">
        <w:t>Odôvodnenie 23</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4D9B59BA" w14:textId="77777777" w:rsidTr="00376950">
        <w:trPr>
          <w:jc w:val="center"/>
        </w:trPr>
        <w:tc>
          <w:tcPr>
            <w:tcW w:w="9752" w:type="dxa"/>
            <w:gridSpan w:val="2"/>
          </w:tcPr>
          <w:p w14:paraId="215178FE" w14:textId="77777777" w:rsidR="00376950" w:rsidRPr="00992414" w:rsidRDefault="00376950">
            <w:pPr>
              <w:keepNext/>
            </w:pPr>
          </w:p>
        </w:tc>
      </w:tr>
      <w:tr w:rsidR="00376950" w:rsidRPr="00992414" w14:paraId="001790E1" w14:textId="77777777" w:rsidTr="00376950">
        <w:trPr>
          <w:jc w:val="center"/>
        </w:trPr>
        <w:tc>
          <w:tcPr>
            <w:tcW w:w="4876" w:type="dxa"/>
            <w:hideMark/>
          </w:tcPr>
          <w:p w14:paraId="5BCE09EA" w14:textId="77777777" w:rsidR="00376950" w:rsidRPr="00992414" w:rsidRDefault="00376950">
            <w:pPr>
              <w:pStyle w:val="ColumnHeading"/>
              <w:keepNext/>
            </w:pPr>
            <w:r w:rsidRPr="00992414">
              <w:t>Text predložený Komisiou</w:t>
            </w:r>
          </w:p>
        </w:tc>
        <w:tc>
          <w:tcPr>
            <w:tcW w:w="4876" w:type="dxa"/>
            <w:hideMark/>
          </w:tcPr>
          <w:p w14:paraId="0A5F2B94" w14:textId="77777777" w:rsidR="00376950" w:rsidRPr="00992414" w:rsidRDefault="00376950">
            <w:pPr>
              <w:pStyle w:val="ColumnHeading"/>
              <w:keepNext/>
            </w:pPr>
            <w:r w:rsidRPr="00992414">
              <w:t>Pozmeňujúci návrh</w:t>
            </w:r>
          </w:p>
        </w:tc>
      </w:tr>
      <w:tr w:rsidR="00376950" w:rsidRPr="00992414" w14:paraId="2A1AC777" w14:textId="77777777" w:rsidTr="00376950">
        <w:trPr>
          <w:jc w:val="center"/>
        </w:trPr>
        <w:tc>
          <w:tcPr>
            <w:tcW w:w="4876" w:type="dxa"/>
            <w:hideMark/>
          </w:tcPr>
          <w:p w14:paraId="231DBF7D" w14:textId="77777777" w:rsidR="00376950" w:rsidRPr="00992414" w:rsidRDefault="00376950">
            <w:pPr>
              <w:pStyle w:val="Normal6"/>
            </w:pPr>
            <w:r w:rsidRPr="00992414">
              <w:t>(23)</w:t>
            </w:r>
            <w:r w:rsidRPr="00992414">
              <w:tab/>
              <w:t>Vzhľadom na to, že pohyby peňažných prostriedkov v hotovosti podliehajúce kontrolám podľa tohto nariadenia sa uskutočňujú cez vonkajšiu hranicu, a vzhľadom na to, že pre orgány je zložité konať, keď peňažné prostriedky v hotovosti opustia miesto vstupu alebo výstupu a na riziko spojené s nezákonným použitím hoci aj malých súm, by príslušné orgány mali mať možnosť dočasne zhabať a zadržať peňažné prostriedky v hotovosti za určitých okolností pod podmienkou, že existuje systém bŕzd a protiváh: po prvé, ak sa nesplnila oznamovacia povinnosť alebo povinnosť povinného oznámenia, a po druhé, ak existuje podozrenie z trestnej činnosti</w:t>
            </w:r>
            <w:r w:rsidRPr="00992414">
              <w:rPr>
                <w:b/>
                <w:i/>
              </w:rPr>
              <w:t xml:space="preserve"> bez ohľadu na sumu alebo na to, či peňažné prostriedky v hotovosti prepravuje fyzická osoba alebo sú bez sprievodu</w:t>
            </w:r>
            <w:r w:rsidRPr="00992414">
              <w:t xml:space="preserve">. Vzhľadom na povahu takéhoto dočasného zhabania a zadržania a na vplyv, aký by mohlo mať na slobodu pohybu a vlastnícke právo, by sa trvanie zadržania malo obmedziť na absolútne najkratší čas, ktorý iné príslušné orgány potrebujú, aby stanovili, či existuje dôvod na ďalšiu intervenciu ako vyšetrovanie alebo zhabanie peňažných prostriedkov v hotovosti na základe iných právnych nástrojov. Rozhodnutie dočasne zadržať peňažné prostriedky v hotovosti podľa tohto nariadenia by malo sprevádzať odôvodnenie a mali by sa v ňom primerane opisovať špecifické okolnosti, ktoré opatrenie podmienili. Ak sa do konca časovej lehoty neprijme žiadne rozhodnutie vo veci ďalších opatrení alebo ak príslušné orgány rozhodnú, že neexistuje opodstatnenie pre dlhšie zadržiavanie peňažných prostriedkov v hotovosti, mali by sa bezodkladne </w:t>
            </w:r>
            <w:r w:rsidRPr="00992414">
              <w:rPr>
                <w:b/>
                <w:i/>
              </w:rPr>
              <w:t>poskytnúť deklarantovi</w:t>
            </w:r>
            <w:r w:rsidRPr="00992414">
              <w:t>.</w:t>
            </w:r>
          </w:p>
        </w:tc>
        <w:tc>
          <w:tcPr>
            <w:tcW w:w="4876" w:type="dxa"/>
            <w:hideMark/>
          </w:tcPr>
          <w:p w14:paraId="4747D748" w14:textId="6FCB16F5" w:rsidR="00376950" w:rsidRPr="00992414" w:rsidRDefault="00376950" w:rsidP="0049517C">
            <w:pPr>
              <w:pStyle w:val="Normal6"/>
              <w:rPr>
                <w:szCs w:val="24"/>
              </w:rPr>
            </w:pPr>
            <w:r w:rsidRPr="00992414">
              <w:t>(23)</w:t>
            </w:r>
            <w:r w:rsidRPr="00992414">
              <w:tab/>
              <w:t xml:space="preserve">Vzhľadom na to, že pohyby peňažných prostriedkov v hotovosti podliehajúce kontrolám podľa tohto nariadenia sa uskutočňujú cez vonkajšiu hranicu, a vzhľadom na to, že pre orgány je zložité konať, keď peňažné prostriedky v hotovosti opustia miesto vstupu alebo výstupu a na riziko spojené s nezákonným použitím hoci aj malých súm, by príslušné orgány mali mať možnosť dočasne zhabať a zadržať peňažné prostriedky v hotovosti za určitých okolností pod podmienkou, že existuje systém bŕzd a protiváh: po prvé, ak sa nesplnila oznamovacia povinnosť alebo povinnosť povinného oznámenia, a po druhé, ak existuje podozrenie z trestnej činnosti. Vzhľadom na povahu takéhoto dočasného zhabania a zadržania a na vplyv, aký by mohlo mať na slobodu pohybu a vlastnícke právo, by sa trvanie zadržania malo obmedziť na absolútne najkratší čas, ktorý iné príslušné orgány potrebujú, aby stanovili, či existuje dôvod na ďalšiu intervenciu ako vyšetrovanie alebo zhabanie peňažných prostriedkov v hotovosti na základe iných právnych nástrojov. </w:t>
            </w:r>
            <w:r w:rsidRPr="00992414">
              <w:rPr>
                <w:b/>
                <w:i/>
              </w:rPr>
              <w:t xml:space="preserve">Fyzickým osobám, ktorým boli dočasne zhabané a zadržané peňažné prostriedky v hotovosti, by sa v prípade, že to pre ne predstavuje neprimerané ťažkosti, mala ponúknuť možnosť ponechať si minimálny objem peňažných prostriedkov v hotovosti, ak je to so zreteľom na typ zhabaných a zadržaných peňažných prostriedkov v hotovosti možné, aby si mohli obstarať jedlo, vodu a prístrešie. </w:t>
            </w:r>
            <w:r w:rsidRPr="00992414">
              <w:t xml:space="preserve">Rozhodnutie dočasne zadržať peňažné prostriedky v hotovosti podľa tohto nariadenia by malo sprevádzať odôvodnenie a mali by sa v ňom primerane opisovať špecifické okolnosti, ktoré opatrenie podmienili. Ak sa do konca časovej lehoty neprijme žiadne rozhodnutie vo veci ďalších opatrení alebo ak príslušné orgány rozhodnú, že neexistuje opodstatnenie pre dlhšie zadržiavanie peňažných prostriedkov v hotovosti, mali by sa bezodkladne </w:t>
            </w:r>
            <w:r w:rsidRPr="00992414">
              <w:rPr>
                <w:b/>
                <w:i/>
              </w:rPr>
              <w:t>sprístupniť príslušnej zainteresovanej strane</w:t>
            </w:r>
            <w:r w:rsidRPr="00992414">
              <w:t>.</w:t>
            </w:r>
          </w:p>
        </w:tc>
      </w:tr>
    </w:tbl>
    <w:p w14:paraId="4C2C83BC" w14:textId="77777777" w:rsidR="00376950" w:rsidRPr="00992414" w:rsidRDefault="00376950" w:rsidP="00376950">
      <w:r w:rsidRPr="00992414">
        <w:rPr>
          <w:rStyle w:val="HideTWBExt"/>
          <w:noProof w:val="0"/>
        </w:rPr>
        <w:t>&lt;/Amend&gt;</w:t>
      </w:r>
    </w:p>
    <w:p w14:paraId="09F1168D" w14:textId="04747AEF" w:rsidR="00FE337D" w:rsidRPr="00992414" w:rsidRDefault="00FF635F" w:rsidP="0073214C">
      <w:r w:rsidRPr="00992414">
        <w:t xml:space="preserve"> </w:t>
      </w:r>
      <w:r w:rsidRPr="00992414">
        <w:rPr>
          <w:rStyle w:val="HideTWBExt"/>
          <w:noProof w:val="0"/>
        </w:rPr>
        <w:t>&lt;AmendB&gt;</w:t>
      </w:r>
      <w:r w:rsidRPr="00992414">
        <w:t>Pozmeňujúci návrh</w:t>
      </w:r>
      <w:r w:rsidRPr="00992414">
        <w:rPr>
          <w:rStyle w:val="HideTWBExt"/>
          <w:noProof w:val="0"/>
        </w:rPr>
        <w:t>&lt;NumAmB&gt;</w:t>
      </w:r>
      <w:r w:rsidRPr="00992414">
        <w:rPr>
          <w:b/>
          <w:color w:val="000000"/>
        </w:rPr>
        <w:t>16</w:t>
      </w:r>
      <w:r w:rsidRPr="00992414">
        <w:rPr>
          <w:rStyle w:val="HideTWBExt"/>
          <w:noProof w:val="0"/>
        </w:rPr>
        <w:t>&lt;/NumAmB&gt;</w:t>
      </w:r>
    </w:p>
    <w:p w14:paraId="00FAE7AF" w14:textId="77777777" w:rsidR="00FE337D" w:rsidRPr="00992414" w:rsidRDefault="00FE337D" w:rsidP="00FE337D">
      <w:pPr>
        <w:pStyle w:val="NormalBold12b"/>
      </w:pPr>
      <w:r w:rsidRPr="00992414">
        <w:rPr>
          <w:rStyle w:val="HideTWBExt"/>
          <w:b w:val="0"/>
          <w:noProof w:val="0"/>
        </w:rPr>
        <w:t>&lt;DocAmend&gt;</w:t>
      </w:r>
      <w:r w:rsidRPr="00992414">
        <w:t>Návrh nariadenia</w:t>
      </w:r>
      <w:r w:rsidRPr="00992414">
        <w:rPr>
          <w:rStyle w:val="HideTWBExt"/>
          <w:b w:val="0"/>
          <w:noProof w:val="0"/>
        </w:rPr>
        <w:t>&lt;/DocAmend&gt;</w:t>
      </w:r>
    </w:p>
    <w:p w14:paraId="3496CA7D" w14:textId="77777777" w:rsidR="00FE337D" w:rsidRPr="00992414" w:rsidRDefault="00FE337D" w:rsidP="00FE337D">
      <w:pPr>
        <w:pStyle w:val="NormalBold"/>
      </w:pPr>
      <w:r w:rsidRPr="00992414">
        <w:rPr>
          <w:rStyle w:val="HideTWBExt"/>
          <w:b w:val="0"/>
          <w:noProof w:val="0"/>
        </w:rPr>
        <w:t>&lt;Article&gt;</w:t>
      </w:r>
      <w:r w:rsidRPr="00992414">
        <w:t>Odôvodnenie 24</w:t>
      </w:r>
      <w:r w:rsidRPr="0099241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337D" w:rsidRPr="00992414" w14:paraId="78AFF55F" w14:textId="77777777" w:rsidTr="00245FBF">
        <w:trPr>
          <w:jc w:val="center"/>
        </w:trPr>
        <w:tc>
          <w:tcPr>
            <w:tcW w:w="9752" w:type="dxa"/>
            <w:gridSpan w:val="2"/>
          </w:tcPr>
          <w:p w14:paraId="17E2F3CE" w14:textId="77777777" w:rsidR="00FE337D" w:rsidRPr="00992414" w:rsidRDefault="00FE337D" w:rsidP="00245FBF">
            <w:pPr>
              <w:keepNext/>
            </w:pPr>
          </w:p>
        </w:tc>
      </w:tr>
      <w:tr w:rsidR="00FE337D" w:rsidRPr="00992414" w14:paraId="037A9DE9" w14:textId="77777777" w:rsidTr="00245FBF">
        <w:trPr>
          <w:jc w:val="center"/>
        </w:trPr>
        <w:tc>
          <w:tcPr>
            <w:tcW w:w="4876" w:type="dxa"/>
          </w:tcPr>
          <w:p w14:paraId="1165234E" w14:textId="77777777" w:rsidR="00FE337D" w:rsidRPr="00992414" w:rsidRDefault="00FE337D" w:rsidP="00245FBF">
            <w:pPr>
              <w:pStyle w:val="ColumnHeading"/>
              <w:keepNext/>
            </w:pPr>
            <w:r w:rsidRPr="00992414">
              <w:t>Text predložený Komisiou</w:t>
            </w:r>
          </w:p>
        </w:tc>
        <w:tc>
          <w:tcPr>
            <w:tcW w:w="4876" w:type="dxa"/>
          </w:tcPr>
          <w:p w14:paraId="700824D9" w14:textId="77777777" w:rsidR="00FE337D" w:rsidRPr="00992414" w:rsidRDefault="00FE337D" w:rsidP="00245FBF">
            <w:pPr>
              <w:pStyle w:val="ColumnHeading"/>
              <w:keepNext/>
            </w:pPr>
            <w:r w:rsidRPr="00992414">
              <w:t>Pozmeňujúci návrh</w:t>
            </w:r>
          </w:p>
        </w:tc>
      </w:tr>
      <w:tr w:rsidR="00FE337D" w:rsidRPr="00992414" w14:paraId="13EC9DF5" w14:textId="77777777" w:rsidTr="00245FBF">
        <w:trPr>
          <w:jc w:val="center"/>
        </w:trPr>
        <w:tc>
          <w:tcPr>
            <w:tcW w:w="4876" w:type="dxa"/>
          </w:tcPr>
          <w:p w14:paraId="1208978A" w14:textId="77777777" w:rsidR="00FE337D" w:rsidRPr="00992414" w:rsidRDefault="00FE337D" w:rsidP="00245FBF">
            <w:pPr>
              <w:pStyle w:val="Normal6"/>
            </w:pPr>
            <w:r w:rsidRPr="00992414">
              <w:t>(24)</w:t>
            </w:r>
            <w:r w:rsidRPr="00992414">
              <w:tab/>
              <w:t>Je zásadné, aby príslušné orgány, ktoré zbierajú informácie v</w:t>
            </w:r>
            <w:r w:rsidRPr="00992414">
              <w:rPr>
                <w:b/>
                <w:i/>
              </w:rPr>
              <w:t xml:space="preserve"> </w:t>
            </w:r>
            <w:r w:rsidRPr="00992414">
              <w:t>súlade s</w:t>
            </w:r>
            <w:r w:rsidRPr="00992414">
              <w:rPr>
                <w:b/>
                <w:i/>
              </w:rPr>
              <w:t xml:space="preserve"> </w:t>
            </w:r>
            <w:r w:rsidRPr="00992414">
              <w:t xml:space="preserve">týmto nariadením včas poskytovali tieto informácie vnútroštátnej finančnej spravodajskej jednotke, </w:t>
            </w:r>
            <w:r w:rsidRPr="00992414">
              <w:rPr>
                <w:b/>
                <w:i/>
              </w:rPr>
              <w:t>aby jej</w:t>
            </w:r>
            <w:r w:rsidRPr="00992414">
              <w:t xml:space="preserve"> tak umožnili </w:t>
            </w:r>
            <w:r w:rsidRPr="00992414">
              <w:rPr>
                <w:b/>
                <w:i/>
              </w:rPr>
              <w:t xml:space="preserve">ich </w:t>
            </w:r>
            <w:r w:rsidRPr="00992414">
              <w:t>ďalšiu analýzu a porovnanie s</w:t>
            </w:r>
            <w:r w:rsidRPr="00992414">
              <w:rPr>
                <w:b/>
                <w:i/>
              </w:rPr>
              <w:t xml:space="preserve"> </w:t>
            </w:r>
            <w:r w:rsidRPr="00992414">
              <w:t xml:space="preserve">inými údajmi, ako </w:t>
            </w:r>
            <w:r w:rsidRPr="00992414">
              <w:rPr>
                <w:b/>
                <w:i/>
              </w:rPr>
              <w:t>sa predpokladá</w:t>
            </w:r>
            <w:r w:rsidRPr="00992414">
              <w:t xml:space="preserve"> v</w:t>
            </w:r>
            <w:r w:rsidRPr="00992414">
              <w:rPr>
                <w:b/>
                <w:i/>
              </w:rPr>
              <w:t xml:space="preserve"> </w:t>
            </w:r>
            <w:r w:rsidRPr="00992414">
              <w:t xml:space="preserve">smernici (EÚ) </w:t>
            </w:r>
            <w:r w:rsidRPr="00992414">
              <w:rPr>
                <w:b/>
                <w:i/>
              </w:rPr>
              <w:t>2015/849.</w:t>
            </w:r>
          </w:p>
        </w:tc>
        <w:tc>
          <w:tcPr>
            <w:tcW w:w="4876" w:type="dxa"/>
          </w:tcPr>
          <w:p w14:paraId="6EAA3CD5" w14:textId="59BBB188" w:rsidR="00FE337D" w:rsidRPr="00992414" w:rsidRDefault="00FE337D" w:rsidP="005070BC">
            <w:pPr>
              <w:pStyle w:val="Normal6"/>
              <w:rPr>
                <w:szCs w:val="24"/>
              </w:rPr>
            </w:pPr>
            <w:r w:rsidRPr="00992414">
              <w:t>(24)</w:t>
            </w:r>
            <w:r w:rsidRPr="00992414">
              <w:tab/>
              <w:t>Je zásadné, aby príslušné orgány, ktoré zbierajú informácie v</w:t>
            </w:r>
            <w:r w:rsidRPr="00992414">
              <w:rPr>
                <w:b/>
                <w:i/>
              </w:rPr>
              <w:t> </w:t>
            </w:r>
            <w:r w:rsidRPr="00992414">
              <w:t>súlade s</w:t>
            </w:r>
            <w:r w:rsidRPr="00992414">
              <w:rPr>
                <w:b/>
                <w:i/>
              </w:rPr>
              <w:t> </w:t>
            </w:r>
            <w:r w:rsidRPr="00992414">
              <w:t xml:space="preserve">týmto nariadením včas poskytovali tieto informácie vnútroštátnej finančnej spravodajskej jednotke, </w:t>
            </w:r>
            <w:r w:rsidRPr="00992414">
              <w:rPr>
                <w:b/>
                <w:i/>
              </w:rPr>
              <w:t>ktorá by ich mala bezodkladne sprístupniť finančným spravodajským jednotkám iných členských štátov, aby</w:t>
            </w:r>
            <w:r w:rsidRPr="00992414">
              <w:t xml:space="preserve"> tak</w:t>
            </w:r>
            <w:r w:rsidRPr="00992414">
              <w:rPr>
                <w:b/>
                <w:i/>
              </w:rPr>
              <w:t xml:space="preserve"> finančným spravodajským jednotkám</w:t>
            </w:r>
            <w:r w:rsidRPr="00992414">
              <w:t xml:space="preserve"> umožnili ďalšiu analýzu a porovnanie</w:t>
            </w:r>
            <w:r w:rsidRPr="00992414">
              <w:rPr>
                <w:b/>
                <w:i/>
              </w:rPr>
              <w:t> týchto informácií</w:t>
            </w:r>
            <w:r w:rsidRPr="00992414">
              <w:t xml:space="preserve"> s</w:t>
            </w:r>
            <w:r w:rsidRPr="00992414">
              <w:rPr>
                <w:b/>
                <w:i/>
              </w:rPr>
              <w:t> </w:t>
            </w:r>
            <w:r w:rsidRPr="00992414">
              <w:t xml:space="preserve">inými údajmi, ako </w:t>
            </w:r>
            <w:r w:rsidRPr="00992414">
              <w:rPr>
                <w:b/>
                <w:i/>
              </w:rPr>
              <w:t>je stanovené</w:t>
            </w:r>
            <w:r w:rsidRPr="00992414">
              <w:t xml:space="preserve"> v</w:t>
            </w:r>
            <w:r w:rsidRPr="00992414">
              <w:rPr>
                <w:b/>
                <w:i/>
              </w:rPr>
              <w:t> </w:t>
            </w:r>
            <w:r w:rsidRPr="00992414">
              <w:t>smernici (EÚ)</w:t>
            </w:r>
            <w:r w:rsidRPr="00992414">
              <w:rPr>
                <w:b/>
                <w:i/>
              </w:rPr>
              <w:t xml:space="preserve">. </w:t>
            </w:r>
            <w:r w:rsidRPr="00992414">
              <w:t>2015/849</w:t>
            </w:r>
            <w:r w:rsidRPr="00992414">
              <w:rPr>
                <w:b/>
                <w:i/>
              </w:rPr>
              <w:t>.</w:t>
            </w:r>
          </w:p>
        </w:tc>
      </w:tr>
    </w:tbl>
    <w:p w14:paraId="77748D1A" w14:textId="77777777" w:rsidR="00FE337D" w:rsidRPr="00992414" w:rsidRDefault="00FE337D" w:rsidP="00FE337D">
      <w:r w:rsidRPr="00992414">
        <w:rPr>
          <w:rStyle w:val="HideTWBExt"/>
          <w:noProof w:val="0"/>
        </w:rPr>
        <w:t>&lt;/AmendB&gt;</w:t>
      </w:r>
    </w:p>
    <w:p w14:paraId="439E0BF7" w14:textId="7937F317"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17</w:t>
      </w:r>
      <w:r w:rsidRPr="00992414">
        <w:rPr>
          <w:rStyle w:val="HideTWBExt"/>
          <w:b w:val="0"/>
          <w:noProof w:val="0"/>
        </w:rPr>
        <w:t>&lt;/NumAm&gt;</w:t>
      </w:r>
    </w:p>
    <w:p w14:paraId="213DCF76"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5B4C9557" w14:textId="77777777" w:rsidR="00376950" w:rsidRPr="00992414" w:rsidRDefault="00376950" w:rsidP="00376950">
      <w:pPr>
        <w:pStyle w:val="NormalBold"/>
      </w:pPr>
      <w:r w:rsidRPr="00992414">
        <w:rPr>
          <w:rStyle w:val="HideTWBExt"/>
          <w:b w:val="0"/>
          <w:noProof w:val="0"/>
        </w:rPr>
        <w:t>&lt;Article&gt;</w:t>
      </w:r>
      <w:r w:rsidRPr="00992414">
        <w:t>Odôvodnenie 25</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33DFC6F8" w14:textId="77777777" w:rsidTr="00376950">
        <w:trPr>
          <w:jc w:val="center"/>
        </w:trPr>
        <w:tc>
          <w:tcPr>
            <w:tcW w:w="9752" w:type="dxa"/>
            <w:gridSpan w:val="2"/>
          </w:tcPr>
          <w:p w14:paraId="240A22A5" w14:textId="77777777" w:rsidR="00376950" w:rsidRPr="00992414" w:rsidRDefault="00376950">
            <w:pPr>
              <w:keepNext/>
            </w:pPr>
          </w:p>
        </w:tc>
      </w:tr>
      <w:tr w:rsidR="00376950" w:rsidRPr="00992414" w14:paraId="7ABED778" w14:textId="77777777" w:rsidTr="00376950">
        <w:trPr>
          <w:jc w:val="center"/>
        </w:trPr>
        <w:tc>
          <w:tcPr>
            <w:tcW w:w="4876" w:type="dxa"/>
            <w:hideMark/>
          </w:tcPr>
          <w:p w14:paraId="2AE0E652" w14:textId="77777777" w:rsidR="00376950" w:rsidRPr="00992414" w:rsidRDefault="00376950">
            <w:pPr>
              <w:pStyle w:val="ColumnHeading"/>
              <w:keepNext/>
            </w:pPr>
            <w:r w:rsidRPr="00992414">
              <w:t>Text predložený Komisiou</w:t>
            </w:r>
          </w:p>
        </w:tc>
        <w:tc>
          <w:tcPr>
            <w:tcW w:w="4876" w:type="dxa"/>
            <w:hideMark/>
          </w:tcPr>
          <w:p w14:paraId="10F0A38B" w14:textId="77777777" w:rsidR="00376950" w:rsidRPr="00992414" w:rsidRDefault="00376950">
            <w:pPr>
              <w:pStyle w:val="ColumnHeading"/>
              <w:keepNext/>
            </w:pPr>
            <w:r w:rsidRPr="00992414">
              <w:t>Pozmeňujúci návrh</w:t>
            </w:r>
          </w:p>
        </w:tc>
      </w:tr>
      <w:tr w:rsidR="00376950" w:rsidRPr="00992414" w14:paraId="0AD1D0A4" w14:textId="77777777" w:rsidTr="00376950">
        <w:trPr>
          <w:jc w:val="center"/>
        </w:trPr>
        <w:tc>
          <w:tcPr>
            <w:tcW w:w="4876" w:type="dxa"/>
            <w:hideMark/>
          </w:tcPr>
          <w:p w14:paraId="065D1DD8" w14:textId="77777777" w:rsidR="00376950" w:rsidRPr="00992414" w:rsidRDefault="00376950">
            <w:pPr>
              <w:pStyle w:val="Normal6"/>
            </w:pPr>
            <w:r w:rsidRPr="00992414">
              <w:t>(25)</w:t>
            </w:r>
            <w:r w:rsidRPr="00992414">
              <w:tab/>
              <w:t xml:space="preserve">Príslušné orgány by v prípadoch, v ktorých zaznamenajú nesplnenie oznamovacej povinnosti alebo povinnosti povinného oznámenia, alebo v ktorých existuje podozrenie z trestnej činnosti, mali </w:t>
            </w:r>
            <w:r w:rsidRPr="00992414">
              <w:rPr>
                <w:b/>
                <w:i/>
              </w:rPr>
              <w:t>mať možnosť</w:t>
            </w:r>
            <w:r w:rsidRPr="00992414">
              <w:t xml:space="preserve"> poskytnúť prostredníctvom vhodných kanálov tieto informácie orgánom zodpovedným za boj proti predmetnej trestnej činnosti. Takáto výmena údajov je primeraná, vzhľadom na to, že páchatelia, ktorí porušili oznamovaciu povinnosť a boli zadržaní v jednom z členských štátov, si na vstup do Únie alebo výstup z nej pravdepodobne vyberú iný členský štát, ktorého príslušné orgány si nie sú vedomé ich predošlých priestupkov. Výmena týchto informácií by s cieľom zabezpečiť jednotné uplatňovanie vo všetkých členských štátov mala byť povinná. V</w:t>
            </w:r>
            <w:r w:rsidRPr="00992414">
              <w:rPr>
                <w:b/>
                <w:i/>
              </w:rPr>
              <w:t xml:space="preserve"> </w:t>
            </w:r>
            <w:r w:rsidRPr="00992414">
              <w:t>prípade, že existuje podozrenie, že peňažné prostriedky v</w:t>
            </w:r>
            <w:r w:rsidRPr="00992414">
              <w:rPr>
                <w:b/>
                <w:i/>
              </w:rPr>
              <w:t xml:space="preserve"> </w:t>
            </w:r>
            <w:r w:rsidRPr="00992414">
              <w:t>hotovosti súvisia s</w:t>
            </w:r>
            <w:r w:rsidRPr="00992414">
              <w:rPr>
                <w:b/>
                <w:i/>
              </w:rPr>
              <w:t xml:space="preserve"> </w:t>
            </w:r>
            <w:r w:rsidRPr="00992414">
              <w:t>trestnou činnosťou, ktorá by mohla mať nepriaznivý dosah na finančné záujmy Únie, informácie by mali byť takisto sprístupnené Komisii. S cieľom lepšie dosiahnuť preventívne a odrádzajúce ciele tohto nariadenia čo sa týka obchádzania oznamovacej povinnosti by si členské štáty a Komisia mali povinne vymieňať anonymizované informácie o riziku a výsledky analýz rizika.</w:t>
            </w:r>
          </w:p>
        </w:tc>
        <w:tc>
          <w:tcPr>
            <w:tcW w:w="4876" w:type="dxa"/>
            <w:hideMark/>
          </w:tcPr>
          <w:p w14:paraId="3D4E95B3" w14:textId="109CCB77" w:rsidR="00376950" w:rsidRPr="00992414" w:rsidRDefault="00376950" w:rsidP="0055022C">
            <w:pPr>
              <w:pStyle w:val="Normal6"/>
              <w:rPr>
                <w:szCs w:val="24"/>
              </w:rPr>
            </w:pPr>
            <w:r w:rsidRPr="00992414">
              <w:t>(25)</w:t>
            </w:r>
            <w:r w:rsidRPr="00992414">
              <w:tab/>
              <w:t xml:space="preserve">Príslušné orgány by v prípadoch, v ktorých zaznamenajú nesplnenie oznamovacej povinnosti alebo povinnosti povinného oznámenia, alebo v ktorých existuje podozrenie z trestnej činnosti, mali </w:t>
            </w:r>
            <w:r w:rsidRPr="00992414">
              <w:rPr>
                <w:b/>
                <w:i/>
              </w:rPr>
              <w:t>urýchlene</w:t>
            </w:r>
            <w:r w:rsidRPr="00992414">
              <w:t xml:space="preserve"> poskytnúť prostredníctvom vhodných kanálov tieto informácie orgánom</w:t>
            </w:r>
            <w:r w:rsidRPr="00992414">
              <w:rPr>
                <w:b/>
                <w:i/>
              </w:rPr>
              <w:t xml:space="preserve"> iných členských štátov</w:t>
            </w:r>
            <w:r w:rsidRPr="00992414">
              <w:t xml:space="preserve"> zodpovedným za boj proti predmetnej trestnej činnosti. Takáto výmena údajov je primeraná, vzhľadom na to, že páchatelia, ktorí porušili oznamovaciu povinnosť a boli zadržaní v jednom z členských štátov, si na vstup do Únie alebo výstup z nej pravdepodobne vyberú iný členský štát, ktorého príslušné orgány si nie sú vedomé ich predošlých priestupkov. Výmena týchto informácií by s cieľom zabezpečiť jednotné uplatňovanie vo všetkých členských štátov mala byť povinná. V</w:t>
            </w:r>
            <w:r w:rsidRPr="00992414">
              <w:rPr>
                <w:b/>
                <w:i/>
              </w:rPr>
              <w:t> </w:t>
            </w:r>
            <w:r w:rsidRPr="00992414">
              <w:t>prípade, že existuje podozrenie, že peňažné prostriedky v</w:t>
            </w:r>
            <w:r w:rsidRPr="00992414">
              <w:rPr>
                <w:b/>
                <w:i/>
              </w:rPr>
              <w:t> </w:t>
            </w:r>
            <w:r w:rsidRPr="00992414">
              <w:t>hotovosti súvisia s</w:t>
            </w:r>
            <w:r w:rsidRPr="00992414">
              <w:rPr>
                <w:b/>
                <w:i/>
              </w:rPr>
              <w:t> </w:t>
            </w:r>
            <w:r w:rsidRPr="00992414">
              <w:t>trestnou činnosťou, ktorá by mohla mať nepriaznivý dosah na finančné záujmy Únie, informácie by mali byť takisto sprístupnené Komisii</w:t>
            </w:r>
            <w:r w:rsidRPr="00992414">
              <w:rPr>
                <w:b/>
                <w:i/>
              </w:rPr>
              <w:t xml:space="preserve"> a Európskej prokuratúre</w:t>
            </w:r>
            <w:r w:rsidRPr="00992414">
              <w:t>. S cieľom lepšie dosiahnuť preventívne a odrádzajúce ciele tohto nariadenia čo sa týka obchádzania oznamovacej povinnosti by si členské štáty a Komisia</w:t>
            </w:r>
            <w:r w:rsidRPr="00992414">
              <w:rPr>
                <w:b/>
                <w:i/>
              </w:rPr>
              <w:t xml:space="preserve"> v súlade s normami stanovenými vo vykonávacích aktoch, ktoré sa prijmú podľa tohto nariadenia,</w:t>
            </w:r>
            <w:r w:rsidRPr="00992414">
              <w:t xml:space="preserve"> mali povinne vymieňať anonymizované informácie o riziku a výsledky analýz rizika.</w:t>
            </w:r>
          </w:p>
        </w:tc>
      </w:tr>
    </w:tbl>
    <w:p w14:paraId="185B6423" w14:textId="77777777" w:rsidR="00376950" w:rsidRPr="00992414" w:rsidRDefault="00376950" w:rsidP="00376950">
      <w:r w:rsidRPr="00992414">
        <w:rPr>
          <w:rStyle w:val="HideTWBExt"/>
          <w:noProof w:val="0"/>
        </w:rPr>
        <w:t>&lt;/Amend&gt;</w:t>
      </w:r>
    </w:p>
    <w:p w14:paraId="7D1E82B6" w14:textId="7275BC8D" w:rsidR="001611F8" w:rsidRPr="00992414" w:rsidRDefault="001611F8" w:rsidP="001611F8">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18</w:t>
      </w:r>
      <w:r w:rsidRPr="00992414">
        <w:rPr>
          <w:rStyle w:val="HideTWBExt"/>
          <w:b w:val="0"/>
          <w:noProof w:val="0"/>
        </w:rPr>
        <w:t>&lt;/NumAm&gt;</w:t>
      </w:r>
    </w:p>
    <w:p w14:paraId="16897229" w14:textId="77777777" w:rsidR="001611F8" w:rsidRPr="00992414" w:rsidRDefault="001611F8" w:rsidP="001611F8">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31ED540E" w14:textId="3685B4F5" w:rsidR="001611F8" w:rsidRPr="00992414" w:rsidRDefault="001611F8" w:rsidP="001611F8">
      <w:pPr>
        <w:pStyle w:val="NormalBold"/>
      </w:pPr>
      <w:r w:rsidRPr="00992414">
        <w:rPr>
          <w:rStyle w:val="HideTWBExt"/>
          <w:b w:val="0"/>
          <w:noProof w:val="0"/>
        </w:rPr>
        <w:t>&lt;Article&gt;</w:t>
      </w:r>
      <w:r w:rsidRPr="00992414">
        <w:t>Odôvodnenie 25 a (nové)</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11F8" w:rsidRPr="00992414" w14:paraId="3BE86AA9" w14:textId="77777777" w:rsidTr="00245FBF">
        <w:trPr>
          <w:jc w:val="center"/>
        </w:trPr>
        <w:tc>
          <w:tcPr>
            <w:tcW w:w="9752" w:type="dxa"/>
            <w:gridSpan w:val="2"/>
          </w:tcPr>
          <w:p w14:paraId="78BE69A9" w14:textId="77777777" w:rsidR="001611F8" w:rsidRPr="00992414" w:rsidRDefault="001611F8" w:rsidP="00245FBF">
            <w:pPr>
              <w:keepNext/>
            </w:pPr>
          </w:p>
        </w:tc>
      </w:tr>
      <w:tr w:rsidR="001611F8" w:rsidRPr="00992414" w14:paraId="3ADE42C4" w14:textId="77777777" w:rsidTr="00245FBF">
        <w:trPr>
          <w:jc w:val="center"/>
        </w:trPr>
        <w:tc>
          <w:tcPr>
            <w:tcW w:w="4876" w:type="dxa"/>
            <w:hideMark/>
          </w:tcPr>
          <w:p w14:paraId="5E50AF62" w14:textId="77777777" w:rsidR="001611F8" w:rsidRPr="00992414" w:rsidRDefault="001611F8" w:rsidP="00245FBF">
            <w:pPr>
              <w:pStyle w:val="ColumnHeading"/>
              <w:keepNext/>
            </w:pPr>
            <w:r w:rsidRPr="00992414">
              <w:t>Text predložený Komisiou</w:t>
            </w:r>
          </w:p>
        </w:tc>
        <w:tc>
          <w:tcPr>
            <w:tcW w:w="4876" w:type="dxa"/>
            <w:hideMark/>
          </w:tcPr>
          <w:p w14:paraId="58652235" w14:textId="77777777" w:rsidR="001611F8" w:rsidRPr="00992414" w:rsidRDefault="001611F8" w:rsidP="00245FBF">
            <w:pPr>
              <w:pStyle w:val="ColumnHeading"/>
              <w:keepNext/>
            </w:pPr>
            <w:r w:rsidRPr="00992414">
              <w:t>Pozmeňujúci návrh</w:t>
            </w:r>
          </w:p>
        </w:tc>
      </w:tr>
      <w:tr w:rsidR="001611F8" w:rsidRPr="00992414" w14:paraId="5652C570" w14:textId="77777777" w:rsidTr="00245FBF">
        <w:trPr>
          <w:jc w:val="center"/>
        </w:trPr>
        <w:tc>
          <w:tcPr>
            <w:tcW w:w="4876" w:type="dxa"/>
          </w:tcPr>
          <w:p w14:paraId="7BB4282D" w14:textId="77777777" w:rsidR="001611F8" w:rsidRPr="00992414" w:rsidRDefault="001611F8" w:rsidP="00245FBF">
            <w:pPr>
              <w:pStyle w:val="Normal6"/>
            </w:pPr>
          </w:p>
        </w:tc>
        <w:tc>
          <w:tcPr>
            <w:tcW w:w="4876" w:type="dxa"/>
            <w:hideMark/>
          </w:tcPr>
          <w:p w14:paraId="4976316C" w14:textId="287E135E" w:rsidR="001611F8" w:rsidRPr="00992414" w:rsidRDefault="001611F8">
            <w:pPr>
              <w:pStyle w:val="Normal6"/>
              <w:rPr>
                <w:szCs w:val="24"/>
              </w:rPr>
            </w:pPr>
            <w:r w:rsidRPr="00992414">
              <w:rPr>
                <w:b/>
                <w:i/>
              </w:rPr>
              <w:t>(25a)</w:t>
            </w:r>
            <w:r w:rsidRPr="00992414">
              <w:rPr>
                <w:b/>
                <w:i/>
              </w:rPr>
              <w:tab/>
              <w:t>S cieľom zabezpečiť, aby finančné spravodajské jednotky mali rýchly prístup k informáciám potrebným na vykonávanie vyšetrovaní by sa malo podporovať prepojenie Colného informačného systému a decentralizovanej počítačovej siete FIU.net.</w:t>
            </w:r>
          </w:p>
        </w:tc>
      </w:tr>
    </w:tbl>
    <w:p w14:paraId="406D4549" w14:textId="77777777" w:rsidR="001611F8" w:rsidRPr="00992414" w:rsidRDefault="001611F8" w:rsidP="001611F8">
      <w:r w:rsidRPr="00992414">
        <w:rPr>
          <w:rStyle w:val="HideTWBExt"/>
          <w:noProof w:val="0"/>
        </w:rPr>
        <w:t>&lt;/Amend&gt;</w:t>
      </w:r>
    </w:p>
    <w:p w14:paraId="051D4871" w14:textId="15F63CBA"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19</w:t>
      </w:r>
      <w:r w:rsidRPr="00992414">
        <w:rPr>
          <w:rStyle w:val="HideTWBExt"/>
          <w:b w:val="0"/>
          <w:noProof w:val="0"/>
        </w:rPr>
        <w:t>&lt;/NumAm&gt;</w:t>
      </w:r>
    </w:p>
    <w:p w14:paraId="4F70D398"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36723F11" w14:textId="77777777" w:rsidR="00376950" w:rsidRPr="00992414" w:rsidRDefault="00376950" w:rsidP="00376950">
      <w:pPr>
        <w:pStyle w:val="NormalBold"/>
      </w:pPr>
      <w:r w:rsidRPr="00992414">
        <w:rPr>
          <w:rStyle w:val="HideTWBExt"/>
          <w:b w:val="0"/>
          <w:noProof w:val="0"/>
        </w:rPr>
        <w:t>&lt;Article&gt;</w:t>
      </w:r>
      <w:r w:rsidRPr="00992414">
        <w:t>Odôvodnenie 26</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51F190C5" w14:textId="77777777" w:rsidTr="00376950">
        <w:trPr>
          <w:jc w:val="center"/>
        </w:trPr>
        <w:tc>
          <w:tcPr>
            <w:tcW w:w="9752" w:type="dxa"/>
            <w:gridSpan w:val="2"/>
          </w:tcPr>
          <w:p w14:paraId="57EA48A4" w14:textId="77777777" w:rsidR="00376950" w:rsidRPr="00992414" w:rsidRDefault="00376950">
            <w:pPr>
              <w:keepNext/>
            </w:pPr>
          </w:p>
        </w:tc>
      </w:tr>
      <w:tr w:rsidR="00376950" w:rsidRPr="00992414" w14:paraId="0B56521F" w14:textId="77777777" w:rsidTr="00376950">
        <w:trPr>
          <w:jc w:val="center"/>
        </w:trPr>
        <w:tc>
          <w:tcPr>
            <w:tcW w:w="4876" w:type="dxa"/>
            <w:hideMark/>
          </w:tcPr>
          <w:p w14:paraId="3B4BC390" w14:textId="77777777" w:rsidR="00376950" w:rsidRPr="00992414" w:rsidRDefault="00376950">
            <w:pPr>
              <w:pStyle w:val="ColumnHeading"/>
              <w:keepNext/>
            </w:pPr>
            <w:r w:rsidRPr="00992414">
              <w:t>Text predložený Komisiou</w:t>
            </w:r>
          </w:p>
        </w:tc>
        <w:tc>
          <w:tcPr>
            <w:tcW w:w="4876" w:type="dxa"/>
            <w:hideMark/>
          </w:tcPr>
          <w:p w14:paraId="649A37AA" w14:textId="77777777" w:rsidR="00376950" w:rsidRPr="00992414" w:rsidRDefault="00376950">
            <w:pPr>
              <w:pStyle w:val="ColumnHeading"/>
              <w:keepNext/>
            </w:pPr>
            <w:r w:rsidRPr="00992414">
              <w:t>Pozmeňujúci návrh</w:t>
            </w:r>
          </w:p>
        </w:tc>
      </w:tr>
      <w:tr w:rsidR="00376950" w:rsidRPr="00992414" w14:paraId="0B62061F" w14:textId="77777777" w:rsidTr="00376950">
        <w:trPr>
          <w:jc w:val="center"/>
        </w:trPr>
        <w:tc>
          <w:tcPr>
            <w:tcW w:w="4876" w:type="dxa"/>
            <w:hideMark/>
          </w:tcPr>
          <w:p w14:paraId="09992F2E" w14:textId="77777777" w:rsidR="00376950" w:rsidRPr="00992414" w:rsidRDefault="00376950">
            <w:pPr>
              <w:pStyle w:val="Normal6"/>
            </w:pPr>
            <w:r w:rsidRPr="00992414">
              <w:t>(26)</w:t>
            </w:r>
            <w:r w:rsidRPr="00992414">
              <w:tab/>
              <w:t>Mala by sa umožniť výmena informácií medzi príslušným orgánom členského štátu alebo Komisiou a orgánmi tretích krajín, vzhľadom na existenciu vhodných záruk. Takéto výmeny informácií by mali byť dovolené len pod podmienkou, že sú v súlade s príslušnými vnútroštátnymi ustanoveniami a ustanoveniami Únie o základných právach a prenose osobných údajov, a len so súhlasom orgánov, ktoré informácie získali. Komisia by mala byť informovaná o každej výmene informácií s tretími krajinami v zmysle tohto nariadenia.</w:t>
            </w:r>
          </w:p>
        </w:tc>
        <w:tc>
          <w:tcPr>
            <w:tcW w:w="4876" w:type="dxa"/>
            <w:hideMark/>
          </w:tcPr>
          <w:p w14:paraId="54B3A8DD" w14:textId="10B75E39" w:rsidR="00376950" w:rsidRPr="00992414" w:rsidRDefault="00376950" w:rsidP="005070BC">
            <w:pPr>
              <w:pStyle w:val="Normal6"/>
              <w:rPr>
                <w:szCs w:val="24"/>
              </w:rPr>
            </w:pPr>
            <w:r w:rsidRPr="00992414">
              <w:t>(26)</w:t>
            </w:r>
            <w:r w:rsidRPr="00992414">
              <w:tab/>
              <w:t>Mala by sa umožniť výmena informácií medzi príslušným orgánom členského štátu alebo Komisiou a orgánmi tretích krajín, vzhľadom na existenciu vhodných záruk. Takéto výmeny informácií by mali byť dovolené len pod podmienkou, že sú v súlade s príslušnými vnútroštátnymi ustanoveniami a ustanoveniami Únie o základných právach a prenose osobných údajov, a len so súhlasom orgánov, ktoré informácie získali. Komisia by mala byť informovaná o každej výmene informácií s tretími krajinami v zmysle tohto nariadenia</w:t>
            </w:r>
            <w:r w:rsidRPr="00992414">
              <w:rPr>
                <w:b/>
                <w:i/>
              </w:rPr>
              <w:t xml:space="preserve"> a každý rok by o tom mala podávať správu Európskemu parlamentu</w:t>
            </w:r>
            <w:r w:rsidRPr="00992414">
              <w:t>.</w:t>
            </w:r>
          </w:p>
        </w:tc>
      </w:tr>
    </w:tbl>
    <w:p w14:paraId="4DBF5D40" w14:textId="77777777" w:rsidR="00376950" w:rsidRPr="00992414" w:rsidRDefault="00376950" w:rsidP="00376950">
      <w:r w:rsidRPr="00992414">
        <w:rPr>
          <w:rStyle w:val="HideTWBExt"/>
          <w:noProof w:val="0"/>
        </w:rPr>
        <w:t>&lt;/Amend&gt;</w:t>
      </w:r>
    </w:p>
    <w:p w14:paraId="41694C72" w14:textId="3E498F1F"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20</w:t>
      </w:r>
      <w:r w:rsidRPr="00992414">
        <w:rPr>
          <w:rStyle w:val="HideTWBExt"/>
          <w:b w:val="0"/>
          <w:noProof w:val="0"/>
        </w:rPr>
        <w:t>&lt;/NumAm&gt;</w:t>
      </w:r>
    </w:p>
    <w:p w14:paraId="7FA69657"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34E27B25" w14:textId="77777777" w:rsidR="00376950" w:rsidRPr="00992414" w:rsidRDefault="00376950" w:rsidP="00376950">
      <w:pPr>
        <w:pStyle w:val="NormalBold"/>
      </w:pPr>
      <w:r w:rsidRPr="00992414">
        <w:rPr>
          <w:rStyle w:val="HideTWBExt"/>
          <w:b w:val="0"/>
          <w:noProof w:val="0"/>
        </w:rPr>
        <w:t>&lt;Article&gt;</w:t>
      </w:r>
      <w:r w:rsidRPr="00992414">
        <w:t>Odôvodnenie 27</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2BEFD99F" w14:textId="77777777" w:rsidTr="00376950">
        <w:trPr>
          <w:jc w:val="center"/>
        </w:trPr>
        <w:tc>
          <w:tcPr>
            <w:tcW w:w="9752" w:type="dxa"/>
            <w:gridSpan w:val="2"/>
          </w:tcPr>
          <w:p w14:paraId="6F9B17E0" w14:textId="77777777" w:rsidR="00376950" w:rsidRPr="00992414" w:rsidRDefault="00376950">
            <w:pPr>
              <w:keepNext/>
            </w:pPr>
          </w:p>
        </w:tc>
      </w:tr>
      <w:tr w:rsidR="00376950" w:rsidRPr="00992414" w14:paraId="2ACE0AF9" w14:textId="77777777" w:rsidTr="00376950">
        <w:trPr>
          <w:jc w:val="center"/>
        </w:trPr>
        <w:tc>
          <w:tcPr>
            <w:tcW w:w="4876" w:type="dxa"/>
            <w:hideMark/>
          </w:tcPr>
          <w:p w14:paraId="2B7C7C4F" w14:textId="77777777" w:rsidR="00376950" w:rsidRPr="00992414" w:rsidRDefault="00376950">
            <w:pPr>
              <w:pStyle w:val="ColumnHeading"/>
              <w:keepNext/>
            </w:pPr>
            <w:r w:rsidRPr="00992414">
              <w:t>Text predložený Komisiou</w:t>
            </w:r>
          </w:p>
        </w:tc>
        <w:tc>
          <w:tcPr>
            <w:tcW w:w="4876" w:type="dxa"/>
            <w:hideMark/>
          </w:tcPr>
          <w:p w14:paraId="61B9AA7B" w14:textId="77777777" w:rsidR="00376950" w:rsidRPr="00992414" w:rsidRDefault="00376950">
            <w:pPr>
              <w:pStyle w:val="ColumnHeading"/>
              <w:keepNext/>
            </w:pPr>
            <w:r w:rsidRPr="00992414">
              <w:t>Pozmeňujúci návrh</w:t>
            </w:r>
          </w:p>
        </w:tc>
      </w:tr>
      <w:tr w:rsidR="00376950" w:rsidRPr="00992414" w14:paraId="2CA8016F" w14:textId="77777777" w:rsidTr="00376950">
        <w:trPr>
          <w:jc w:val="center"/>
        </w:trPr>
        <w:tc>
          <w:tcPr>
            <w:tcW w:w="4876" w:type="dxa"/>
            <w:hideMark/>
          </w:tcPr>
          <w:p w14:paraId="3D87C793" w14:textId="77777777" w:rsidR="00376950" w:rsidRPr="00992414" w:rsidRDefault="00376950">
            <w:pPr>
              <w:pStyle w:val="Normal6"/>
            </w:pPr>
            <w:r w:rsidRPr="00992414">
              <w:t>(27)</w:t>
            </w:r>
            <w:r w:rsidRPr="00992414">
              <w:tab/>
              <w:t xml:space="preserve">Vzhľadom na povahu vyzbieraných informácií a na oprávnené očakávanie deklarantov, že s ich osobnými údajmi a informáciami o </w:t>
            </w:r>
            <w:r w:rsidRPr="00992414">
              <w:rPr>
                <w:b/>
                <w:i/>
              </w:rPr>
              <w:t>sumách</w:t>
            </w:r>
            <w:r w:rsidRPr="00992414">
              <w:t xml:space="preserve"> peňažných prostriedkov v hotovosti, ktoré vniesli do Únie alebo z nej vyniesli, sa bude zaobchádzať dôverne by príslušné orgány mali zabezpečiť dostatočné záruky o tom, že splnomocnení zástupcovia, ktorí si vyžadujú prístup k týmto informáciám, budú dodržovať služobné tajomstvo, a mali by informácie primerane zabezpečiť proti neoprávnenému prístupu, použitiu alebo odovzdávaniu. Pokiaľ nie je uvedené inak v tomto nariadení alebo vo vnútroštátnych právnych predpisoch, najmä v oblasti súdnych konaní, informácie by sa nemali zverejňovať bez povolenia orgánu, ktorý ich zozbieral. Každý zber, zverejňovanie, prenos, odovzdávanie a ďalšie spracovanie osobných údajov v rozsahu pôsobnosti tohto nariadenia by malo podliehať požiadavkám uvedeným v smernici Európskeho parlamentu a Rady 95/46/EHS</w:t>
            </w:r>
            <w:r w:rsidRPr="00992414">
              <w:rPr>
                <w:vertAlign w:val="superscript"/>
              </w:rPr>
              <w:t>21</w:t>
            </w:r>
            <w:r w:rsidRPr="00992414">
              <w:t xml:space="preserve"> a v nariadení Európskeho parlamentu a Rady (ES) č. 45/2001</w:t>
            </w:r>
            <w:r w:rsidRPr="00992414">
              <w:rPr>
                <w:vertAlign w:val="superscript"/>
              </w:rPr>
              <w:t>22</w:t>
            </w:r>
            <w:r w:rsidRPr="00992414">
              <w:t>.</w:t>
            </w:r>
          </w:p>
        </w:tc>
        <w:tc>
          <w:tcPr>
            <w:tcW w:w="4876" w:type="dxa"/>
            <w:hideMark/>
          </w:tcPr>
          <w:p w14:paraId="1D00396E" w14:textId="668720C7" w:rsidR="00376950" w:rsidRPr="00992414" w:rsidRDefault="00376950" w:rsidP="00B1232E">
            <w:pPr>
              <w:pStyle w:val="Normal6"/>
              <w:rPr>
                <w:szCs w:val="24"/>
              </w:rPr>
            </w:pPr>
            <w:r w:rsidRPr="00992414">
              <w:t>(27)</w:t>
            </w:r>
            <w:r w:rsidRPr="00992414">
              <w:tab/>
              <w:t xml:space="preserve">Vzhľadom na povahu vyzbieraných informácií a na oprávnené očakávanie </w:t>
            </w:r>
            <w:r w:rsidRPr="00992414">
              <w:rPr>
                <w:b/>
                <w:i/>
              </w:rPr>
              <w:t>prepravcov a </w:t>
            </w:r>
            <w:r w:rsidRPr="00992414">
              <w:t xml:space="preserve">deklarantov, že s ich osobnými údajmi a informáciami o </w:t>
            </w:r>
            <w:r w:rsidRPr="00992414">
              <w:rPr>
                <w:b/>
                <w:i/>
              </w:rPr>
              <w:t>hodnote</w:t>
            </w:r>
            <w:r w:rsidRPr="00992414">
              <w:t xml:space="preserve"> peňažných prostriedkov v hotovosti, ktoré vniesli do Únie alebo z nej vyniesli, sa bude zaobchádzať dôverne by príslušné orgány mali zabezpečiť dostatočné záruky o tom, že splnomocnení zástupcovia, ktorí si vyžadujú prístup k týmto informáciám, budú dodržovať služobné tajomstvo, a mali by informácie primerane zabezpečiť proti neoprávnenému prístupu, použitiu alebo odovzdávaniu. Pokiaľ nie je uvedené inak v tomto nariadení alebo vo vnútroštátnych právnych predpisoch, najmä v oblasti súdnych konaní, informácie by sa nemali zverejňovať bez povolenia orgánu, ktorý ich zozbieral. Každý zber, zverejňovanie, prenos, odovzdávanie a ďalšie spracovanie osobných údajov v rozsahu pôsobnosti tohto nariadenia by malo podliehať požiadavkám uvedeným v smernici Európskeho parlamentu a Rady 95/46/EHS</w:t>
            </w:r>
            <w:r w:rsidRPr="00992414">
              <w:rPr>
                <w:vertAlign w:val="superscript"/>
              </w:rPr>
              <w:t>21</w:t>
            </w:r>
            <w:r w:rsidRPr="00992414">
              <w:t xml:space="preserve"> a v nariadení Európskeho parlamentu a Rady (ES) č. 45/2001</w:t>
            </w:r>
            <w:r w:rsidRPr="00992414">
              <w:rPr>
                <w:vertAlign w:val="superscript"/>
              </w:rPr>
              <w:t>22</w:t>
            </w:r>
            <w:r w:rsidRPr="00992414">
              <w:t>.</w:t>
            </w:r>
          </w:p>
        </w:tc>
      </w:tr>
      <w:tr w:rsidR="00376950" w:rsidRPr="00992414" w14:paraId="64997042" w14:textId="77777777" w:rsidTr="00376950">
        <w:trPr>
          <w:jc w:val="center"/>
        </w:trPr>
        <w:tc>
          <w:tcPr>
            <w:tcW w:w="4876" w:type="dxa"/>
            <w:hideMark/>
          </w:tcPr>
          <w:p w14:paraId="444BDC4F" w14:textId="77777777" w:rsidR="00376950" w:rsidRPr="00992414" w:rsidRDefault="00376950">
            <w:pPr>
              <w:pStyle w:val="Normal6"/>
            </w:pPr>
            <w:r w:rsidRPr="00992414">
              <w:t>__________________</w:t>
            </w:r>
          </w:p>
        </w:tc>
        <w:tc>
          <w:tcPr>
            <w:tcW w:w="4876" w:type="dxa"/>
            <w:hideMark/>
          </w:tcPr>
          <w:p w14:paraId="2D4FAC80" w14:textId="77777777" w:rsidR="00376950" w:rsidRPr="00992414" w:rsidRDefault="00376950">
            <w:pPr>
              <w:pStyle w:val="Normal6"/>
              <w:rPr>
                <w:szCs w:val="24"/>
              </w:rPr>
            </w:pPr>
            <w:r w:rsidRPr="00992414">
              <w:t>__________________</w:t>
            </w:r>
          </w:p>
        </w:tc>
      </w:tr>
      <w:tr w:rsidR="00376950" w:rsidRPr="00992414" w14:paraId="7061D308" w14:textId="77777777" w:rsidTr="00376950">
        <w:trPr>
          <w:jc w:val="center"/>
        </w:trPr>
        <w:tc>
          <w:tcPr>
            <w:tcW w:w="4876" w:type="dxa"/>
            <w:hideMark/>
          </w:tcPr>
          <w:p w14:paraId="6D7471EF" w14:textId="77777777" w:rsidR="00376950" w:rsidRPr="00992414" w:rsidRDefault="00376950">
            <w:pPr>
              <w:pStyle w:val="Normal6"/>
            </w:pPr>
            <w:r w:rsidRPr="00992414">
              <w:rPr>
                <w:vertAlign w:val="superscript"/>
              </w:rPr>
              <w:t>21</w:t>
            </w:r>
            <w:r w:rsidRPr="00992414">
              <w:t xml:space="preserve"> Smernica Európskeho parlamentu a Rady 95/46/EHS z 24. októbra 1995 o ochrane fyzických osôb pri spracovaní osobných údajov a voľnom pohybe týchto údajov (Ú. v. ES L 281, 23.11.1995, s. 31).</w:t>
            </w:r>
          </w:p>
        </w:tc>
        <w:tc>
          <w:tcPr>
            <w:tcW w:w="4876" w:type="dxa"/>
            <w:hideMark/>
          </w:tcPr>
          <w:p w14:paraId="2743D57D" w14:textId="77777777" w:rsidR="00376950" w:rsidRPr="00992414" w:rsidRDefault="00376950">
            <w:pPr>
              <w:pStyle w:val="Normal6"/>
              <w:rPr>
                <w:szCs w:val="24"/>
              </w:rPr>
            </w:pPr>
            <w:r w:rsidRPr="00992414">
              <w:rPr>
                <w:vertAlign w:val="superscript"/>
              </w:rPr>
              <w:t>21</w:t>
            </w:r>
            <w:r w:rsidRPr="00992414">
              <w:t xml:space="preserve"> Smernica Európskeho parlamentu a Rady 95/46/EHS z 24. októbra 1995 o ochrane fyzických osôb pri spracovaní osobných údajov a voľnom pohybe týchto údajov (Ú. v. ES L 281, 23.11.1995, s. 31).</w:t>
            </w:r>
          </w:p>
        </w:tc>
      </w:tr>
      <w:tr w:rsidR="00376950" w:rsidRPr="00992414" w14:paraId="791DCB9F" w14:textId="77777777" w:rsidTr="00376950">
        <w:trPr>
          <w:jc w:val="center"/>
        </w:trPr>
        <w:tc>
          <w:tcPr>
            <w:tcW w:w="4876" w:type="dxa"/>
            <w:hideMark/>
          </w:tcPr>
          <w:p w14:paraId="73E9C3B4" w14:textId="77777777" w:rsidR="00376950" w:rsidRPr="00992414" w:rsidRDefault="00376950">
            <w:pPr>
              <w:pStyle w:val="Normal6"/>
            </w:pPr>
            <w:r w:rsidRPr="00992414">
              <w:rPr>
                <w:vertAlign w:val="superscript"/>
              </w:rPr>
              <w:t>22</w:t>
            </w:r>
            <w:r w:rsidRPr="00992414">
              <w:t xml:space="preserve"> Nariadenie Európskeho parlamentu a Rady (ES) č. 45/2001 z 18. decembra 2000 o ochrane jednotlivcov so zreteľom na spracovanie osobných údajov inštitúciami a orgánmi Spoločenstva a o voľnom pohybe takýchto údajov (Ú. v. ES L 8, 12.1.2001, s. 1).</w:t>
            </w:r>
          </w:p>
        </w:tc>
        <w:tc>
          <w:tcPr>
            <w:tcW w:w="4876" w:type="dxa"/>
            <w:hideMark/>
          </w:tcPr>
          <w:p w14:paraId="6A05BC83" w14:textId="77777777" w:rsidR="00376950" w:rsidRPr="00992414" w:rsidRDefault="00376950">
            <w:pPr>
              <w:pStyle w:val="Normal6"/>
              <w:rPr>
                <w:szCs w:val="24"/>
              </w:rPr>
            </w:pPr>
            <w:r w:rsidRPr="00992414">
              <w:rPr>
                <w:vertAlign w:val="superscript"/>
              </w:rPr>
              <w:t>22</w:t>
            </w:r>
            <w:r w:rsidRPr="00992414">
              <w:t xml:space="preserve"> Nariadenie Európskeho parlamentu a Rady (ES) č. 45/2001 z 18. decembra 2000 o ochrane jednotlivcov so zreteľom na spracovanie osobných údajov inštitúciami a orgánmi Spoločenstva a o voľnom pohybe takýchto údajov (Ú. v. ES L 8, 12.1.2001, s. 1).</w:t>
            </w:r>
          </w:p>
        </w:tc>
      </w:tr>
    </w:tbl>
    <w:p w14:paraId="7AEB8244" w14:textId="77777777" w:rsidR="00376950" w:rsidRPr="00992414" w:rsidRDefault="00376950" w:rsidP="00376950">
      <w:r w:rsidRPr="00992414">
        <w:rPr>
          <w:rStyle w:val="HideTWBExt"/>
          <w:noProof w:val="0"/>
        </w:rPr>
        <w:t>&lt;/Amend&gt;</w:t>
      </w:r>
    </w:p>
    <w:p w14:paraId="37F15BD8" w14:textId="70F05D3C"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21</w:t>
      </w:r>
      <w:r w:rsidRPr="00992414">
        <w:rPr>
          <w:rStyle w:val="HideTWBExt"/>
          <w:b w:val="0"/>
          <w:noProof w:val="0"/>
        </w:rPr>
        <w:t>&lt;/NumAm&gt;</w:t>
      </w:r>
    </w:p>
    <w:p w14:paraId="415D5219"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342360C0" w14:textId="77777777" w:rsidR="00376950" w:rsidRPr="00992414" w:rsidRDefault="00376950" w:rsidP="00376950">
      <w:pPr>
        <w:pStyle w:val="NormalBold"/>
      </w:pPr>
      <w:r w:rsidRPr="00992414">
        <w:rPr>
          <w:rStyle w:val="HideTWBExt"/>
          <w:b w:val="0"/>
          <w:noProof w:val="0"/>
        </w:rPr>
        <w:t>&lt;Article&gt;</w:t>
      </w:r>
      <w:r w:rsidRPr="00992414">
        <w:t>Odôvodnenie 28</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51BF7557" w14:textId="77777777" w:rsidTr="00376950">
        <w:trPr>
          <w:jc w:val="center"/>
        </w:trPr>
        <w:tc>
          <w:tcPr>
            <w:tcW w:w="9752" w:type="dxa"/>
            <w:gridSpan w:val="2"/>
          </w:tcPr>
          <w:p w14:paraId="4C436D28" w14:textId="77777777" w:rsidR="00376950" w:rsidRPr="00992414" w:rsidRDefault="00376950">
            <w:pPr>
              <w:keepNext/>
            </w:pPr>
          </w:p>
        </w:tc>
      </w:tr>
      <w:tr w:rsidR="00376950" w:rsidRPr="00992414" w14:paraId="13964535" w14:textId="77777777" w:rsidTr="00376950">
        <w:trPr>
          <w:jc w:val="center"/>
        </w:trPr>
        <w:tc>
          <w:tcPr>
            <w:tcW w:w="4876" w:type="dxa"/>
            <w:hideMark/>
          </w:tcPr>
          <w:p w14:paraId="39057454" w14:textId="77777777" w:rsidR="00376950" w:rsidRPr="00992414" w:rsidRDefault="00376950">
            <w:pPr>
              <w:pStyle w:val="ColumnHeading"/>
              <w:keepNext/>
            </w:pPr>
            <w:r w:rsidRPr="00992414">
              <w:t>Text predložený Komisiou</w:t>
            </w:r>
          </w:p>
        </w:tc>
        <w:tc>
          <w:tcPr>
            <w:tcW w:w="4876" w:type="dxa"/>
            <w:hideMark/>
          </w:tcPr>
          <w:p w14:paraId="214C9FAC" w14:textId="77777777" w:rsidR="00376950" w:rsidRPr="00992414" w:rsidRDefault="00376950">
            <w:pPr>
              <w:pStyle w:val="ColumnHeading"/>
              <w:keepNext/>
            </w:pPr>
            <w:r w:rsidRPr="00992414">
              <w:t>Pozmeňujúci návrh</w:t>
            </w:r>
          </w:p>
        </w:tc>
      </w:tr>
      <w:tr w:rsidR="00376950" w:rsidRPr="00992414" w14:paraId="494912B5" w14:textId="77777777" w:rsidTr="00376950">
        <w:trPr>
          <w:jc w:val="center"/>
        </w:trPr>
        <w:tc>
          <w:tcPr>
            <w:tcW w:w="4876" w:type="dxa"/>
            <w:hideMark/>
          </w:tcPr>
          <w:p w14:paraId="06E9ACD1" w14:textId="77777777" w:rsidR="00376950" w:rsidRPr="00992414" w:rsidRDefault="00376950">
            <w:pPr>
              <w:pStyle w:val="Normal6"/>
            </w:pPr>
            <w:r w:rsidRPr="00992414">
              <w:t>(28)</w:t>
            </w:r>
            <w:r w:rsidRPr="00992414">
              <w:tab/>
              <w:t xml:space="preserve">Na účely analýz, ktoré vykonávajú finančné spravodajské jednotky, a aby sa orgánom v iných členských štátoch umožnilo kontrolovať a vynucovať oznamovaciu povinnosť, najmä pokiaľ ide o </w:t>
            </w:r>
            <w:r w:rsidRPr="00992414">
              <w:rPr>
                <w:b/>
                <w:i/>
              </w:rPr>
              <w:t>deklarantov</w:t>
            </w:r>
            <w:r w:rsidRPr="00992414">
              <w:t xml:space="preserve">, </w:t>
            </w:r>
            <w:r w:rsidRPr="00992414">
              <w:rPr>
                <w:b/>
                <w:i/>
              </w:rPr>
              <w:t>ktorí</w:t>
            </w:r>
            <w:r w:rsidRPr="00992414">
              <w:t xml:space="preserve"> sa už v minulosti dopustili porušenia tejto povinnosti, je nevyhnutné, aby sa údaje z oznámení uchovávali po dostatočne dlhý čas a aby sa tak príslušným orgánom umožnilo efektívne viesť vyšetrovania. Spracovávanie osobných údajov podľa tohto nariadenia slúži na rovnaké účely ako ich spracovávanie podľa smernice (EÚ) 2015/849. Podľa tejto smernice finančné spravodajské jednotky uchovávajú dáta, ktoré im poskytli „povinné subjekty“, päť rokov. </w:t>
            </w:r>
            <w:r w:rsidRPr="00992414">
              <w:rPr>
                <w:b/>
                <w:i/>
              </w:rPr>
              <w:t>Aby bolo kontrolovanie a vynucovanie oznamovacej povinnosť účinné, obdobie uchovávania údajov z oznámení by malo byť jednotné s obdobím stanoveným v smernici (EÚ) 2015/849.</w:t>
            </w:r>
          </w:p>
        </w:tc>
        <w:tc>
          <w:tcPr>
            <w:tcW w:w="4876" w:type="dxa"/>
            <w:hideMark/>
          </w:tcPr>
          <w:p w14:paraId="4D9787FF" w14:textId="77777777" w:rsidR="00376950" w:rsidRPr="00992414" w:rsidRDefault="00376950">
            <w:pPr>
              <w:pStyle w:val="Normal6"/>
              <w:rPr>
                <w:szCs w:val="24"/>
              </w:rPr>
            </w:pPr>
            <w:r w:rsidRPr="00992414">
              <w:t>(28)</w:t>
            </w:r>
            <w:r w:rsidRPr="00992414">
              <w:tab/>
              <w:t xml:space="preserve">Na účely analýz, ktoré vykonávajú finančné spravodajské jednotky, a aby sa orgánom v iných členských štátoch umožnilo kontrolovať a vynucovať oznamovaciu povinnosť, najmä pokiaľ ide o </w:t>
            </w:r>
            <w:r w:rsidRPr="00992414">
              <w:rPr>
                <w:b/>
                <w:i/>
              </w:rPr>
              <w:t>osoby</w:t>
            </w:r>
            <w:r w:rsidRPr="00992414">
              <w:t xml:space="preserve">, </w:t>
            </w:r>
            <w:r w:rsidRPr="00992414">
              <w:rPr>
                <w:b/>
                <w:i/>
              </w:rPr>
              <w:t>ktoré</w:t>
            </w:r>
            <w:r w:rsidRPr="00992414">
              <w:t xml:space="preserve"> sa už v minulosti dopustili porušenia tejto povinnosti, je nevyhnutné, aby sa údaje z oznámení uchovávali po dostatočne dlhý čas a aby sa tak príslušným orgánom umožnilo efektívne viesť vyšetrovania. Spracovávanie osobných údajov podľa tohto nariadenia slúži na rovnaké účely ako ich spracovávanie podľa smernice (EÚ) 2015/849. Podľa tejto smernice finančné spravodajské jednotky uchovávajú dáta, ktoré im poskytli „povinné subjekty“, päť rokov.</w:t>
            </w:r>
          </w:p>
        </w:tc>
      </w:tr>
    </w:tbl>
    <w:p w14:paraId="555BCC74" w14:textId="77777777" w:rsidR="00376950" w:rsidRPr="00992414" w:rsidRDefault="00376950" w:rsidP="00376950">
      <w:r w:rsidRPr="00992414">
        <w:rPr>
          <w:rStyle w:val="HideTWBExt"/>
          <w:noProof w:val="0"/>
        </w:rPr>
        <w:t>&lt;/Amend&gt;</w:t>
      </w:r>
    </w:p>
    <w:p w14:paraId="3DBF6D42" w14:textId="38C72C44"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22</w:t>
      </w:r>
      <w:r w:rsidRPr="00992414">
        <w:rPr>
          <w:rStyle w:val="HideTWBExt"/>
          <w:b w:val="0"/>
          <w:noProof w:val="0"/>
        </w:rPr>
        <w:t>&lt;/NumAm&gt;</w:t>
      </w:r>
    </w:p>
    <w:p w14:paraId="73CF6520"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766768E5" w14:textId="77777777" w:rsidR="00376950" w:rsidRPr="00992414" w:rsidRDefault="00376950" w:rsidP="00376950">
      <w:pPr>
        <w:pStyle w:val="NormalBold"/>
      </w:pPr>
      <w:r w:rsidRPr="00992414">
        <w:rPr>
          <w:rStyle w:val="HideTWBExt"/>
          <w:b w:val="0"/>
          <w:noProof w:val="0"/>
        </w:rPr>
        <w:t>&lt;Article&gt;</w:t>
      </w:r>
      <w:r w:rsidRPr="00992414">
        <w:t>Odôvodnenie 29</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6542EC5B" w14:textId="77777777" w:rsidTr="00376950">
        <w:trPr>
          <w:jc w:val="center"/>
        </w:trPr>
        <w:tc>
          <w:tcPr>
            <w:tcW w:w="9752" w:type="dxa"/>
            <w:gridSpan w:val="2"/>
          </w:tcPr>
          <w:p w14:paraId="78300529" w14:textId="77777777" w:rsidR="00376950" w:rsidRPr="00992414" w:rsidRDefault="00376950">
            <w:pPr>
              <w:keepNext/>
            </w:pPr>
          </w:p>
        </w:tc>
      </w:tr>
      <w:tr w:rsidR="00376950" w:rsidRPr="00992414" w14:paraId="64E0419E" w14:textId="77777777" w:rsidTr="00376950">
        <w:trPr>
          <w:jc w:val="center"/>
        </w:trPr>
        <w:tc>
          <w:tcPr>
            <w:tcW w:w="4876" w:type="dxa"/>
            <w:hideMark/>
          </w:tcPr>
          <w:p w14:paraId="53723FA4" w14:textId="77777777" w:rsidR="00376950" w:rsidRPr="00992414" w:rsidRDefault="00376950">
            <w:pPr>
              <w:pStyle w:val="ColumnHeading"/>
              <w:keepNext/>
            </w:pPr>
            <w:r w:rsidRPr="00992414">
              <w:t>Text predložený Komisiou</w:t>
            </w:r>
          </w:p>
        </w:tc>
        <w:tc>
          <w:tcPr>
            <w:tcW w:w="4876" w:type="dxa"/>
            <w:hideMark/>
          </w:tcPr>
          <w:p w14:paraId="61005596" w14:textId="77777777" w:rsidR="00376950" w:rsidRPr="00992414" w:rsidRDefault="00376950">
            <w:pPr>
              <w:pStyle w:val="ColumnHeading"/>
              <w:keepNext/>
            </w:pPr>
            <w:r w:rsidRPr="00992414">
              <w:t>Pozmeňujúci návrh</w:t>
            </w:r>
          </w:p>
        </w:tc>
      </w:tr>
      <w:tr w:rsidR="00376950" w:rsidRPr="00992414" w14:paraId="062B0F85" w14:textId="77777777" w:rsidTr="00376950">
        <w:trPr>
          <w:jc w:val="center"/>
        </w:trPr>
        <w:tc>
          <w:tcPr>
            <w:tcW w:w="4876" w:type="dxa"/>
            <w:hideMark/>
          </w:tcPr>
          <w:p w14:paraId="0A423A58" w14:textId="77777777" w:rsidR="00376950" w:rsidRPr="00992414" w:rsidRDefault="00376950">
            <w:pPr>
              <w:pStyle w:val="Normal6"/>
            </w:pPr>
            <w:r w:rsidRPr="00992414">
              <w:t>(29)</w:t>
            </w:r>
            <w:r w:rsidRPr="00992414">
              <w:tab/>
              <w:t>S cieľom podporiť dodržiavanie povinnosti a odrádzať od jej obchádzania by mali členské štáty zaviesť sankcie za nesplnenie oznamovacej povinnosti alebo opomenutie povinného oznámenia. Sankcie by sa mali vzťahovať len na nesplnenie si oznamovacej povinnosti alebo opomenutie povinného oznámenia podľa tohto nariadenia a do úvahy by sa nemala brať trestná činnosť, ktorá by mohla byť spojená s peňažnými prostriedkami v hotovosti, ktoré by mohli byť predmetom ďalšieho vyšetrovania a ďalších opatrení mimo rozsahu pôsobnosti tohto nariadenia. Mali by byť účinné, primerané a odrádzajúce a nemali by prekračovať mieru potrebnú na podporu dodržiavania povinnosti.</w:t>
            </w:r>
          </w:p>
        </w:tc>
        <w:tc>
          <w:tcPr>
            <w:tcW w:w="4876" w:type="dxa"/>
            <w:hideMark/>
          </w:tcPr>
          <w:p w14:paraId="29C503AF" w14:textId="4BFA08DD" w:rsidR="00376950" w:rsidRPr="00992414" w:rsidRDefault="00376950" w:rsidP="003272B9">
            <w:pPr>
              <w:pStyle w:val="Normal6"/>
              <w:rPr>
                <w:szCs w:val="24"/>
              </w:rPr>
            </w:pPr>
            <w:r w:rsidRPr="00992414">
              <w:t>(29)</w:t>
            </w:r>
            <w:r w:rsidRPr="00992414">
              <w:tab/>
              <w:t xml:space="preserve">S cieľom podporiť dodržiavanie povinnosti a odrádzať od jej obchádzania by mali členské štáty zaviesť sankcie za nesplnenie oznamovacej povinnosti alebo opomenutie povinného oznámenia. Sankcie by sa mali vzťahovať len na nesplnenie si oznamovacej povinnosti alebo opomenutie povinného oznámenia podľa tohto nariadenia a do úvahy by sa nemala brať trestná činnosť, ktorá by mohla byť spojená s peňažnými prostriedkami v hotovosti, ktoré by mohli byť predmetom ďalšieho vyšetrovania a ďalších opatrení mimo rozsahu pôsobnosti tohto nariadenia. Mali by byť účinné, primerané a odrádzajúce a nemali by prekračovať mieru potrebnú na podporu dodržiavania povinnosti. </w:t>
            </w:r>
            <w:r w:rsidRPr="00992414">
              <w:rPr>
                <w:b/>
                <w:i/>
              </w:rPr>
              <w:t>V záujme účinnosti a aby nedošlo k situácii, v ktorej by si zločinci zvolili členský štát vstupu alebo výstupu z územia Únie podľa úrovne platných sankcií, by sa týmto nariadením malo zaviesť priblíženie vnútroštátnych sankcií.</w:t>
            </w:r>
          </w:p>
        </w:tc>
      </w:tr>
    </w:tbl>
    <w:p w14:paraId="1E609D5B" w14:textId="77777777" w:rsidR="00376950" w:rsidRPr="00992414" w:rsidRDefault="00376950" w:rsidP="00376950">
      <w:r w:rsidRPr="00992414">
        <w:rPr>
          <w:rStyle w:val="HideTWBExt"/>
          <w:noProof w:val="0"/>
        </w:rPr>
        <w:t>&lt;/Amend&gt;</w:t>
      </w:r>
    </w:p>
    <w:p w14:paraId="7E93BF00" w14:textId="1197319E" w:rsidR="00F02D3E" w:rsidRPr="00992414" w:rsidRDefault="00FF635F" w:rsidP="0073214C">
      <w:r w:rsidRPr="00992414">
        <w:t xml:space="preserve"> </w:t>
      </w:r>
      <w:r w:rsidRPr="00992414">
        <w:rPr>
          <w:rStyle w:val="HideTWBExt"/>
          <w:noProof w:val="0"/>
        </w:rPr>
        <w:t>&lt;AmendB&gt;</w:t>
      </w:r>
      <w:r w:rsidRPr="00992414">
        <w:t>Pozmeňujúci návrh</w:t>
      </w:r>
      <w:r w:rsidRPr="00992414">
        <w:rPr>
          <w:rStyle w:val="HideTWBExt"/>
          <w:noProof w:val="0"/>
        </w:rPr>
        <w:t>&lt;NumAmB&gt;</w:t>
      </w:r>
      <w:r w:rsidRPr="00992414">
        <w:rPr>
          <w:b/>
          <w:color w:val="000000"/>
        </w:rPr>
        <w:t>23</w:t>
      </w:r>
      <w:r w:rsidRPr="00992414">
        <w:rPr>
          <w:rStyle w:val="HideTWBExt"/>
          <w:noProof w:val="0"/>
        </w:rPr>
        <w:t>&lt;/NumAmB&gt;</w:t>
      </w:r>
    </w:p>
    <w:p w14:paraId="05135AAA" w14:textId="77777777" w:rsidR="00F02D3E" w:rsidRPr="00992414" w:rsidRDefault="00F02D3E" w:rsidP="00F02D3E">
      <w:pPr>
        <w:pStyle w:val="NormalBold12b"/>
      </w:pPr>
      <w:r w:rsidRPr="00992414">
        <w:rPr>
          <w:rStyle w:val="HideTWBExt"/>
          <w:b w:val="0"/>
          <w:noProof w:val="0"/>
        </w:rPr>
        <w:t>&lt;DocAmend&gt;</w:t>
      </w:r>
      <w:r w:rsidRPr="00992414">
        <w:t>Návrh nariadenia</w:t>
      </w:r>
      <w:r w:rsidRPr="00992414">
        <w:rPr>
          <w:rStyle w:val="HideTWBExt"/>
          <w:b w:val="0"/>
          <w:noProof w:val="0"/>
        </w:rPr>
        <w:t>&lt;/DocAmend&gt;</w:t>
      </w:r>
    </w:p>
    <w:p w14:paraId="5289E261" w14:textId="77777777" w:rsidR="00F02D3E" w:rsidRPr="00992414" w:rsidRDefault="00F02D3E" w:rsidP="00F02D3E">
      <w:pPr>
        <w:pStyle w:val="NormalBold"/>
      </w:pPr>
      <w:r w:rsidRPr="00992414">
        <w:rPr>
          <w:rStyle w:val="HideTWBExt"/>
          <w:b w:val="0"/>
          <w:noProof w:val="0"/>
        </w:rPr>
        <w:t>&lt;Article&gt;</w:t>
      </w:r>
      <w:r w:rsidRPr="00992414">
        <w:t>Odôvodnenie 30</w:t>
      </w:r>
      <w:r w:rsidRPr="0099241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02D3E" w:rsidRPr="00992414" w14:paraId="3F357E64" w14:textId="77777777" w:rsidTr="00245FBF">
        <w:trPr>
          <w:jc w:val="center"/>
        </w:trPr>
        <w:tc>
          <w:tcPr>
            <w:tcW w:w="9752" w:type="dxa"/>
            <w:gridSpan w:val="2"/>
          </w:tcPr>
          <w:p w14:paraId="0EBE8D0A" w14:textId="77777777" w:rsidR="00F02D3E" w:rsidRPr="00992414" w:rsidRDefault="00F02D3E" w:rsidP="00245FBF">
            <w:pPr>
              <w:keepNext/>
            </w:pPr>
          </w:p>
        </w:tc>
      </w:tr>
      <w:tr w:rsidR="00F02D3E" w:rsidRPr="00992414" w14:paraId="5E7EA99F" w14:textId="77777777" w:rsidTr="00245FBF">
        <w:trPr>
          <w:jc w:val="center"/>
        </w:trPr>
        <w:tc>
          <w:tcPr>
            <w:tcW w:w="4876" w:type="dxa"/>
          </w:tcPr>
          <w:p w14:paraId="023EA04B" w14:textId="77777777" w:rsidR="00F02D3E" w:rsidRPr="00992414" w:rsidRDefault="00F02D3E" w:rsidP="00245FBF">
            <w:pPr>
              <w:pStyle w:val="ColumnHeading"/>
              <w:keepNext/>
            </w:pPr>
            <w:r w:rsidRPr="00992414">
              <w:t>Text predložený Komisiou</w:t>
            </w:r>
          </w:p>
        </w:tc>
        <w:tc>
          <w:tcPr>
            <w:tcW w:w="4876" w:type="dxa"/>
          </w:tcPr>
          <w:p w14:paraId="3798082E" w14:textId="77777777" w:rsidR="00F02D3E" w:rsidRPr="00992414" w:rsidRDefault="00F02D3E" w:rsidP="00245FBF">
            <w:pPr>
              <w:pStyle w:val="ColumnHeading"/>
              <w:keepNext/>
            </w:pPr>
            <w:r w:rsidRPr="00992414">
              <w:t>Pozmeňujúci návrh</w:t>
            </w:r>
          </w:p>
        </w:tc>
      </w:tr>
      <w:tr w:rsidR="00F02D3E" w:rsidRPr="00992414" w14:paraId="48A5791A" w14:textId="77777777" w:rsidTr="00245FBF">
        <w:trPr>
          <w:jc w:val="center"/>
        </w:trPr>
        <w:tc>
          <w:tcPr>
            <w:tcW w:w="4876" w:type="dxa"/>
          </w:tcPr>
          <w:p w14:paraId="3C3E3298" w14:textId="77777777" w:rsidR="00F02D3E" w:rsidRPr="00992414" w:rsidRDefault="00F02D3E" w:rsidP="00245FBF">
            <w:pPr>
              <w:pStyle w:val="Normal6"/>
            </w:pPr>
            <w:r w:rsidRPr="00992414">
              <w:t>(30)</w:t>
            </w:r>
            <w:r w:rsidRPr="00992414">
              <w:tab/>
            </w:r>
            <w:r w:rsidRPr="00992414">
              <w:rPr>
                <w:b/>
                <w:i/>
              </w:rPr>
              <w:t>S</w:t>
            </w:r>
            <w:r w:rsidRPr="00992414">
              <w:t xml:space="preserve"> cieľom zabezpečiť jednotné uplatňovanie kontrol a efektívne spracovávanie, prenos a analýzu oznámení príslušnými orgánmi, by sa na Komisiu mali preniesť vykonávacie právomoci na prijatie vzoru formulárov oznámení, na </w:t>
            </w:r>
            <w:r w:rsidRPr="00992414">
              <w:rPr>
                <w:b/>
                <w:i/>
              </w:rPr>
              <w:t xml:space="preserve">určenie kritérií spoločného rámca pre riadenie rizík, na </w:t>
            </w:r>
            <w:r w:rsidRPr="00992414">
              <w:t>ustanovenie technických pravidiel a modalít a vzoru formulára, ktorý sa má používať pre oznámenia, výmenu informácií a na stanovenie pravidiel, ktorými sa má riadiť poskytovanie štatistických informácií Komisii a spôsobu, ktorým sa má uskutočňovať. To by malo zahŕňať zriadenie náležitého elektronického systému. Tieto právomoci by sa mali uplatňovať v súlade s nariadením Európskeho parlamentu a Rady (EÚ) č. 182/</w:t>
            </w:r>
            <w:r w:rsidRPr="00992414">
              <w:rPr>
                <w:b/>
                <w:i/>
              </w:rPr>
              <w:t>2011</w:t>
            </w:r>
            <w:r w:rsidRPr="00992414">
              <w:rPr>
                <w:b/>
                <w:i/>
                <w:vertAlign w:val="superscript"/>
              </w:rPr>
              <w:t>23</w:t>
            </w:r>
            <w:r w:rsidRPr="00992414">
              <w:t>.</w:t>
            </w:r>
          </w:p>
        </w:tc>
        <w:tc>
          <w:tcPr>
            <w:tcW w:w="4876" w:type="dxa"/>
          </w:tcPr>
          <w:p w14:paraId="3927D865" w14:textId="13BC217D" w:rsidR="00F02D3E" w:rsidRPr="00992414" w:rsidRDefault="00F02D3E" w:rsidP="00687A44">
            <w:pPr>
              <w:pStyle w:val="Normal6"/>
              <w:rPr>
                <w:szCs w:val="24"/>
              </w:rPr>
            </w:pPr>
            <w:r w:rsidRPr="00992414">
              <w:t>(30)</w:t>
            </w:r>
            <w:r w:rsidRPr="00992414">
              <w:tab/>
            </w:r>
            <w:r w:rsidRPr="00992414">
              <w:rPr>
                <w:b/>
                <w:i/>
              </w:rPr>
              <w:t>Hoci väčšina členských štátov už využíva harmonizovaný formulár oznámenia – úniový formulár oznámenia peňažných prostriedkov v hotovosti (EU-CDF) –, a to dobrovoľne, s</w:t>
            </w:r>
            <w:r w:rsidRPr="00992414">
              <w:t xml:space="preserve"> cieľom zabezpečiť jednotné uplatňovanie kontrol a efektívne spracovávanie, prenos a analýzu oznámení príslušnými orgánmi, by sa na Komisiu mali preniesť vykonávacie právomoci na prijatie vzoru formulárov oznámení, na ustanovenie technických pravidiel a modalít a vzoru formulára, ktorý sa má používať pre oznámenia, </w:t>
            </w:r>
            <w:r w:rsidRPr="00992414">
              <w:rPr>
                <w:b/>
                <w:i/>
              </w:rPr>
              <w:t xml:space="preserve">na </w:t>
            </w:r>
            <w:r w:rsidRPr="00992414">
              <w:t xml:space="preserve">výmenu informácií </w:t>
            </w:r>
            <w:r w:rsidRPr="00992414">
              <w:rPr>
                <w:b/>
                <w:i/>
              </w:rPr>
              <w:t xml:space="preserve">medzi príslušnými orgánmi </w:t>
            </w:r>
            <w:r w:rsidRPr="00992414">
              <w:t>a</w:t>
            </w:r>
            <w:r w:rsidRPr="00992414">
              <w:rPr>
                <w:b/>
                <w:i/>
              </w:rPr>
              <w:t> na vytvorenie prepojenia medzi systémami na výmenu informácií, ktoré používajú príslušné orgány a finančné spravodajské jednotky, ako aj</w:t>
            </w:r>
            <w:r w:rsidRPr="00992414">
              <w:t xml:space="preserve"> na stanovenie pravidiel, ktorými sa má riadiť poskytovanie štatistických informácií Komisii a spôsobu, ktorým sa má uskutočňovať. To by malo zahŕňať zriadenie náležitého elektronického systému. Tieto právomoci by sa mali uplatňovať v súlade s nariadením Európskeho parlamentu a Rady (EÚ) č. 182/</w:t>
            </w:r>
            <w:r w:rsidRPr="00992414">
              <w:rPr>
                <w:b/>
                <w:i/>
              </w:rPr>
              <w:t>2011</w:t>
            </w:r>
            <w:r w:rsidRPr="00992414">
              <w:t>.</w:t>
            </w:r>
          </w:p>
        </w:tc>
      </w:tr>
      <w:tr w:rsidR="00F02D3E" w:rsidRPr="00992414" w14:paraId="39B9DEA0" w14:textId="77777777" w:rsidTr="00245FBF">
        <w:trPr>
          <w:jc w:val="center"/>
        </w:trPr>
        <w:tc>
          <w:tcPr>
            <w:tcW w:w="4876" w:type="dxa"/>
          </w:tcPr>
          <w:p w14:paraId="0F23AF31" w14:textId="77777777" w:rsidR="00F02D3E" w:rsidRPr="00992414" w:rsidRDefault="00F02D3E" w:rsidP="00245FBF">
            <w:pPr>
              <w:pStyle w:val="Normal6"/>
            </w:pPr>
            <w:r w:rsidRPr="00992414">
              <w:t>__________________</w:t>
            </w:r>
          </w:p>
        </w:tc>
        <w:tc>
          <w:tcPr>
            <w:tcW w:w="4876" w:type="dxa"/>
          </w:tcPr>
          <w:p w14:paraId="6704AEFC" w14:textId="77777777" w:rsidR="00F02D3E" w:rsidRPr="00992414" w:rsidRDefault="00F02D3E" w:rsidP="00245FBF">
            <w:pPr>
              <w:pStyle w:val="Normal6"/>
              <w:rPr>
                <w:szCs w:val="24"/>
              </w:rPr>
            </w:pPr>
          </w:p>
        </w:tc>
      </w:tr>
      <w:tr w:rsidR="00F02D3E" w:rsidRPr="00992414" w14:paraId="7143B2F2" w14:textId="77777777" w:rsidTr="00245FBF">
        <w:trPr>
          <w:jc w:val="center"/>
        </w:trPr>
        <w:tc>
          <w:tcPr>
            <w:tcW w:w="4876" w:type="dxa"/>
          </w:tcPr>
          <w:p w14:paraId="2A9E7B3D" w14:textId="77777777" w:rsidR="00F02D3E" w:rsidRPr="00992414" w:rsidRDefault="00F02D3E" w:rsidP="00245FBF">
            <w:pPr>
              <w:pStyle w:val="Normal6"/>
              <w:rPr>
                <w:b/>
                <w:i/>
              </w:rPr>
            </w:pPr>
            <w:r w:rsidRPr="00992414">
              <w:rPr>
                <w:b/>
                <w:i/>
                <w:vertAlign w:val="superscript"/>
              </w:rPr>
              <w:t>23</w:t>
            </w:r>
            <w:r w:rsidRPr="00992414">
              <w:rPr>
                <w:b/>
                <w:i/>
              </w:rPr>
              <w:t xml:space="preserve"> Nariadenie Európskeho parlamentu a Rady (EÚ) č. 182/2011 zo 16. februára 2011, ktorým sa ustanovujú pravidlá a všeobecné zásady mechanizmu, na základe ktorého členské štáty kontrolujú vykonávanie vykonávacích právomocí Komisie (Ú. v. EÚ L 55, 28.2.2011, s. 13).</w:t>
            </w:r>
          </w:p>
        </w:tc>
        <w:tc>
          <w:tcPr>
            <w:tcW w:w="4876" w:type="dxa"/>
          </w:tcPr>
          <w:p w14:paraId="1CEAA835" w14:textId="77777777" w:rsidR="00F02D3E" w:rsidRPr="00992414" w:rsidRDefault="00F02D3E" w:rsidP="00245FBF">
            <w:pPr>
              <w:pStyle w:val="Normal6"/>
              <w:rPr>
                <w:szCs w:val="24"/>
              </w:rPr>
            </w:pPr>
          </w:p>
        </w:tc>
      </w:tr>
    </w:tbl>
    <w:p w14:paraId="4D34E8DF" w14:textId="77777777" w:rsidR="00F02D3E" w:rsidRPr="00992414" w:rsidRDefault="00F02D3E" w:rsidP="00F02D3E">
      <w:r w:rsidRPr="00992414">
        <w:rPr>
          <w:rStyle w:val="HideTWBExt"/>
          <w:noProof w:val="0"/>
        </w:rPr>
        <w:t>&lt;/AmendB&gt;</w:t>
      </w:r>
    </w:p>
    <w:p w14:paraId="408BF05B" w14:textId="4DBB6954" w:rsidR="00E47049" w:rsidRPr="00992414" w:rsidRDefault="00E47049" w:rsidP="00E47049">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24</w:t>
      </w:r>
      <w:r w:rsidRPr="00992414">
        <w:rPr>
          <w:rStyle w:val="HideTWBExt"/>
          <w:b w:val="0"/>
          <w:noProof w:val="0"/>
        </w:rPr>
        <w:t>&lt;/NumAm&gt;</w:t>
      </w:r>
    </w:p>
    <w:p w14:paraId="5390BBBC" w14:textId="77777777" w:rsidR="00E47049" w:rsidRPr="00992414" w:rsidRDefault="00E47049" w:rsidP="00E47049">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727EEB9E" w14:textId="108DD8B3" w:rsidR="00E47049" w:rsidRPr="00992414" w:rsidRDefault="00E47049" w:rsidP="00E47049">
      <w:pPr>
        <w:pStyle w:val="NormalBold"/>
      </w:pPr>
      <w:r w:rsidRPr="00992414">
        <w:rPr>
          <w:rStyle w:val="HideTWBExt"/>
          <w:b w:val="0"/>
          <w:noProof w:val="0"/>
        </w:rPr>
        <w:t>&lt;Article&gt;</w:t>
      </w:r>
      <w:r w:rsidRPr="00992414">
        <w:t>Odôvodnenie 30 a (nové)</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7049" w:rsidRPr="00992414" w14:paraId="55AC5450" w14:textId="77777777" w:rsidTr="00635B1A">
        <w:trPr>
          <w:jc w:val="center"/>
        </w:trPr>
        <w:tc>
          <w:tcPr>
            <w:tcW w:w="9752" w:type="dxa"/>
            <w:gridSpan w:val="2"/>
          </w:tcPr>
          <w:p w14:paraId="0A2201D1" w14:textId="77777777" w:rsidR="00E47049" w:rsidRPr="00992414" w:rsidRDefault="00E47049" w:rsidP="00635B1A">
            <w:pPr>
              <w:keepNext/>
            </w:pPr>
          </w:p>
        </w:tc>
      </w:tr>
      <w:tr w:rsidR="00E47049" w:rsidRPr="00992414" w14:paraId="3245B97E" w14:textId="77777777" w:rsidTr="00635B1A">
        <w:trPr>
          <w:jc w:val="center"/>
        </w:trPr>
        <w:tc>
          <w:tcPr>
            <w:tcW w:w="4876" w:type="dxa"/>
            <w:hideMark/>
          </w:tcPr>
          <w:p w14:paraId="4F2B7367" w14:textId="77777777" w:rsidR="00E47049" w:rsidRPr="00992414" w:rsidRDefault="00E47049" w:rsidP="00635B1A">
            <w:pPr>
              <w:pStyle w:val="ColumnHeading"/>
              <w:keepNext/>
            </w:pPr>
            <w:r w:rsidRPr="00992414">
              <w:t>Text predložený Komisiou</w:t>
            </w:r>
          </w:p>
        </w:tc>
        <w:tc>
          <w:tcPr>
            <w:tcW w:w="4876" w:type="dxa"/>
            <w:hideMark/>
          </w:tcPr>
          <w:p w14:paraId="50F7174D" w14:textId="77777777" w:rsidR="00E47049" w:rsidRPr="00992414" w:rsidRDefault="00E47049" w:rsidP="00635B1A">
            <w:pPr>
              <w:pStyle w:val="ColumnHeading"/>
              <w:keepNext/>
            </w:pPr>
            <w:r w:rsidRPr="00992414">
              <w:t>Pozmeňujúci návrh</w:t>
            </w:r>
          </w:p>
        </w:tc>
      </w:tr>
      <w:tr w:rsidR="00E47049" w:rsidRPr="00992414" w14:paraId="69E23744" w14:textId="77777777" w:rsidTr="00635B1A">
        <w:trPr>
          <w:jc w:val="center"/>
        </w:trPr>
        <w:tc>
          <w:tcPr>
            <w:tcW w:w="4876" w:type="dxa"/>
          </w:tcPr>
          <w:p w14:paraId="37E9EC6B" w14:textId="77777777" w:rsidR="00E47049" w:rsidRPr="00992414" w:rsidRDefault="00E47049" w:rsidP="00635B1A">
            <w:pPr>
              <w:pStyle w:val="Normal6"/>
            </w:pPr>
          </w:p>
        </w:tc>
        <w:tc>
          <w:tcPr>
            <w:tcW w:w="4876" w:type="dxa"/>
            <w:hideMark/>
          </w:tcPr>
          <w:p w14:paraId="241F8FF4" w14:textId="0648D725" w:rsidR="00E47049" w:rsidRPr="00992414" w:rsidRDefault="00E47049" w:rsidP="00BE4DDD">
            <w:pPr>
              <w:pStyle w:val="Normal6"/>
              <w:rPr>
                <w:szCs w:val="24"/>
              </w:rPr>
            </w:pPr>
            <w:r w:rsidRPr="00992414">
              <w:rPr>
                <w:b/>
                <w:i/>
              </w:rPr>
              <w:t>(30a)</w:t>
            </w:r>
            <w:r w:rsidRPr="00992414">
              <w:rPr>
                <w:b/>
                <w:i/>
              </w:rPr>
              <w:tab/>
              <w:t>V záujme zaistenia jednotného uplatňovania kontrol príslušnými orgánmi by tieto kontroly mali vychádzať predovšetkým z analýzy rizika s cieľom identifikovať a vyhodnotiť riziká a vytvoriť potrebné protiopatrenia. Vytvorenie rámca riadenia rizík spoločného pre všetky členské štáty by členským štátom nemalo brániť v uskutočňovaní náhodných kontrol.</w:t>
            </w:r>
          </w:p>
        </w:tc>
      </w:tr>
      <w:tr w:rsidR="00E47049" w:rsidRPr="00992414" w14:paraId="7EFA5F97" w14:textId="77777777" w:rsidTr="00635B1A">
        <w:trPr>
          <w:jc w:val="center"/>
        </w:trPr>
        <w:tc>
          <w:tcPr>
            <w:tcW w:w="4876" w:type="dxa"/>
          </w:tcPr>
          <w:p w14:paraId="266F0B50" w14:textId="77777777" w:rsidR="00E47049" w:rsidRPr="00992414" w:rsidRDefault="00E47049" w:rsidP="00635B1A">
            <w:pPr>
              <w:pStyle w:val="Normal6"/>
            </w:pPr>
          </w:p>
        </w:tc>
        <w:tc>
          <w:tcPr>
            <w:tcW w:w="4876" w:type="dxa"/>
          </w:tcPr>
          <w:p w14:paraId="0D11CD37" w14:textId="33724E61" w:rsidR="00E47049" w:rsidRPr="00992414" w:rsidRDefault="00E47049" w:rsidP="00635B1A">
            <w:pPr>
              <w:pStyle w:val="Normal6"/>
              <w:rPr>
                <w:b/>
                <w:i/>
              </w:rPr>
            </w:pPr>
          </w:p>
        </w:tc>
      </w:tr>
      <w:tr w:rsidR="00E47049" w:rsidRPr="00992414" w14:paraId="50752A5B" w14:textId="77777777" w:rsidTr="00635B1A">
        <w:trPr>
          <w:jc w:val="center"/>
        </w:trPr>
        <w:tc>
          <w:tcPr>
            <w:tcW w:w="4876" w:type="dxa"/>
          </w:tcPr>
          <w:p w14:paraId="66320EED" w14:textId="77777777" w:rsidR="00E47049" w:rsidRPr="00992414" w:rsidRDefault="00E47049" w:rsidP="00635B1A">
            <w:pPr>
              <w:pStyle w:val="Normal6"/>
            </w:pPr>
          </w:p>
        </w:tc>
        <w:tc>
          <w:tcPr>
            <w:tcW w:w="4876" w:type="dxa"/>
          </w:tcPr>
          <w:p w14:paraId="297389AB" w14:textId="7DF8F238" w:rsidR="00E47049" w:rsidRPr="00992414" w:rsidRDefault="00E47049" w:rsidP="00635B1A">
            <w:pPr>
              <w:pStyle w:val="Normal6"/>
              <w:rPr>
                <w:b/>
                <w:i/>
              </w:rPr>
            </w:pPr>
          </w:p>
        </w:tc>
      </w:tr>
    </w:tbl>
    <w:p w14:paraId="39E6B89B" w14:textId="77777777" w:rsidR="00E47049" w:rsidRPr="00992414" w:rsidRDefault="00E47049" w:rsidP="00E47049">
      <w:r w:rsidRPr="00992414">
        <w:rPr>
          <w:rStyle w:val="HideTWBExt"/>
          <w:noProof w:val="0"/>
        </w:rPr>
        <w:t>&lt;/Amend&gt;</w:t>
      </w:r>
    </w:p>
    <w:p w14:paraId="1AC34163" w14:textId="60FBB5E0"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25</w:t>
      </w:r>
      <w:r w:rsidRPr="00992414">
        <w:rPr>
          <w:rStyle w:val="HideTWBExt"/>
          <w:b w:val="0"/>
          <w:noProof w:val="0"/>
        </w:rPr>
        <w:t>&lt;/NumAm&gt;</w:t>
      </w:r>
    </w:p>
    <w:p w14:paraId="4FB023E4"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335DD31F" w14:textId="77777777" w:rsidR="00376950" w:rsidRPr="00992414" w:rsidRDefault="00376950" w:rsidP="00376950">
      <w:pPr>
        <w:pStyle w:val="NormalBold"/>
      </w:pPr>
      <w:r w:rsidRPr="00992414">
        <w:rPr>
          <w:rStyle w:val="HideTWBExt"/>
          <w:b w:val="0"/>
          <w:noProof w:val="0"/>
        </w:rPr>
        <w:t>&lt;Article&gt;</w:t>
      </w:r>
      <w:r w:rsidRPr="00992414">
        <w:t>Odôvodnenie 31</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0DA69CEB" w14:textId="77777777" w:rsidTr="00376950">
        <w:trPr>
          <w:jc w:val="center"/>
        </w:trPr>
        <w:tc>
          <w:tcPr>
            <w:tcW w:w="9752" w:type="dxa"/>
            <w:gridSpan w:val="2"/>
          </w:tcPr>
          <w:p w14:paraId="31791851" w14:textId="77777777" w:rsidR="00376950" w:rsidRPr="00992414" w:rsidRDefault="00376950">
            <w:pPr>
              <w:keepNext/>
            </w:pPr>
          </w:p>
        </w:tc>
      </w:tr>
      <w:tr w:rsidR="00376950" w:rsidRPr="00992414" w14:paraId="3F361408" w14:textId="77777777" w:rsidTr="00376950">
        <w:trPr>
          <w:jc w:val="center"/>
        </w:trPr>
        <w:tc>
          <w:tcPr>
            <w:tcW w:w="4876" w:type="dxa"/>
            <w:hideMark/>
          </w:tcPr>
          <w:p w14:paraId="4BDE8D68" w14:textId="77777777" w:rsidR="00376950" w:rsidRPr="00992414" w:rsidRDefault="00376950">
            <w:pPr>
              <w:pStyle w:val="ColumnHeading"/>
              <w:keepNext/>
            </w:pPr>
            <w:r w:rsidRPr="00992414">
              <w:t>Text predložený Komisiou</w:t>
            </w:r>
          </w:p>
        </w:tc>
        <w:tc>
          <w:tcPr>
            <w:tcW w:w="4876" w:type="dxa"/>
            <w:hideMark/>
          </w:tcPr>
          <w:p w14:paraId="33E3A4CD" w14:textId="77777777" w:rsidR="00376950" w:rsidRPr="00992414" w:rsidRDefault="00376950">
            <w:pPr>
              <w:pStyle w:val="ColumnHeading"/>
              <w:keepNext/>
            </w:pPr>
            <w:r w:rsidRPr="00992414">
              <w:t>Pozmeňujúci návrh</w:t>
            </w:r>
          </w:p>
        </w:tc>
      </w:tr>
      <w:tr w:rsidR="00376950" w:rsidRPr="00992414" w14:paraId="0F5E09B1" w14:textId="77777777" w:rsidTr="00376950">
        <w:trPr>
          <w:jc w:val="center"/>
        </w:trPr>
        <w:tc>
          <w:tcPr>
            <w:tcW w:w="4876" w:type="dxa"/>
            <w:hideMark/>
          </w:tcPr>
          <w:p w14:paraId="18AB3C4B" w14:textId="77777777" w:rsidR="00376950" w:rsidRPr="00992414" w:rsidRDefault="00376950">
            <w:pPr>
              <w:pStyle w:val="Normal6"/>
            </w:pPr>
            <w:r w:rsidRPr="00992414">
              <w:t>(31)</w:t>
            </w:r>
            <w:r w:rsidRPr="00992414">
              <w:tab/>
              <w:t xml:space="preserve">S cieľom rýchlo zvážiť budúce zmeny medzinárodných noriem, ako ich stanovuje finančná akčná skupina na boj proti praniu špinavých peňazí, alebo riešiť </w:t>
            </w:r>
            <w:r w:rsidRPr="00992414">
              <w:rPr>
                <w:b/>
                <w:i/>
              </w:rPr>
              <w:t>obchádzanie</w:t>
            </w:r>
            <w:r w:rsidRPr="00992414">
              <w:t xml:space="preserve"> tohto nariadenia použitím likvidných uchovávateľov hodnoty, ktoré nie sú zahrnuté v definícii „peňažných prostriedkov v hotovosti“ by sa na Komisiu </w:t>
            </w:r>
            <w:r w:rsidRPr="00992414">
              <w:rPr>
                <w:b/>
                <w:i/>
              </w:rPr>
              <w:t xml:space="preserve">by sa </w:t>
            </w:r>
            <w:r w:rsidRPr="00992414">
              <w:t xml:space="preserve">mala preniesť právomoc prijímať akty v súlade s článkom 290 Zmluvy o fungovaní Európskej únie pokiaľ ide o </w:t>
            </w:r>
            <w:r w:rsidRPr="00992414">
              <w:rPr>
                <w:b/>
                <w:i/>
              </w:rPr>
              <w:t>uvedenú definíciu</w:t>
            </w:r>
            <w:r w:rsidRPr="00992414">
              <w:t>. Je osobitne dôležité, aby Komisia počas prípravných prác uskutočnila príslušné konzultácie, a to aj na úrovni expertov, a aby tieto konzultácie vykonávala v súlade so zásadami stanovenými v Medziinštitucionálnej dohode o lepšej tvorbe práva z 13. apríla 2016</w:t>
            </w:r>
            <w:r w:rsidRPr="00992414">
              <w:rPr>
                <w:vertAlign w:val="superscript"/>
              </w:rPr>
              <w:t>24</w:t>
            </w:r>
            <w:r w:rsidRPr="00992414">
              <w:t>;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tc>
        <w:tc>
          <w:tcPr>
            <w:tcW w:w="4876" w:type="dxa"/>
            <w:hideMark/>
          </w:tcPr>
          <w:p w14:paraId="7C34C45C" w14:textId="337D47B7" w:rsidR="00376950" w:rsidRPr="00992414" w:rsidRDefault="00376950" w:rsidP="0068488D">
            <w:pPr>
              <w:pStyle w:val="Normal6"/>
              <w:rPr>
                <w:szCs w:val="24"/>
              </w:rPr>
            </w:pPr>
            <w:r w:rsidRPr="00992414">
              <w:t>(31)</w:t>
            </w:r>
            <w:r w:rsidRPr="00992414">
              <w:tab/>
              <w:t xml:space="preserve">S cieľom rýchlo zvážiť budúce zmeny medzinárodných noriem, ako ich stanovuje finančná akčná skupina na boj proti praniu špinavých peňazí, alebo riešiť </w:t>
            </w:r>
            <w:r w:rsidRPr="00992414">
              <w:rPr>
                <w:b/>
                <w:i/>
              </w:rPr>
              <w:t>problém obchádzania</w:t>
            </w:r>
            <w:r w:rsidRPr="00992414">
              <w:t xml:space="preserve"> tohto nariadenia použitím likvidných uchovávateľov hodnoty, ktoré nie sú zahrnuté v definícii „peňažných prostriedkov v hotovosti“ by sa na Komisiu mala preniesť právomoc prijímať akty v súlade s článkom 290 Zmluvy o fungovaní Európskej únie</w:t>
            </w:r>
            <w:r w:rsidRPr="00992414">
              <w:rPr>
                <w:b/>
                <w:i/>
              </w:rPr>
              <w:t>,</w:t>
            </w:r>
            <w:r w:rsidRPr="00992414">
              <w:t xml:space="preserve"> pokiaľ ide o </w:t>
            </w:r>
            <w:r w:rsidRPr="00992414">
              <w:rPr>
                <w:b/>
                <w:i/>
              </w:rPr>
              <w:t>podrobné pravidlá na vykonávanie kontrol príslušnými orgánmi – zohľadňujúc pritom spoločný rámec riadenia rizík vymedzený v nariadení Európskeho parlamentu a Rady (EÚ) č. 952/2013</w:t>
            </w:r>
            <w:r w:rsidRPr="00992414">
              <w:rPr>
                <w:b/>
                <w:i/>
                <w:vertAlign w:val="superscript"/>
              </w:rPr>
              <w:t>23a</w:t>
            </w:r>
            <w:r w:rsidRPr="00992414">
              <w:rPr>
                <w:b/>
                <w:i/>
              </w:rPr>
              <w:t xml:space="preserve"> a analýzu posúdenia rizík uskutočnenú v súlade so smernicou (EÚ) 2015/849 – a pokiaľ ide o zmeny prílohy I k tomuto nariadeniu</w:t>
            </w:r>
            <w:r w:rsidRPr="00992414">
              <w:t>.</w:t>
            </w:r>
            <w:r w:rsidRPr="00992414">
              <w:rPr>
                <w:b/>
                <w:i/>
              </w:rPr>
              <w:t xml:space="preserve">  </w:t>
            </w:r>
            <w:r w:rsidRPr="00992414">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w:t>
            </w:r>
            <w:r w:rsidRPr="00992414">
              <w:rPr>
                <w:vertAlign w:val="superscript"/>
              </w:rPr>
              <w:t>24;</w:t>
            </w:r>
            <w:r w:rsidRPr="00992414">
              <w:t xml:space="preserve">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tc>
      </w:tr>
      <w:tr w:rsidR="00376950" w:rsidRPr="00992414" w14:paraId="2F06A05F" w14:textId="77777777" w:rsidTr="00376950">
        <w:trPr>
          <w:jc w:val="center"/>
        </w:trPr>
        <w:tc>
          <w:tcPr>
            <w:tcW w:w="4876" w:type="dxa"/>
            <w:hideMark/>
          </w:tcPr>
          <w:p w14:paraId="25A67FFA" w14:textId="77777777" w:rsidR="00376950" w:rsidRPr="00992414" w:rsidRDefault="00376950">
            <w:pPr>
              <w:pStyle w:val="Normal6"/>
            </w:pPr>
            <w:r w:rsidRPr="00992414">
              <w:t>__________________</w:t>
            </w:r>
          </w:p>
        </w:tc>
        <w:tc>
          <w:tcPr>
            <w:tcW w:w="4876" w:type="dxa"/>
            <w:hideMark/>
          </w:tcPr>
          <w:p w14:paraId="7F8867E4" w14:textId="7C88443A" w:rsidR="00BE4DDD" w:rsidRPr="00992414" w:rsidRDefault="00376950" w:rsidP="0068488D">
            <w:pPr>
              <w:pStyle w:val="Normal6"/>
              <w:rPr>
                <w:szCs w:val="24"/>
              </w:rPr>
            </w:pPr>
            <w:r w:rsidRPr="00992414">
              <w:t>__________________</w:t>
            </w:r>
          </w:p>
        </w:tc>
      </w:tr>
      <w:tr w:rsidR="0068488D" w:rsidRPr="00992414" w14:paraId="3E00BA9A" w14:textId="77777777" w:rsidTr="00376950">
        <w:trPr>
          <w:jc w:val="center"/>
        </w:trPr>
        <w:tc>
          <w:tcPr>
            <w:tcW w:w="4876" w:type="dxa"/>
          </w:tcPr>
          <w:p w14:paraId="79B4ECD0" w14:textId="77777777" w:rsidR="0068488D" w:rsidRPr="00992414" w:rsidRDefault="0068488D">
            <w:pPr>
              <w:pStyle w:val="Normal6"/>
            </w:pPr>
          </w:p>
        </w:tc>
        <w:tc>
          <w:tcPr>
            <w:tcW w:w="4876" w:type="dxa"/>
          </w:tcPr>
          <w:p w14:paraId="2CEDE897" w14:textId="6834FC30" w:rsidR="0068488D" w:rsidRPr="00992414" w:rsidRDefault="0068488D">
            <w:pPr>
              <w:pStyle w:val="Normal6"/>
            </w:pPr>
            <w:r w:rsidRPr="00992414">
              <w:rPr>
                <w:b/>
                <w:i/>
                <w:vertAlign w:val="superscript"/>
              </w:rPr>
              <w:t>23a</w:t>
            </w:r>
            <w:r w:rsidRPr="00992414">
              <w:rPr>
                <w:b/>
                <w:i/>
              </w:rPr>
              <w:t xml:space="preserve"> Nariadenie Európskeho parlamentu a Rady (EÚ) č. 952/2013 z 9. októbra 2013, ktorým sa ustanovuje Colný kódex Únie (Ú. v. EÚ L 269, 10.10.2013, s. 1).</w:t>
            </w:r>
          </w:p>
        </w:tc>
      </w:tr>
      <w:tr w:rsidR="00376950" w:rsidRPr="00992414" w14:paraId="24860FA1" w14:textId="77777777" w:rsidTr="00376950">
        <w:trPr>
          <w:jc w:val="center"/>
        </w:trPr>
        <w:tc>
          <w:tcPr>
            <w:tcW w:w="4876" w:type="dxa"/>
            <w:hideMark/>
          </w:tcPr>
          <w:p w14:paraId="2C4330CF" w14:textId="77777777" w:rsidR="00376950" w:rsidRPr="00992414" w:rsidRDefault="00376950">
            <w:pPr>
              <w:pStyle w:val="Normal6"/>
            </w:pPr>
            <w:r w:rsidRPr="00992414">
              <w:rPr>
                <w:vertAlign w:val="superscript"/>
              </w:rPr>
              <w:t>24</w:t>
            </w:r>
            <w:r w:rsidRPr="00992414">
              <w:t xml:space="preserve"> Ref. na Ú. v. [L 123/1]</w:t>
            </w:r>
          </w:p>
        </w:tc>
        <w:tc>
          <w:tcPr>
            <w:tcW w:w="4876" w:type="dxa"/>
            <w:hideMark/>
          </w:tcPr>
          <w:p w14:paraId="28B435F0" w14:textId="77777777" w:rsidR="00376950" w:rsidRPr="00992414" w:rsidRDefault="00376950">
            <w:pPr>
              <w:pStyle w:val="Normal6"/>
              <w:rPr>
                <w:szCs w:val="24"/>
              </w:rPr>
            </w:pPr>
            <w:r w:rsidRPr="00992414">
              <w:rPr>
                <w:vertAlign w:val="superscript"/>
              </w:rPr>
              <w:t>24</w:t>
            </w:r>
            <w:r w:rsidRPr="00992414">
              <w:t xml:space="preserve"> Ref. na Ú. v. [L 123/1]</w:t>
            </w:r>
          </w:p>
        </w:tc>
      </w:tr>
    </w:tbl>
    <w:p w14:paraId="4BD3A2DE" w14:textId="77777777" w:rsidR="00376950" w:rsidRPr="00992414" w:rsidRDefault="00376950" w:rsidP="00376950">
      <w:r w:rsidRPr="00992414">
        <w:rPr>
          <w:rStyle w:val="HideTWBExt"/>
          <w:noProof w:val="0"/>
        </w:rPr>
        <w:t>&lt;/Amend&gt;</w:t>
      </w:r>
    </w:p>
    <w:p w14:paraId="6DD6ACF2" w14:textId="77E5832A" w:rsidR="001D0DD8" w:rsidRPr="00992414" w:rsidRDefault="001D0DD8" w:rsidP="001D0DD8">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26</w:t>
      </w:r>
      <w:r w:rsidRPr="00992414">
        <w:rPr>
          <w:rStyle w:val="HideTWBExt"/>
          <w:b w:val="0"/>
          <w:noProof w:val="0"/>
        </w:rPr>
        <w:t>&lt;/NumAm&gt;</w:t>
      </w:r>
    </w:p>
    <w:p w14:paraId="5FB5A763" w14:textId="77777777" w:rsidR="001D0DD8" w:rsidRPr="00992414" w:rsidRDefault="001D0DD8" w:rsidP="001D0DD8">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56E37B52" w14:textId="77777777" w:rsidR="001D0DD8" w:rsidRPr="00992414" w:rsidRDefault="001D0DD8" w:rsidP="001D0DD8">
      <w:pPr>
        <w:pStyle w:val="NormalBold"/>
      </w:pPr>
      <w:r w:rsidRPr="00992414">
        <w:rPr>
          <w:rStyle w:val="HideTWBExt"/>
          <w:b w:val="0"/>
          <w:noProof w:val="0"/>
        </w:rPr>
        <w:t>&lt;Article&gt;</w:t>
      </w:r>
      <w:r w:rsidRPr="00992414">
        <w:t>Odôvodnenie 31 a (nové)</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0DD8" w:rsidRPr="00992414" w14:paraId="2172732B" w14:textId="77777777" w:rsidTr="00635B1A">
        <w:trPr>
          <w:jc w:val="center"/>
        </w:trPr>
        <w:tc>
          <w:tcPr>
            <w:tcW w:w="9752" w:type="dxa"/>
            <w:gridSpan w:val="2"/>
          </w:tcPr>
          <w:p w14:paraId="6FFEEA61" w14:textId="77777777" w:rsidR="001D0DD8" w:rsidRPr="00992414" w:rsidRDefault="001D0DD8" w:rsidP="00635B1A">
            <w:pPr>
              <w:keepNext/>
            </w:pPr>
          </w:p>
        </w:tc>
      </w:tr>
      <w:tr w:rsidR="001D0DD8" w:rsidRPr="00992414" w14:paraId="762E2500" w14:textId="77777777" w:rsidTr="00635B1A">
        <w:trPr>
          <w:jc w:val="center"/>
        </w:trPr>
        <w:tc>
          <w:tcPr>
            <w:tcW w:w="4876" w:type="dxa"/>
            <w:hideMark/>
          </w:tcPr>
          <w:p w14:paraId="3EB8E9B3" w14:textId="77777777" w:rsidR="001D0DD8" w:rsidRPr="00992414" w:rsidRDefault="001D0DD8" w:rsidP="00635B1A">
            <w:pPr>
              <w:pStyle w:val="ColumnHeading"/>
              <w:keepNext/>
            </w:pPr>
            <w:r w:rsidRPr="00992414">
              <w:t>Text predložený Komisiou</w:t>
            </w:r>
          </w:p>
        </w:tc>
        <w:tc>
          <w:tcPr>
            <w:tcW w:w="4876" w:type="dxa"/>
            <w:hideMark/>
          </w:tcPr>
          <w:p w14:paraId="56EA50E4" w14:textId="77777777" w:rsidR="001D0DD8" w:rsidRPr="00992414" w:rsidRDefault="001D0DD8" w:rsidP="00635B1A">
            <w:pPr>
              <w:pStyle w:val="ColumnHeading"/>
              <w:keepNext/>
            </w:pPr>
            <w:r w:rsidRPr="00992414">
              <w:t>Pozmeňujúci návrh</w:t>
            </w:r>
          </w:p>
        </w:tc>
      </w:tr>
      <w:tr w:rsidR="001D0DD8" w:rsidRPr="00992414" w14:paraId="01268726" w14:textId="77777777" w:rsidTr="00635B1A">
        <w:trPr>
          <w:jc w:val="center"/>
        </w:trPr>
        <w:tc>
          <w:tcPr>
            <w:tcW w:w="4876" w:type="dxa"/>
          </w:tcPr>
          <w:p w14:paraId="634E5999" w14:textId="77777777" w:rsidR="001D0DD8" w:rsidRPr="00992414" w:rsidRDefault="001D0DD8" w:rsidP="00635B1A">
            <w:pPr>
              <w:pStyle w:val="Normal6"/>
            </w:pPr>
          </w:p>
        </w:tc>
        <w:tc>
          <w:tcPr>
            <w:tcW w:w="4876" w:type="dxa"/>
            <w:hideMark/>
          </w:tcPr>
          <w:p w14:paraId="4FD0324D" w14:textId="243E84F3" w:rsidR="001D0DD8" w:rsidRPr="00992414" w:rsidRDefault="001D0DD8" w:rsidP="00E0417F">
            <w:pPr>
              <w:pStyle w:val="Normal6"/>
              <w:rPr>
                <w:szCs w:val="24"/>
              </w:rPr>
            </w:pPr>
            <w:r w:rsidRPr="00992414">
              <w:rPr>
                <w:b/>
                <w:i/>
              </w:rPr>
              <w:t>(31a)</w:t>
            </w:r>
            <w:r w:rsidRPr="00992414">
              <w:rPr>
                <w:b/>
                <w:i/>
              </w:rPr>
              <w:tab/>
              <w:t>Aby sa napravila súčasná situácia, keď si mnohí cestujúci nie sú vedomí svojej povinnosti oznámiť hotovosť, by členské štáty v spolupráci s Komisiou mali vypracovať vhodné materiály a začať pravidelné kampane na zvyšovanie povedomia zamerané na občanov Únie, štátnych príslušníkov tretích krajín, ako aj na právnické osoby. Tieto kampane by sa mali harmonizovať, a to vzhľadom na to, že by mali byť určené pre vonkajšie hranice Únie.</w:t>
            </w:r>
          </w:p>
        </w:tc>
      </w:tr>
    </w:tbl>
    <w:p w14:paraId="1D1B6760" w14:textId="77777777" w:rsidR="001108C8" w:rsidRPr="00992414" w:rsidRDefault="001D0DD8" w:rsidP="001108C8">
      <w:r w:rsidRPr="00992414">
        <w:rPr>
          <w:rStyle w:val="HideTWBExt"/>
          <w:noProof w:val="0"/>
        </w:rPr>
        <w:t>&lt;/Amend&gt;</w:t>
      </w:r>
    </w:p>
    <w:p w14:paraId="0C9127F9" w14:textId="61CCE8C5" w:rsidR="001108C8" w:rsidRPr="00992414" w:rsidRDefault="001108C8" w:rsidP="001108C8">
      <w:pPr>
        <w:pStyle w:val="AMNumberTabs"/>
        <w:keepNext/>
      </w:pPr>
      <w:r w:rsidRPr="00992414">
        <w:rPr>
          <w:rStyle w:val="HideTWBExt"/>
          <w:b w:val="0"/>
          <w:noProof w:val="0"/>
        </w:rPr>
        <w:t>&lt;AmendB&gt;</w:t>
      </w:r>
      <w:r w:rsidRPr="00992414">
        <w:t>Pozmeňujúci návrh</w:t>
      </w:r>
      <w:r w:rsidRPr="00992414">
        <w:tab/>
      </w:r>
      <w:r w:rsidRPr="00992414">
        <w:tab/>
      </w:r>
      <w:r w:rsidRPr="00992414">
        <w:rPr>
          <w:rStyle w:val="HideTWBExt"/>
          <w:b w:val="0"/>
          <w:noProof w:val="0"/>
        </w:rPr>
        <w:t>&lt;NumAmB&gt;</w:t>
      </w:r>
      <w:r w:rsidRPr="00992414">
        <w:t>27</w:t>
      </w:r>
      <w:r w:rsidRPr="00992414">
        <w:rPr>
          <w:rStyle w:val="HideTWBExt"/>
          <w:b w:val="0"/>
          <w:noProof w:val="0"/>
        </w:rPr>
        <w:t>&lt;/NumAmB&gt;</w:t>
      </w:r>
    </w:p>
    <w:p w14:paraId="37B72412" w14:textId="77777777" w:rsidR="001108C8" w:rsidRPr="00992414" w:rsidRDefault="001108C8" w:rsidP="001108C8">
      <w:pPr>
        <w:pStyle w:val="NormalBold12b"/>
      </w:pPr>
      <w:r w:rsidRPr="00992414">
        <w:rPr>
          <w:rStyle w:val="HideTWBExt"/>
          <w:b w:val="0"/>
          <w:noProof w:val="0"/>
        </w:rPr>
        <w:t>&lt;DocAmend&gt;</w:t>
      </w:r>
      <w:r w:rsidRPr="00992414">
        <w:t>Návrh nariadenia</w:t>
      </w:r>
      <w:r w:rsidRPr="00992414">
        <w:rPr>
          <w:rStyle w:val="HideTWBExt"/>
          <w:b w:val="0"/>
          <w:noProof w:val="0"/>
        </w:rPr>
        <w:t>&lt;/DocAmend&gt;</w:t>
      </w:r>
    </w:p>
    <w:p w14:paraId="07EF8B41" w14:textId="77777777" w:rsidR="001108C8" w:rsidRPr="00992414" w:rsidRDefault="001108C8" w:rsidP="001108C8">
      <w:pPr>
        <w:pStyle w:val="NormalBold"/>
      </w:pPr>
      <w:r w:rsidRPr="00992414">
        <w:rPr>
          <w:rStyle w:val="HideTWBExt"/>
          <w:b w:val="0"/>
          <w:noProof w:val="0"/>
        </w:rPr>
        <w:t>&lt;Article&gt;</w:t>
      </w:r>
      <w:r w:rsidRPr="00992414">
        <w:t>Článok 1 – odsek 1</w:t>
      </w:r>
      <w:r w:rsidRPr="0099241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108C8" w:rsidRPr="00992414" w14:paraId="0E2F70DF" w14:textId="77777777" w:rsidTr="00245FBF">
        <w:trPr>
          <w:jc w:val="center"/>
        </w:trPr>
        <w:tc>
          <w:tcPr>
            <w:tcW w:w="9752" w:type="dxa"/>
            <w:gridSpan w:val="2"/>
          </w:tcPr>
          <w:p w14:paraId="0BBDDF62" w14:textId="77777777" w:rsidR="001108C8" w:rsidRPr="00992414" w:rsidRDefault="001108C8" w:rsidP="00245FBF">
            <w:pPr>
              <w:keepNext/>
            </w:pPr>
          </w:p>
        </w:tc>
      </w:tr>
      <w:tr w:rsidR="001108C8" w:rsidRPr="00992414" w14:paraId="1242F731" w14:textId="77777777" w:rsidTr="00245FBF">
        <w:trPr>
          <w:jc w:val="center"/>
        </w:trPr>
        <w:tc>
          <w:tcPr>
            <w:tcW w:w="4876" w:type="dxa"/>
          </w:tcPr>
          <w:p w14:paraId="4D09CC50" w14:textId="77777777" w:rsidR="001108C8" w:rsidRPr="00992414" w:rsidRDefault="001108C8" w:rsidP="00245FBF">
            <w:pPr>
              <w:pStyle w:val="ColumnHeading"/>
              <w:keepNext/>
            </w:pPr>
            <w:r w:rsidRPr="00992414">
              <w:t>Text predložený Komisiou</w:t>
            </w:r>
          </w:p>
        </w:tc>
        <w:tc>
          <w:tcPr>
            <w:tcW w:w="4876" w:type="dxa"/>
          </w:tcPr>
          <w:p w14:paraId="0BF006D6" w14:textId="77777777" w:rsidR="001108C8" w:rsidRPr="00992414" w:rsidRDefault="001108C8" w:rsidP="00245FBF">
            <w:pPr>
              <w:pStyle w:val="ColumnHeading"/>
              <w:keepNext/>
            </w:pPr>
            <w:r w:rsidRPr="00992414">
              <w:t>Pozmeňujúci návrh</w:t>
            </w:r>
          </w:p>
        </w:tc>
      </w:tr>
      <w:tr w:rsidR="001108C8" w:rsidRPr="00992414" w14:paraId="45745671" w14:textId="77777777" w:rsidTr="00245FBF">
        <w:trPr>
          <w:jc w:val="center"/>
        </w:trPr>
        <w:tc>
          <w:tcPr>
            <w:tcW w:w="4876" w:type="dxa"/>
          </w:tcPr>
          <w:p w14:paraId="2E11D62A" w14:textId="77777777" w:rsidR="001108C8" w:rsidRPr="00992414" w:rsidRDefault="001108C8" w:rsidP="00245FBF">
            <w:pPr>
              <w:pStyle w:val="Normal6"/>
            </w:pPr>
            <w:r w:rsidRPr="00992414">
              <w:t>Týmto nariadením sa stanovuje systém kontrol, pokiaľ ide o</w:t>
            </w:r>
            <w:r w:rsidRPr="00992414">
              <w:rPr>
                <w:b/>
                <w:i/>
              </w:rPr>
              <w:t xml:space="preserve"> </w:t>
            </w:r>
            <w:r w:rsidRPr="00992414">
              <w:t>peňažné prostriedky v</w:t>
            </w:r>
            <w:r w:rsidRPr="00992414">
              <w:rPr>
                <w:b/>
                <w:i/>
              </w:rPr>
              <w:t xml:space="preserve"> </w:t>
            </w:r>
            <w:r w:rsidRPr="00992414">
              <w:t>hotovosti, ktoré vstupujú do Únie, resp. opúšťajú Úniu, a</w:t>
            </w:r>
            <w:r w:rsidRPr="00992414">
              <w:rPr>
                <w:b/>
                <w:i/>
              </w:rPr>
              <w:t xml:space="preserve"> </w:t>
            </w:r>
            <w:r w:rsidRPr="00992414">
              <w:t>to s</w:t>
            </w:r>
            <w:r w:rsidRPr="00992414">
              <w:rPr>
                <w:b/>
                <w:i/>
              </w:rPr>
              <w:t xml:space="preserve"> </w:t>
            </w:r>
            <w:r w:rsidRPr="00992414">
              <w:t>cieľom doplniť právny rámec na predchádzanie praniu špinavých peňazí a</w:t>
            </w:r>
            <w:r w:rsidRPr="00992414">
              <w:rPr>
                <w:b/>
                <w:i/>
              </w:rPr>
              <w:t xml:space="preserve"> </w:t>
            </w:r>
            <w:r w:rsidRPr="00992414">
              <w:t>financovaniu terorizmu, ktorý sa stanovuje v</w:t>
            </w:r>
            <w:r w:rsidRPr="00992414">
              <w:rPr>
                <w:b/>
                <w:i/>
              </w:rPr>
              <w:t xml:space="preserve"> </w:t>
            </w:r>
            <w:r w:rsidRPr="00992414">
              <w:t>smernici (EÚ) 2015/849.</w:t>
            </w:r>
          </w:p>
        </w:tc>
        <w:tc>
          <w:tcPr>
            <w:tcW w:w="4876" w:type="dxa"/>
          </w:tcPr>
          <w:p w14:paraId="7D51C80B" w14:textId="0D0AC3A8" w:rsidR="001108C8" w:rsidRPr="00992414" w:rsidRDefault="001108C8" w:rsidP="003272B9">
            <w:pPr>
              <w:pStyle w:val="Normal6"/>
              <w:rPr>
                <w:szCs w:val="24"/>
              </w:rPr>
            </w:pPr>
            <w:r w:rsidRPr="00992414">
              <w:t>Týmto nariadením sa stanovuje systém kontrol, pokiaľ ide o</w:t>
            </w:r>
            <w:r w:rsidRPr="00992414">
              <w:rPr>
                <w:b/>
                <w:i/>
              </w:rPr>
              <w:t> </w:t>
            </w:r>
            <w:r w:rsidRPr="00992414">
              <w:t>peňažné prostriedky v</w:t>
            </w:r>
            <w:r w:rsidRPr="00992414">
              <w:rPr>
                <w:b/>
                <w:i/>
              </w:rPr>
              <w:t> </w:t>
            </w:r>
            <w:r w:rsidRPr="00992414">
              <w:t>hotovosti, ktoré vstupujú do Únie, resp. opúšťajú Úniu, a</w:t>
            </w:r>
            <w:r w:rsidRPr="00992414">
              <w:rPr>
                <w:b/>
                <w:i/>
              </w:rPr>
              <w:t> </w:t>
            </w:r>
            <w:r w:rsidRPr="00992414">
              <w:t>to s</w:t>
            </w:r>
            <w:r w:rsidRPr="00992414">
              <w:rPr>
                <w:b/>
                <w:i/>
              </w:rPr>
              <w:t> </w:t>
            </w:r>
            <w:r w:rsidRPr="00992414">
              <w:t>cieľom doplniť právny rámec na predchádzanie praniu špinavých peňazí a</w:t>
            </w:r>
            <w:r w:rsidRPr="00992414">
              <w:rPr>
                <w:b/>
                <w:i/>
              </w:rPr>
              <w:t> </w:t>
            </w:r>
            <w:r w:rsidRPr="00992414">
              <w:t>financovaniu terorizmu, ktorý sa stanovuje v</w:t>
            </w:r>
            <w:r w:rsidRPr="00992414">
              <w:rPr>
                <w:b/>
                <w:i/>
              </w:rPr>
              <w:t> </w:t>
            </w:r>
            <w:r w:rsidRPr="00992414">
              <w:t>smernici (EÚ) 2015/849</w:t>
            </w:r>
            <w:r w:rsidRPr="00992414">
              <w:rPr>
                <w:b/>
                <w:i/>
              </w:rPr>
              <w:t>, a na predchádzanie akejkoľvek inej trestnej činnosti, ktorá je v rozpore s bezpečnosťou Únie alebo členských štátov</w:t>
            </w:r>
            <w:r w:rsidRPr="00992414">
              <w:t>.</w:t>
            </w:r>
          </w:p>
        </w:tc>
      </w:tr>
    </w:tbl>
    <w:p w14:paraId="1B24FE0D" w14:textId="77777777" w:rsidR="001108C8" w:rsidRPr="00992414" w:rsidRDefault="001108C8" w:rsidP="001108C8">
      <w:r w:rsidRPr="00992414">
        <w:rPr>
          <w:rStyle w:val="HideTWBExt"/>
          <w:noProof w:val="0"/>
        </w:rPr>
        <w:t>&lt;/AmendB&gt;</w:t>
      </w:r>
    </w:p>
    <w:p w14:paraId="5E6983B2" w14:textId="4513B64F"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28</w:t>
      </w:r>
      <w:r w:rsidRPr="00992414">
        <w:rPr>
          <w:rStyle w:val="HideTWBExt"/>
          <w:b w:val="0"/>
          <w:noProof w:val="0"/>
        </w:rPr>
        <w:t>&lt;/NumAm&gt;</w:t>
      </w:r>
    </w:p>
    <w:p w14:paraId="10EE229A"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1AB226BE" w14:textId="77777777" w:rsidR="00376950" w:rsidRPr="00992414" w:rsidRDefault="00376950" w:rsidP="00376950">
      <w:pPr>
        <w:pStyle w:val="NormalBold"/>
      </w:pPr>
      <w:r w:rsidRPr="00992414">
        <w:rPr>
          <w:rStyle w:val="HideTWBExt"/>
          <w:b w:val="0"/>
          <w:noProof w:val="0"/>
        </w:rPr>
        <w:t>&lt;Article&gt;</w:t>
      </w:r>
      <w:r w:rsidRPr="00992414">
        <w:t>Článok 2 – odsek 1 – písmeno a – zarážka 2</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6F78E4E8" w14:textId="77777777" w:rsidTr="00376950">
        <w:trPr>
          <w:jc w:val="center"/>
        </w:trPr>
        <w:tc>
          <w:tcPr>
            <w:tcW w:w="9752" w:type="dxa"/>
            <w:gridSpan w:val="2"/>
          </w:tcPr>
          <w:p w14:paraId="3F8514B9" w14:textId="77777777" w:rsidR="00376950" w:rsidRPr="00992414" w:rsidRDefault="00376950">
            <w:pPr>
              <w:keepNext/>
            </w:pPr>
          </w:p>
        </w:tc>
      </w:tr>
      <w:tr w:rsidR="00376950" w:rsidRPr="00992414" w14:paraId="1C97A438" w14:textId="77777777" w:rsidTr="00376950">
        <w:trPr>
          <w:jc w:val="center"/>
        </w:trPr>
        <w:tc>
          <w:tcPr>
            <w:tcW w:w="4876" w:type="dxa"/>
            <w:hideMark/>
          </w:tcPr>
          <w:p w14:paraId="0BF2811C" w14:textId="77777777" w:rsidR="00376950" w:rsidRPr="00992414" w:rsidRDefault="00376950">
            <w:pPr>
              <w:pStyle w:val="ColumnHeading"/>
              <w:keepNext/>
            </w:pPr>
            <w:r w:rsidRPr="00992414">
              <w:t>Text predložený Komisiou</w:t>
            </w:r>
          </w:p>
        </w:tc>
        <w:tc>
          <w:tcPr>
            <w:tcW w:w="4876" w:type="dxa"/>
            <w:hideMark/>
          </w:tcPr>
          <w:p w14:paraId="714FC724" w14:textId="77777777" w:rsidR="00376950" w:rsidRPr="00992414" w:rsidRDefault="00376950">
            <w:pPr>
              <w:pStyle w:val="ColumnHeading"/>
              <w:keepNext/>
            </w:pPr>
            <w:r w:rsidRPr="00992414">
              <w:t>Pozmeňujúci návrh</w:t>
            </w:r>
          </w:p>
        </w:tc>
      </w:tr>
      <w:tr w:rsidR="00376950" w:rsidRPr="00992414" w14:paraId="5BC25024" w14:textId="77777777" w:rsidTr="00376950">
        <w:trPr>
          <w:jc w:val="center"/>
        </w:trPr>
        <w:tc>
          <w:tcPr>
            <w:tcW w:w="4876" w:type="dxa"/>
            <w:hideMark/>
          </w:tcPr>
          <w:p w14:paraId="0083C0CE" w14:textId="77777777" w:rsidR="00376950" w:rsidRPr="00992414" w:rsidRDefault="00376950">
            <w:pPr>
              <w:pStyle w:val="Normal6"/>
            </w:pPr>
            <w:r w:rsidRPr="00992414">
              <w:t>–</w:t>
            </w:r>
            <w:r w:rsidRPr="00992414">
              <w:tab/>
              <w:t xml:space="preserve">obchodovateľné finančné nástroje na doručiteľa </w:t>
            </w:r>
            <w:r w:rsidRPr="00992414">
              <w:rPr>
                <w:b/>
                <w:i/>
              </w:rPr>
              <w:t>uvedené v prílohe</w:t>
            </w:r>
            <w:r w:rsidRPr="00992414">
              <w:t xml:space="preserve"> </w:t>
            </w:r>
            <w:r w:rsidRPr="00992414">
              <w:rPr>
                <w:b/>
                <w:i/>
              </w:rPr>
              <w:t>I</w:t>
            </w:r>
            <w:r w:rsidRPr="00992414">
              <w:t>,</w:t>
            </w:r>
          </w:p>
        </w:tc>
        <w:tc>
          <w:tcPr>
            <w:tcW w:w="4876" w:type="dxa"/>
            <w:hideMark/>
          </w:tcPr>
          <w:p w14:paraId="598844C0" w14:textId="77777777" w:rsidR="00376950" w:rsidRPr="00992414" w:rsidRDefault="00376950">
            <w:pPr>
              <w:pStyle w:val="Normal6"/>
              <w:rPr>
                <w:szCs w:val="24"/>
              </w:rPr>
            </w:pPr>
            <w:r w:rsidRPr="00992414">
              <w:t>–</w:t>
            </w:r>
            <w:r w:rsidRPr="00992414">
              <w:tab/>
              <w:t>obchodovateľné finančné nástroje na doručiteľa,</w:t>
            </w:r>
          </w:p>
        </w:tc>
      </w:tr>
    </w:tbl>
    <w:p w14:paraId="5AD86EAC" w14:textId="77777777" w:rsidR="00376950" w:rsidRPr="00992414" w:rsidRDefault="00376950" w:rsidP="00376950">
      <w:r w:rsidRPr="00992414">
        <w:rPr>
          <w:rStyle w:val="HideTWBExt"/>
          <w:noProof w:val="0"/>
        </w:rPr>
        <w:t>&lt;/Amend&gt;</w:t>
      </w:r>
    </w:p>
    <w:p w14:paraId="3C1AB57E" w14:textId="3344BC75"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29</w:t>
      </w:r>
      <w:r w:rsidRPr="00992414">
        <w:rPr>
          <w:rStyle w:val="HideTWBExt"/>
          <w:b w:val="0"/>
          <w:noProof w:val="0"/>
        </w:rPr>
        <w:t>&lt;/NumAm&gt;</w:t>
      </w:r>
    </w:p>
    <w:p w14:paraId="67B18A06"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2108ED8F" w14:textId="77777777" w:rsidR="00376950" w:rsidRPr="00992414" w:rsidRDefault="00376950" w:rsidP="00376950">
      <w:pPr>
        <w:pStyle w:val="NormalBold"/>
      </w:pPr>
      <w:r w:rsidRPr="00992414">
        <w:rPr>
          <w:rStyle w:val="HideTWBExt"/>
          <w:b w:val="0"/>
          <w:noProof w:val="0"/>
        </w:rPr>
        <w:t>&lt;Article&gt;</w:t>
      </w:r>
      <w:r w:rsidRPr="00992414">
        <w:t>Článok 2 – odsek 1 – písmeno a – zarážka 3</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65C266F6" w14:textId="77777777" w:rsidTr="00376950">
        <w:trPr>
          <w:jc w:val="center"/>
        </w:trPr>
        <w:tc>
          <w:tcPr>
            <w:tcW w:w="9752" w:type="dxa"/>
            <w:gridSpan w:val="2"/>
          </w:tcPr>
          <w:p w14:paraId="6E8E5792" w14:textId="77777777" w:rsidR="00376950" w:rsidRPr="00992414" w:rsidRDefault="00376950">
            <w:pPr>
              <w:keepNext/>
            </w:pPr>
          </w:p>
        </w:tc>
      </w:tr>
      <w:tr w:rsidR="00376950" w:rsidRPr="00992414" w14:paraId="58C18944" w14:textId="77777777" w:rsidTr="00376950">
        <w:trPr>
          <w:jc w:val="center"/>
        </w:trPr>
        <w:tc>
          <w:tcPr>
            <w:tcW w:w="4876" w:type="dxa"/>
            <w:hideMark/>
          </w:tcPr>
          <w:p w14:paraId="6DF4CCFF" w14:textId="77777777" w:rsidR="00376950" w:rsidRPr="00992414" w:rsidRDefault="00376950">
            <w:pPr>
              <w:pStyle w:val="ColumnHeading"/>
              <w:keepNext/>
            </w:pPr>
            <w:r w:rsidRPr="00992414">
              <w:t>Text predložený Komisiou</w:t>
            </w:r>
          </w:p>
        </w:tc>
        <w:tc>
          <w:tcPr>
            <w:tcW w:w="4876" w:type="dxa"/>
            <w:hideMark/>
          </w:tcPr>
          <w:p w14:paraId="63694679" w14:textId="77777777" w:rsidR="00376950" w:rsidRPr="00992414" w:rsidRDefault="00376950">
            <w:pPr>
              <w:pStyle w:val="ColumnHeading"/>
              <w:keepNext/>
            </w:pPr>
            <w:r w:rsidRPr="00992414">
              <w:t>Pozmeňujúci návrh</w:t>
            </w:r>
          </w:p>
        </w:tc>
      </w:tr>
      <w:tr w:rsidR="00376950" w:rsidRPr="00992414" w14:paraId="58F341BF" w14:textId="77777777" w:rsidTr="00376950">
        <w:trPr>
          <w:jc w:val="center"/>
        </w:trPr>
        <w:tc>
          <w:tcPr>
            <w:tcW w:w="4876" w:type="dxa"/>
            <w:hideMark/>
          </w:tcPr>
          <w:p w14:paraId="13BBD278" w14:textId="77777777" w:rsidR="00376950" w:rsidRPr="00992414" w:rsidRDefault="00376950">
            <w:pPr>
              <w:pStyle w:val="Normal6"/>
            </w:pPr>
            <w:r w:rsidRPr="00992414">
              <w:t>–</w:t>
            </w:r>
            <w:r w:rsidRPr="00992414">
              <w:tab/>
              <w:t xml:space="preserve">komodity používané ako vysoko likvidné uchovávatele hodnoty </w:t>
            </w:r>
            <w:r w:rsidRPr="00992414">
              <w:rPr>
                <w:b/>
                <w:i/>
              </w:rPr>
              <w:t>uvedené v prílohe I</w:t>
            </w:r>
            <w:r w:rsidRPr="00992414">
              <w:t>,</w:t>
            </w:r>
          </w:p>
        </w:tc>
        <w:tc>
          <w:tcPr>
            <w:tcW w:w="4876" w:type="dxa"/>
            <w:hideMark/>
          </w:tcPr>
          <w:p w14:paraId="2785F420" w14:textId="77777777" w:rsidR="00376950" w:rsidRPr="00992414" w:rsidRDefault="00376950">
            <w:pPr>
              <w:pStyle w:val="Normal6"/>
              <w:rPr>
                <w:szCs w:val="24"/>
              </w:rPr>
            </w:pPr>
            <w:r w:rsidRPr="00992414">
              <w:t>–</w:t>
            </w:r>
            <w:r w:rsidRPr="00992414">
              <w:tab/>
              <w:t>komodity používané ako vysoko likvidné uchovávatele hodnoty,</w:t>
            </w:r>
          </w:p>
        </w:tc>
      </w:tr>
    </w:tbl>
    <w:p w14:paraId="0E8A7B93" w14:textId="77777777" w:rsidR="00376950" w:rsidRPr="00992414" w:rsidRDefault="00376950" w:rsidP="00376950">
      <w:r w:rsidRPr="00992414">
        <w:rPr>
          <w:rStyle w:val="HideTWBExt"/>
          <w:noProof w:val="0"/>
        </w:rPr>
        <w:t>&lt;/Amend&gt;</w:t>
      </w:r>
    </w:p>
    <w:p w14:paraId="71B35E09" w14:textId="3B117C0A"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30</w:t>
      </w:r>
      <w:r w:rsidRPr="00992414">
        <w:rPr>
          <w:rStyle w:val="HideTWBExt"/>
          <w:b w:val="0"/>
          <w:noProof w:val="0"/>
        </w:rPr>
        <w:t>&lt;/NumAm&gt;</w:t>
      </w:r>
    </w:p>
    <w:p w14:paraId="092B82D9"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654770CF" w14:textId="77777777" w:rsidR="00376950" w:rsidRPr="00992414" w:rsidRDefault="00376950" w:rsidP="00376950">
      <w:pPr>
        <w:pStyle w:val="NormalBold"/>
      </w:pPr>
      <w:r w:rsidRPr="00992414">
        <w:rPr>
          <w:rStyle w:val="HideTWBExt"/>
          <w:b w:val="0"/>
          <w:noProof w:val="0"/>
        </w:rPr>
        <w:t>&lt;Article&gt;</w:t>
      </w:r>
      <w:r w:rsidRPr="00992414">
        <w:t>Článok 2 – odsek 1 – písmeno a – zarážka 4</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50C25A16" w14:textId="77777777" w:rsidTr="00376950">
        <w:trPr>
          <w:jc w:val="center"/>
        </w:trPr>
        <w:tc>
          <w:tcPr>
            <w:tcW w:w="9752" w:type="dxa"/>
            <w:gridSpan w:val="2"/>
          </w:tcPr>
          <w:p w14:paraId="00BF94F6" w14:textId="77777777" w:rsidR="00376950" w:rsidRPr="00992414" w:rsidRDefault="00376950">
            <w:pPr>
              <w:keepNext/>
            </w:pPr>
          </w:p>
        </w:tc>
      </w:tr>
      <w:tr w:rsidR="00376950" w:rsidRPr="00992414" w14:paraId="32DF5E3A" w14:textId="77777777" w:rsidTr="00376950">
        <w:trPr>
          <w:jc w:val="center"/>
        </w:trPr>
        <w:tc>
          <w:tcPr>
            <w:tcW w:w="4876" w:type="dxa"/>
            <w:hideMark/>
          </w:tcPr>
          <w:p w14:paraId="4B06EB17" w14:textId="77777777" w:rsidR="00376950" w:rsidRPr="00992414" w:rsidRDefault="00376950">
            <w:pPr>
              <w:pStyle w:val="ColumnHeading"/>
              <w:keepNext/>
            </w:pPr>
            <w:r w:rsidRPr="00992414">
              <w:t>Text predložený Komisiou</w:t>
            </w:r>
          </w:p>
        </w:tc>
        <w:tc>
          <w:tcPr>
            <w:tcW w:w="4876" w:type="dxa"/>
            <w:hideMark/>
          </w:tcPr>
          <w:p w14:paraId="6375A247" w14:textId="77777777" w:rsidR="00376950" w:rsidRPr="00992414" w:rsidRDefault="00376950">
            <w:pPr>
              <w:pStyle w:val="ColumnHeading"/>
              <w:keepNext/>
            </w:pPr>
            <w:r w:rsidRPr="00992414">
              <w:t>Pozmeňujúci návrh</w:t>
            </w:r>
          </w:p>
        </w:tc>
      </w:tr>
      <w:tr w:rsidR="00376950" w:rsidRPr="00992414" w14:paraId="45C2139C" w14:textId="77777777" w:rsidTr="00376950">
        <w:trPr>
          <w:jc w:val="center"/>
        </w:trPr>
        <w:tc>
          <w:tcPr>
            <w:tcW w:w="4876" w:type="dxa"/>
            <w:hideMark/>
          </w:tcPr>
          <w:p w14:paraId="3E2EA825" w14:textId="77777777" w:rsidR="00376950" w:rsidRPr="00992414" w:rsidRDefault="00376950">
            <w:pPr>
              <w:pStyle w:val="Normal6"/>
            </w:pPr>
            <w:r w:rsidRPr="00992414">
              <w:t>–</w:t>
            </w:r>
            <w:r w:rsidRPr="00992414">
              <w:tab/>
              <w:t xml:space="preserve">predplatené karty </w:t>
            </w:r>
            <w:r w:rsidRPr="00992414">
              <w:rPr>
                <w:b/>
                <w:i/>
              </w:rPr>
              <w:t>uvedené v prílohe I</w:t>
            </w:r>
            <w:r w:rsidRPr="00992414">
              <w:t>;</w:t>
            </w:r>
          </w:p>
        </w:tc>
        <w:tc>
          <w:tcPr>
            <w:tcW w:w="4876" w:type="dxa"/>
            <w:hideMark/>
          </w:tcPr>
          <w:p w14:paraId="1EF55B73" w14:textId="53003767" w:rsidR="00376950" w:rsidRPr="00992414" w:rsidRDefault="00376950">
            <w:pPr>
              <w:pStyle w:val="Normal6"/>
              <w:rPr>
                <w:szCs w:val="24"/>
              </w:rPr>
            </w:pPr>
            <w:r w:rsidRPr="00992414">
              <w:t>–</w:t>
            </w:r>
            <w:r w:rsidRPr="00992414">
              <w:tab/>
            </w:r>
            <w:r w:rsidRPr="00992414">
              <w:rPr>
                <w:b/>
                <w:i/>
              </w:rPr>
              <w:t>anonymné</w:t>
            </w:r>
            <w:r w:rsidRPr="00992414">
              <w:t xml:space="preserve"> predplatené karty;</w:t>
            </w:r>
          </w:p>
        </w:tc>
      </w:tr>
    </w:tbl>
    <w:p w14:paraId="0FBE0DC0" w14:textId="77777777" w:rsidR="00376950" w:rsidRPr="00992414" w:rsidRDefault="00376950" w:rsidP="00376950">
      <w:r w:rsidRPr="00992414">
        <w:rPr>
          <w:rStyle w:val="HideTWBExt"/>
          <w:noProof w:val="0"/>
        </w:rPr>
        <w:t>&lt;/Amend&gt;</w:t>
      </w:r>
    </w:p>
    <w:p w14:paraId="092244A9" w14:textId="5BC0BC6C"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31</w:t>
      </w:r>
      <w:r w:rsidRPr="00992414">
        <w:rPr>
          <w:rStyle w:val="HideTWBExt"/>
          <w:b w:val="0"/>
          <w:noProof w:val="0"/>
        </w:rPr>
        <w:t>&lt;/NumAm&gt;</w:t>
      </w:r>
    </w:p>
    <w:p w14:paraId="02B0CCEF"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53B28F84" w14:textId="77777777" w:rsidR="00376950" w:rsidRPr="00992414" w:rsidRDefault="00376950" w:rsidP="00376950">
      <w:pPr>
        <w:pStyle w:val="NormalBold"/>
      </w:pPr>
      <w:r w:rsidRPr="00992414">
        <w:rPr>
          <w:rStyle w:val="HideTWBExt"/>
          <w:b w:val="0"/>
          <w:noProof w:val="0"/>
        </w:rPr>
        <w:t>&lt;Article&gt;</w:t>
      </w:r>
      <w:r w:rsidRPr="00992414">
        <w:t>Článok 2 – odsek 1 – písmeno d</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0A43B1D4" w14:textId="77777777" w:rsidTr="00376950">
        <w:trPr>
          <w:jc w:val="center"/>
        </w:trPr>
        <w:tc>
          <w:tcPr>
            <w:tcW w:w="9752" w:type="dxa"/>
            <w:gridSpan w:val="2"/>
          </w:tcPr>
          <w:p w14:paraId="0438989F" w14:textId="77777777" w:rsidR="00376950" w:rsidRPr="00992414" w:rsidRDefault="00376950">
            <w:pPr>
              <w:keepNext/>
            </w:pPr>
          </w:p>
        </w:tc>
      </w:tr>
      <w:tr w:rsidR="00376950" w:rsidRPr="00992414" w14:paraId="23D28B80" w14:textId="77777777" w:rsidTr="00376950">
        <w:trPr>
          <w:jc w:val="center"/>
        </w:trPr>
        <w:tc>
          <w:tcPr>
            <w:tcW w:w="4876" w:type="dxa"/>
            <w:hideMark/>
          </w:tcPr>
          <w:p w14:paraId="6209CFFB" w14:textId="77777777" w:rsidR="00376950" w:rsidRPr="00992414" w:rsidRDefault="00376950">
            <w:pPr>
              <w:pStyle w:val="ColumnHeading"/>
              <w:keepNext/>
            </w:pPr>
            <w:r w:rsidRPr="00992414">
              <w:t>Text predložený Komisiou</w:t>
            </w:r>
          </w:p>
        </w:tc>
        <w:tc>
          <w:tcPr>
            <w:tcW w:w="4876" w:type="dxa"/>
            <w:hideMark/>
          </w:tcPr>
          <w:p w14:paraId="2D7CB257" w14:textId="77777777" w:rsidR="00376950" w:rsidRPr="00992414" w:rsidRDefault="00376950">
            <w:pPr>
              <w:pStyle w:val="ColumnHeading"/>
              <w:keepNext/>
            </w:pPr>
            <w:r w:rsidRPr="00992414">
              <w:t>Pozmeňujúci návrh</w:t>
            </w:r>
          </w:p>
        </w:tc>
      </w:tr>
      <w:tr w:rsidR="00376950" w:rsidRPr="00992414" w14:paraId="1F00E98F" w14:textId="77777777" w:rsidTr="00376950">
        <w:trPr>
          <w:jc w:val="center"/>
        </w:trPr>
        <w:tc>
          <w:tcPr>
            <w:tcW w:w="4876" w:type="dxa"/>
            <w:hideMark/>
          </w:tcPr>
          <w:p w14:paraId="5F3E6372" w14:textId="77777777" w:rsidR="00376950" w:rsidRPr="00992414" w:rsidRDefault="00376950">
            <w:pPr>
              <w:pStyle w:val="Normal6"/>
            </w:pPr>
            <w:r w:rsidRPr="00992414">
              <w:t>d)</w:t>
            </w:r>
            <w:r w:rsidRPr="00992414">
              <w:tab/>
              <w:t>„obchodovateľný finančný nástroj na doručiteľa“ je iný nástroj ako mena, ktorý oprávňuje jeho držiteľa nárokovať si finančnú sumu pri predložení daného nástroja, a to bez toho, aby musel preukázať svoju totožnosť alebo nárok na uvedenú sumu;</w:t>
            </w:r>
          </w:p>
        </w:tc>
        <w:tc>
          <w:tcPr>
            <w:tcW w:w="4876" w:type="dxa"/>
            <w:hideMark/>
          </w:tcPr>
          <w:p w14:paraId="777A0439" w14:textId="59FF45A5" w:rsidR="00376950" w:rsidRPr="00992414" w:rsidRDefault="00376950" w:rsidP="004E791C">
            <w:pPr>
              <w:pStyle w:val="Normal6"/>
              <w:rPr>
                <w:szCs w:val="24"/>
              </w:rPr>
            </w:pPr>
            <w:r w:rsidRPr="00992414">
              <w:t>d)</w:t>
            </w:r>
            <w:r w:rsidRPr="00992414">
              <w:tab/>
              <w:t>„obchodovateľný finančný nástroj na doručiteľa“ je iný nástroj ako mena, ktorý oprávňuje jeho držiteľa nárokovať si finančnú sumu pri predložení daného nástroja, a to bez toho, aby musel preukázať svoju totožnosť alebo nárok na uvedenú sumu;</w:t>
            </w:r>
            <w:r w:rsidRPr="00992414">
              <w:rPr>
                <w:b/>
                <w:i/>
              </w:rPr>
              <w:t xml:space="preserve"> takéto obchodovateľné finančné nástroje na doručiteľa sú uvedené v prílohe I;</w:t>
            </w:r>
          </w:p>
        </w:tc>
      </w:tr>
    </w:tbl>
    <w:p w14:paraId="624793B7" w14:textId="77777777" w:rsidR="00376950" w:rsidRPr="00992414" w:rsidRDefault="00376950" w:rsidP="00376950">
      <w:r w:rsidRPr="00992414">
        <w:rPr>
          <w:rStyle w:val="HideTWBExt"/>
          <w:noProof w:val="0"/>
        </w:rPr>
        <w:t>&lt;/Amend&gt;</w:t>
      </w:r>
    </w:p>
    <w:p w14:paraId="6EFAC824" w14:textId="616719A7"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32</w:t>
      </w:r>
      <w:r w:rsidRPr="00992414">
        <w:rPr>
          <w:rStyle w:val="HideTWBExt"/>
          <w:b w:val="0"/>
          <w:noProof w:val="0"/>
        </w:rPr>
        <w:t>&lt;/NumAm&gt;</w:t>
      </w:r>
    </w:p>
    <w:p w14:paraId="25DD11A1"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2CFA0D67" w14:textId="77777777" w:rsidR="00376950" w:rsidRPr="00992414" w:rsidRDefault="00376950" w:rsidP="00376950">
      <w:pPr>
        <w:pStyle w:val="NormalBold"/>
      </w:pPr>
      <w:r w:rsidRPr="00992414">
        <w:rPr>
          <w:rStyle w:val="HideTWBExt"/>
          <w:b w:val="0"/>
          <w:noProof w:val="0"/>
        </w:rPr>
        <w:t>&lt;Article&gt;</w:t>
      </w:r>
      <w:r w:rsidRPr="00992414">
        <w:t>Článok 2 – odsek 1 – písmeno e</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45C753A8" w14:textId="77777777" w:rsidTr="00376950">
        <w:trPr>
          <w:jc w:val="center"/>
        </w:trPr>
        <w:tc>
          <w:tcPr>
            <w:tcW w:w="9752" w:type="dxa"/>
            <w:gridSpan w:val="2"/>
          </w:tcPr>
          <w:p w14:paraId="0FE0FFF0" w14:textId="77777777" w:rsidR="00376950" w:rsidRPr="00992414" w:rsidRDefault="00376950">
            <w:pPr>
              <w:keepNext/>
            </w:pPr>
          </w:p>
        </w:tc>
      </w:tr>
      <w:tr w:rsidR="00376950" w:rsidRPr="00992414" w14:paraId="6AB5A024" w14:textId="77777777" w:rsidTr="00376950">
        <w:trPr>
          <w:jc w:val="center"/>
        </w:trPr>
        <w:tc>
          <w:tcPr>
            <w:tcW w:w="4876" w:type="dxa"/>
            <w:hideMark/>
          </w:tcPr>
          <w:p w14:paraId="0AE13A16" w14:textId="77777777" w:rsidR="00376950" w:rsidRPr="00992414" w:rsidRDefault="00376950">
            <w:pPr>
              <w:pStyle w:val="ColumnHeading"/>
              <w:keepNext/>
            </w:pPr>
            <w:r w:rsidRPr="00992414">
              <w:t>Text predložený Komisiou</w:t>
            </w:r>
          </w:p>
        </w:tc>
        <w:tc>
          <w:tcPr>
            <w:tcW w:w="4876" w:type="dxa"/>
            <w:hideMark/>
          </w:tcPr>
          <w:p w14:paraId="7D7E209A" w14:textId="77777777" w:rsidR="00376950" w:rsidRPr="00992414" w:rsidRDefault="00376950">
            <w:pPr>
              <w:pStyle w:val="ColumnHeading"/>
              <w:keepNext/>
            </w:pPr>
            <w:r w:rsidRPr="00992414">
              <w:t>Pozmeňujúci návrh</w:t>
            </w:r>
          </w:p>
        </w:tc>
      </w:tr>
      <w:tr w:rsidR="00376950" w:rsidRPr="00992414" w14:paraId="3331CA34" w14:textId="77777777" w:rsidTr="00376950">
        <w:trPr>
          <w:jc w:val="center"/>
        </w:trPr>
        <w:tc>
          <w:tcPr>
            <w:tcW w:w="4876" w:type="dxa"/>
            <w:hideMark/>
          </w:tcPr>
          <w:p w14:paraId="54CD6A01" w14:textId="77777777" w:rsidR="00376950" w:rsidRPr="00992414" w:rsidRDefault="00376950">
            <w:pPr>
              <w:pStyle w:val="Normal6"/>
            </w:pPr>
            <w:r w:rsidRPr="00992414">
              <w:t>e)</w:t>
            </w:r>
            <w:r w:rsidRPr="00992414">
              <w:tab/>
              <w:t>„komodity používané ako vysoko likvidné uchovávatele hodnoty“ sú tovary, ktoré sa vyznačujú vysokým pomerom medzi svojou hodnotou a svojím objemom a ktoré možno jednoducho zameniť za menu na prístupných obchodných trhoch, a to len s nízkymi transakčnými nákladmi;</w:t>
            </w:r>
          </w:p>
        </w:tc>
        <w:tc>
          <w:tcPr>
            <w:tcW w:w="4876" w:type="dxa"/>
            <w:hideMark/>
          </w:tcPr>
          <w:p w14:paraId="67689BE7" w14:textId="311FC201" w:rsidR="00376950" w:rsidRPr="00992414" w:rsidRDefault="00376950" w:rsidP="003F08F7">
            <w:pPr>
              <w:pStyle w:val="Normal6"/>
              <w:rPr>
                <w:szCs w:val="24"/>
              </w:rPr>
            </w:pPr>
            <w:r w:rsidRPr="00992414">
              <w:t>e)</w:t>
            </w:r>
            <w:r w:rsidRPr="00992414">
              <w:tab/>
              <w:t>„komodity používané ako vysoko likvidné uchovávatele hodnoty“ sú tovary, ktoré sa vyznačujú vysokým pomerom medzi svojou hodnotou a svojím objemom a ktoré možno jednoducho zameniť za menu na prístupných obchodných trhoch, a to len s nízkymi transakčnými nákladmi;</w:t>
            </w:r>
            <w:r w:rsidRPr="00992414">
              <w:rPr>
                <w:b/>
                <w:i/>
              </w:rPr>
              <w:t xml:space="preserve"> takéto komodity sú uvedené v prílohe I;</w:t>
            </w:r>
          </w:p>
        </w:tc>
      </w:tr>
    </w:tbl>
    <w:p w14:paraId="2D0BDC2B" w14:textId="77777777" w:rsidR="00376950" w:rsidRPr="00992414" w:rsidRDefault="00376950" w:rsidP="00376950">
      <w:r w:rsidRPr="00992414">
        <w:rPr>
          <w:rStyle w:val="HideTWBExt"/>
          <w:noProof w:val="0"/>
        </w:rPr>
        <w:t>&lt;/Amend&gt;</w:t>
      </w:r>
    </w:p>
    <w:p w14:paraId="3B0A16B8" w14:textId="588CAB3D"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33</w:t>
      </w:r>
      <w:r w:rsidRPr="00992414">
        <w:rPr>
          <w:rStyle w:val="HideTWBExt"/>
          <w:b w:val="0"/>
          <w:noProof w:val="0"/>
        </w:rPr>
        <w:t>&lt;/NumAm&gt;</w:t>
      </w:r>
    </w:p>
    <w:p w14:paraId="0D16540F"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2CA3744E" w14:textId="77777777" w:rsidR="00376950" w:rsidRPr="00992414" w:rsidRDefault="00376950" w:rsidP="00376950">
      <w:pPr>
        <w:pStyle w:val="NormalBold"/>
      </w:pPr>
      <w:r w:rsidRPr="00992414">
        <w:rPr>
          <w:rStyle w:val="HideTWBExt"/>
          <w:b w:val="0"/>
          <w:noProof w:val="0"/>
        </w:rPr>
        <w:t>&lt;Article&gt;</w:t>
      </w:r>
      <w:r w:rsidRPr="00992414">
        <w:t>Článok 2 – odsek 1 – písmeno f</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592C6BC8" w14:textId="77777777" w:rsidTr="00376950">
        <w:trPr>
          <w:jc w:val="center"/>
        </w:trPr>
        <w:tc>
          <w:tcPr>
            <w:tcW w:w="9752" w:type="dxa"/>
            <w:gridSpan w:val="2"/>
          </w:tcPr>
          <w:p w14:paraId="15B1984C" w14:textId="77777777" w:rsidR="00376950" w:rsidRPr="00992414" w:rsidRDefault="00376950">
            <w:pPr>
              <w:keepNext/>
            </w:pPr>
          </w:p>
        </w:tc>
      </w:tr>
      <w:tr w:rsidR="00376950" w:rsidRPr="00992414" w14:paraId="5821F4B0" w14:textId="77777777" w:rsidTr="00376950">
        <w:trPr>
          <w:jc w:val="center"/>
        </w:trPr>
        <w:tc>
          <w:tcPr>
            <w:tcW w:w="4876" w:type="dxa"/>
            <w:hideMark/>
          </w:tcPr>
          <w:p w14:paraId="182FBF23" w14:textId="77777777" w:rsidR="00376950" w:rsidRPr="00992414" w:rsidRDefault="00376950">
            <w:pPr>
              <w:pStyle w:val="ColumnHeading"/>
              <w:keepNext/>
            </w:pPr>
            <w:r w:rsidRPr="00992414">
              <w:t>Text predložený Komisiou</w:t>
            </w:r>
          </w:p>
        </w:tc>
        <w:tc>
          <w:tcPr>
            <w:tcW w:w="4876" w:type="dxa"/>
            <w:hideMark/>
          </w:tcPr>
          <w:p w14:paraId="7AC44F45" w14:textId="77777777" w:rsidR="00376950" w:rsidRPr="00992414" w:rsidRDefault="00376950">
            <w:pPr>
              <w:pStyle w:val="ColumnHeading"/>
              <w:keepNext/>
            </w:pPr>
            <w:r w:rsidRPr="00992414">
              <w:t>Pozmeňujúci návrh</w:t>
            </w:r>
          </w:p>
        </w:tc>
      </w:tr>
      <w:tr w:rsidR="00376950" w:rsidRPr="00992414" w14:paraId="12288672" w14:textId="77777777" w:rsidTr="00376950">
        <w:trPr>
          <w:jc w:val="center"/>
        </w:trPr>
        <w:tc>
          <w:tcPr>
            <w:tcW w:w="4876" w:type="dxa"/>
            <w:hideMark/>
          </w:tcPr>
          <w:p w14:paraId="29B4F010" w14:textId="77777777" w:rsidR="00376950" w:rsidRPr="00992414" w:rsidRDefault="00376950">
            <w:pPr>
              <w:pStyle w:val="Normal6"/>
            </w:pPr>
            <w:r w:rsidRPr="00992414">
              <w:t>f)</w:t>
            </w:r>
            <w:r w:rsidRPr="00992414">
              <w:tab/>
              <w:t>„predplatené karty“ sú karty neuvádzajúce meno majiteľa uchovávajúce peňažnú hodnotu alebo zdroje, ktoré možno použiť na platobné transakcie, na účely nadobudnutia tovaru alebo služieb alebo na vyplatenie meny, ktoré nie sú prepojené s bankovým účtom;</w:t>
            </w:r>
          </w:p>
        </w:tc>
        <w:tc>
          <w:tcPr>
            <w:tcW w:w="4876" w:type="dxa"/>
            <w:hideMark/>
          </w:tcPr>
          <w:p w14:paraId="1D6A4D69" w14:textId="2C948D7B" w:rsidR="00376950" w:rsidRPr="00992414" w:rsidRDefault="00376950" w:rsidP="003272B9">
            <w:pPr>
              <w:pStyle w:val="Normal6"/>
              <w:rPr>
                <w:szCs w:val="24"/>
              </w:rPr>
            </w:pPr>
            <w:r w:rsidRPr="00992414">
              <w:t>f)</w:t>
            </w:r>
            <w:r w:rsidRPr="00992414">
              <w:tab/>
              <w:t>„</w:t>
            </w:r>
            <w:r w:rsidRPr="00992414">
              <w:rPr>
                <w:b/>
                <w:i/>
              </w:rPr>
              <w:t>anonymné</w:t>
            </w:r>
            <w:r w:rsidRPr="00992414">
              <w:t xml:space="preserve"> predplatené karty“ sú karty neuvádzajúce meno majiteľa uchovávajúce peňažnú hodnotu alebo zdroje </w:t>
            </w:r>
            <w:r w:rsidRPr="00992414">
              <w:rPr>
                <w:b/>
                <w:i/>
              </w:rPr>
              <w:t>alebo poskytujúce prístup k peňažnej hodnote alebo zdrojom</w:t>
            </w:r>
            <w:r w:rsidRPr="00992414">
              <w:t>, ktoré možno použiť na platobné transakcie, na účely nadobudnutia tovaru alebo služieb alebo na vyplatenie meny, ktoré nie sú prepojené s bankovým účtom</w:t>
            </w:r>
            <w:r w:rsidRPr="00992414">
              <w:rPr>
                <w:b/>
              </w:rPr>
              <w:t>.</w:t>
            </w:r>
            <w:r w:rsidRPr="00992414">
              <w:rPr>
                <w:b/>
                <w:i/>
              </w:rPr>
              <w:t xml:space="preserve"> Tieto anonymné predplatené karty sú uvedené v prílohe I</w:t>
            </w:r>
            <w:r w:rsidRPr="00992414">
              <w:t>;</w:t>
            </w:r>
          </w:p>
        </w:tc>
      </w:tr>
    </w:tbl>
    <w:p w14:paraId="07E5B534" w14:textId="77777777" w:rsidR="00376950" w:rsidRPr="00992414" w:rsidRDefault="00376950" w:rsidP="00376950">
      <w:r w:rsidRPr="00992414">
        <w:rPr>
          <w:rStyle w:val="HideTWBExt"/>
          <w:noProof w:val="0"/>
        </w:rPr>
        <w:t>&lt;/Amend&gt;</w:t>
      </w:r>
    </w:p>
    <w:p w14:paraId="12652F69" w14:textId="7A17C147"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34</w:t>
      </w:r>
      <w:r w:rsidRPr="00992414">
        <w:rPr>
          <w:rStyle w:val="HideTWBExt"/>
          <w:b w:val="0"/>
          <w:noProof w:val="0"/>
        </w:rPr>
        <w:t>&lt;/NumAm&gt;</w:t>
      </w:r>
    </w:p>
    <w:p w14:paraId="4ED8865E"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63A798F7" w14:textId="77777777" w:rsidR="00376950" w:rsidRPr="00992414" w:rsidRDefault="00376950" w:rsidP="00376950">
      <w:pPr>
        <w:pStyle w:val="NormalBold"/>
      </w:pPr>
      <w:r w:rsidRPr="00992414">
        <w:rPr>
          <w:rStyle w:val="HideTWBExt"/>
          <w:b w:val="0"/>
          <w:noProof w:val="0"/>
        </w:rPr>
        <w:t>&lt;Article&gt;</w:t>
      </w:r>
      <w:r w:rsidRPr="00992414">
        <w:t>Článok 2 – odsek 1 – písmeno g a (nové)</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4868AAD8" w14:textId="77777777" w:rsidTr="00376950">
        <w:trPr>
          <w:jc w:val="center"/>
        </w:trPr>
        <w:tc>
          <w:tcPr>
            <w:tcW w:w="9752" w:type="dxa"/>
            <w:gridSpan w:val="2"/>
          </w:tcPr>
          <w:p w14:paraId="2FA42D40" w14:textId="77777777" w:rsidR="00376950" w:rsidRPr="00992414" w:rsidRDefault="00376950">
            <w:pPr>
              <w:keepNext/>
            </w:pPr>
          </w:p>
        </w:tc>
      </w:tr>
      <w:tr w:rsidR="00376950" w:rsidRPr="00992414" w14:paraId="63C1817E" w14:textId="77777777" w:rsidTr="00376950">
        <w:trPr>
          <w:jc w:val="center"/>
        </w:trPr>
        <w:tc>
          <w:tcPr>
            <w:tcW w:w="4876" w:type="dxa"/>
            <w:hideMark/>
          </w:tcPr>
          <w:p w14:paraId="726EFBF4" w14:textId="77777777" w:rsidR="00376950" w:rsidRPr="00992414" w:rsidRDefault="00376950">
            <w:pPr>
              <w:pStyle w:val="ColumnHeading"/>
              <w:keepNext/>
            </w:pPr>
            <w:r w:rsidRPr="00992414">
              <w:t>Text predložený Komisiou</w:t>
            </w:r>
          </w:p>
        </w:tc>
        <w:tc>
          <w:tcPr>
            <w:tcW w:w="4876" w:type="dxa"/>
            <w:hideMark/>
          </w:tcPr>
          <w:p w14:paraId="26C4B787" w14:textId="77777777" w:rsidR="00376950" w:rsidRPr="00992414" w:rsidRDefault="00376950">
            <w:pPr>
              <w:pStyle w:val="ColumnHeading"/>
              <w:keepNext/>
            </w:pPr>
            <w:r w:rsidRPr="00992414">
              <w:t>Pozmeňujúci návrh</w:t>
            </w:r>
          </w:p>
        </w:tc>
      </w:tr>
      <w:tr w:rsidR="00376950" w:rsidRPr="00992414" w14:paraId="37677415" w14:textId="77777777" w:rsidTr="00376950">
        <w:trPr>
          <w:jc w:val="center"/>
        </w:trPr>
        <w:tc>
          <w:tcPr>
            <w:tcW w:w="4876" w:type="dxa"/>
          </w:tcPr>
          <w:p w14:paraId="1191BB9B" w14:textId="77777777" w:rsidR="00376950" w:rsidRPr="00992414" w:rsidRDefault="00376950">
            <w:pPr>
              <w:pStyle w:val="Normal6"/>
            </w:pPr>
          </w:p>
        </w:tc>
        <w:tc>
          <w:tcPr>
            <w:tcW w:w="4876" w:type="dxa"/>
            <w:hideMark/>
          </w:tcPr>
          <w:p w14:paraId="1ED6F450" w14:textId="5BEF4CF2" w:rsidR="00376950" w:rsidRPr="00992414" w:rsidRDefault="00376950" w:rsidP="003272B9">
            <w:pPr>
              <w:pStyle w:val="Normal6"/>
              <w:rPr>
                <w:szCs w:val="24"/>
              </w:rPr>
            </w:pPr>
            <w:r w:rsidRPr="00992414">
              <w:rPr>
                <w:b/>
                <w:i/>
              </w:rPr>
              <w:t>ga)</w:t>
            </w:r>
            <w:r w:rsidRPr="00992414">
              <w:rPr>
                <w:b/>
                <w:i/>
              </w:rPr>
              <w:tab/>
              <w:t>„prepravca“ je každá fyzická osoba, ktorá vstupuje do Únie, resp. opúšťa Úniu a má pri sebe peňažné prostriedky v hotovosti alebo ich prepravuje v batožine alebo v dopravnom prostriedku, v ktorom prekračuje vonkajšiu hranicu;</w:t>
            </w:r>
          </w:p>
        </w:tc>
      </w:tr>
    </w:tbl>
    <w:p w14:paraId="3E21F332" w14:textId="77777777" w:rsidR="00376950" w:rsidRPr="00992414" w:rsidRDefault="00376950" w:rsidP="00376950">
      <w:r w:rsidRPr="00992414">
        <w:rPr>
          <w:rStyle w:val="HideTWBExt"/>
          <w:noProof w:val="0"/>
        </w:rPr>
        <w:t>&lt;/Amend&gt;</w:t>
      </w:r>
    </w:p>
    <w:p w14:paraId="377B97A9" w14:textId="54FD4AE5"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35</w:t>
      </w:r>
      <w:r w:rsidRPr="00992414">
        <w:rPr>
          <w:rStyle w:val="HideTWBExt"/>
          <w:b w:val="0"/>
          <w:noProof w:val="0"/>
        </w:rPr>
        <w:t>&lt;/NumAm&gt;</w:t>
      </w:r>
    </w:p>
    <w:p w14:paraId="1B7607B6"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1A129860" w14:textId="77777777" w:rsidR="00376950" w:rsidRPr="00992414" w:rsidRDefault="00376950" w:rsidP="00376950">
      <w:pPr>
        <w:pStyle w:val="NormalBold"/>
      </w:pPr>
      <w:r w:rsidRPr="00992414">
        <w:rPr>
          <w:rStyle w:val="HideTWBExt"/>
          <w:b w:val="0"/>
          <w:noProof w:val="0"/>
        </w:rPr>
        <w:t>&lt;Article&gt;</w:t>
      </w:r>
      <w:r w:rsidRPr="00992414">
        <w:t>Článok 2 – odsek 1 – písmeno h</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1848135B" w14:textId="77777777" w:rsidTr="00376950">
        <w:trPr>
          <w:jc w:val="center"/>
        </w:trPr>
        <w:tc>
          <w:tcPr>
            <w:tcW w:w="9752" w:type="dxa"/>
            <w:gridSpan w:val="2"/>
          </w:tcPr>
          <w:p w14:paraId="566C6ABF" w14:textId="77777777" w:rsidR="00376950" w:rsidRPr="00992414" w:rsidRDefault="00376950">
            <w:pPr>
              <w:keepNext/>
            </w:pPr>
          </w:p>
        </w:tc>
      </w:tr>
      <w:tr w:rsidR="00376950" w:rsidRPr="00992414" w14:paraId="7AA55505" w14:textId="77777777" w:rsidTr="00376950">
        <w:trPr>
          <w:jc w:val="center"/>
        </w:trPr>
        <w:tc>
          <w:tcPr>
            <w:tcW w:w="4876" w:type="dxa"/>
            <w:hideMark/>
          </w:tcPr>
          <w:p w14:paraId="201B481A" w14:textId="77777777" w:rsidR="00376950" w:rsidRPr="00992414" w:rsidRDefault="00376950">
            <w:pPr>
              <w:pStyle w:val="ColumnHeading"/>
              <w:keepNext/>
            </w:pPr>
            <w:r w:rsidRPr="00992414">
              <w:t>Text predložený Komisiou</w:t>
            </w:r>
          </w:p>
        </w:tc>
        <w:tc>
          <w:tcPr>
            <w:tcW w:w="4876" w:type="dxa"/>
            <w:hideMark/>
          </w:tcPr>
          <w:p w14:paraId="51A9D035" w14:textId="77777777" w:rsidR="00376950" w:rsidRPr="00992414" w:rsidRDefault="00376950">
            <w:pPr>
              <w:pStyle w:val="ColumnHeading"/>
              <w:keepNext/>
            </w:pPr>
            <w:r w:rsidRPr="00992414">
              <w:t>Pozmeňujúci návrh</w:t>
            </w:r>
          </w:p>
        </w:tc>
      </w:tr>
      <w:tr w:rsidR="00376950" w:rsidRPr="00992414" w14:paraId="14384285" w14:textId="77777777" w:rsidTr="00376950">
        <w:trPr>
          <w:jc w:val="center"/>
        </w:trPr>
        <w:tc>
          <w:tcPr>
            <w:tcW w:w="4876" w:type="dxa"/>
            <w:hideMark/>
          </w:tcPr>
          <w:p w14:paraId="33BBA3DE" w14:textId="77777777" w:rsidR="00376950" w:rsidRPr="00992414" w:rsidRDefault="00376950">
            <w:pPr>
              <w:pStyle w:val="Normal6"/>
            </w:pPr>
            <w:r w:rsidRPr="00992414">
              <w:t>h)</w:t>
            </w:r>
            <w:r w:rsidRPr="00992414">
              <w:tab/>
              <w:t>„peňažné prostriedky v hotovosti bez sprievodu“ sú peňažné prostriedky v hotovosti, ktoré sú súčasťou zásielky</w:t>
            </w:r>
            <w:r w:rsidRPr="00992414">
              <w:rPr>
                <w:b/>
                <w:i/>
              </w:rPr>
              <w:t>, ktorú nesprevádza majiteľ, odosielateľ ani zamýšľaný príjemca týchto peňažných prostriedkov v hotovosti</w:t>
            </w:r>
            <w:r w:rsidRPr="00992414">
              <w:t>;</w:t>
            </w:r>
          </w:p>
        </w:tc>
        <w:tc>
          <w:tcPr>
            <w:tcW w:w="4876" w:type="dxa"/>
            <w:hideMark/>
          </w:tcPr>
          <w:p w14:paraId="408A49A6" w14:textId="77777777" w:rsidR="00376950" w:rsidRPr="00992414" w:rsidRDefault="00376950">
            <w:pPr>
              <w:pStyle w:val="Normal6"/>
              <w:rPr>
                <w:szCs w:val="24"/>
              </w:rPr>
            </w:pPr>
            <w:r w:rsidRPr="00992414">
              <w:t>h)</w:t>
            </w:r>
            <w:r w:rsidRPr="00992414">
              <w:tab/>
              <w:t>„peňažné prostriedky v hotovosti bez sprievodu“ sú peňažné prostriedky v hotovosti, ktoré sú súčasťou zásielky</w:t>
            </w:r>
            <w:r w:rsidRPr="00992414">
              <w:rPr>
                <w:b/>
                <w:i/>
              </w:rPr>
              <w:t xml:space="preserve"> bez prepravcu</w:t>
            </w:r>
            <w:r w:rsidRPr="00992414">
              <w:t>;</w:t>
            </w:r>
          </w:p>
        </w:tc>
      </w:tr>
    </w:tbl>
    <w:p w14:paraId="0B8AC10D" w14:textId="77777777" w:rsidR="00476D26" w:rsidRPr="00992414" w:rsidRDefault="00376950" w:rsidP="00476D26">
      <w:r w:rsidRPr="00992414">
        <w:rPr>
          <w:rStyle w:val="HideTWBExt"/>
          <w:noProof w:val="0"/>
        </w:rPr>
        <w:t>&lt;/Amend&gt;</w:t>
      </w:r>
    </w:p>
    <w:p w14:paraId="0DDA07B5" w14:textId="6E94C0BC" w:rsidR="00476D26" w:rsidRPr="00992414" w:rsidRDefault="00476D26" w:rsidP="00476D26">
      <w:pPr>
        <w:pStyle w:val="AMNumberTabs"/>
        <w:keepNext/>
      </w:pPr>
      <w:r w:rsidRPr="00992414">
        <w:rPr>
          <w:rStyle w:val="HideTWBExt"/>
          <w:b w:val="0"/>
          <w:noProof w:val="0"/>
        </w:rPr>
        <w:t>&lt;AmendB&gt;</w:t>
      </w:r>
      <w:r w:rsidRPr="00992414">
        <w:t>Pozmeňujúci návrh</w:t>
      </w:r>
      <w:r w:rsidRPr="00992414">
        <w:tab/>
      </w:r>
      <w:r w:rsidRPr="00992414">
        <w:tab/>
      </w:r>
      <w:r w:rsidRPr="00992414">
        <w:rPr>
          <w:rStyle w:val="HideTWBExt"/>
          <w:b w:val="0"/>
          <w:noProof w:val="0"/>
        </w:rPr>
        <w:t>&lt;NumAmB&gt;</w:t>
      </w:r>
      <w:r w:rsidRPr="00992414">
        <w:t>36</w:t>
      </w:r>
      <w:r w:rsidRPr="00992414">
        <w:rPr>
          <w:rStyle w:val="HideTWBExt"/>
          <w:b w:val="0"/>
          <w:noProof w:val="0"/>
        </w:rPr>
        <w:t>&lt;/NumAmB&gt;</w:t>
      </w:r>
    </w:p>
    <w:p w14:paraId="00666221" w14:textId="77777777" w:rsidR="00476D26" w:rsidRPr="00992414" w:rsidRDefault="00476D26" w:rsidP="00476D26">
      <w:pPr>
        <w:pStyle w:val="NormalBold12b"/>
      </w:pPr>
      <w:r w:rsidRPr="00992414">
        <w:rPr>
          <w:rStyle w:val="HideTWBExt"/>
          <w:b w:val="0"/>
          <w:noProof w:val="0"/>
        </w:rPr>
        <w:t>&lt;DocAmend&gt;</w:t>
      </w:r>
      <w:r w:rsidRPr="00992414">
        <w:t>Návrh nariadenia</w:t>
      </w:r>
      <w:r w:rsidRPr="00992414">
        <w:rPr>
          <w:rStyle w:val="HideTWBExt"/>
          <w:b w:val="0"/>
          <w:noProof w:val="0"/>
        </w:rPr>
        <w:t>&lt;/DocAmend&gt;</w:t>
      </w:r>
    </w:p>
    <w:p w14:paraId="72CF4861" w14:textId="77777777" w:rsidR="00476D26" w:rsidRPr="00992414" w:rsidRDefault="00476D26" w:rsidP="00476D26">
      <w:pPr>
        <w:pStyle w:val="NormalBold"/>
      </w:pPr>
      <w:r w:rsidRPr="00992414">
        <w:rPr>
          <w:rStyle w:val="HideTWBExt"/>
          <w:b w:val="0"/>
          <w:noProof w:val="0"/>
        </w:rPr>
        <w:t>&lt;Article&gt;</w:t>
      </w:r>
      <w:r w:rsidRPr="00992414">
        <w:t>Článok 2 – odsek 2</w:t>
      </w:r>
      <w:r w:rsidRPr="0099241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76D26" w:rsidRPr="00992414" w14:paraId="6BEC83C1" w14:textId="77777777" w:rsidTr="00635B1A">
        <w:trPr>
          <w:jc w:val="center"/>
        </w:trPr>
        <w:tc>
          <w:tcPr>
            <w:tcW w:w="9752" w:type="dxa"/>
            <w:gridSpan w:val="2"/>
          </w:tcPr>
          <w:p w14:paraId="15189A84" w14:textId="77777777" w:rsidR="00476D26" w:rsidRPr="00992414" w:rsidRDefault="00476D26" w:rsidP="00635B1A">
            <w:pPr>
              <w:keepNext/>
            </w:pPr>
          </w:p>
        </w:tc>
      </w:tr>
      <w:tr w:rsidR="00476D26" w:rsidRPr="00992414" w14:paraId="57C8AB3F" w14:textId="77777777" w:rsidTr="00635B1A">
        <w:trPr>
          <w:jc w:val="center"/>
        </w:trPr>
        <w:tc>
          <w:tcPr>
            <w:tcW w:w="4876" w:type="dxa"/>
          </w:tcPr>
          <w:p w14:paraId="6B878017" w14:textId="77777777" w:rsidR="00476D26" w:rsidRPr="00992414" w:rsidRDefault="00476D26" w:rsidP="00635B1A">
            <w:pPr>
              <w:pStyle w:val="ColumnHeading"/>
              <w:keepNext/>
            </w:pPr>
            <w:r w:rsidRPr="00992414">
              <w:t>Text predložený Komisiou</w:t>
            </w:r>
          </w:p>
        </w:tc>
        <w:tc>
          <w:tcPr>
            <w:tcW w:w="4876" w:type="dxa"/>
          </w:tcPr>
          <w:p w14:paraId="4849F1A9" w14:textId="77777777" w:rsidR="00476D26" w:rsidRPr="00992414" w:rsidRDefault="00476D26" w:rsidP="00635B1A">
            <w:pPr>
              <w:pStyle w:val="ColumnHeading"/>
              <w:keepNext/>
            </w:pPr>
            <w:r w:rsidRPr="00992414">
              <w:t>Pozmeňujúci návrh</w:t>
            </w:r>
          </w:p>
        </w:tc>
      </w:tr>
      <w:tr w:rsidR="00476D26" w:rsidRPr="00992414" w14:paraId="1A6D1639" w14:textId="77777777" w:rsidTr="00635B1A">
        <w:trPr>
          <w:jc w:val="center"/>
        </w:trPr>
        <w:tc>
          <w:tcPr>
            <w:tcW w:w="4876" w:type="dxa"/>
          </w:tcPr>
          <w:p w14:paraId="485E7B55" w14:textId="77777777" w:rsidR="00476D26" w:rsidRPr="00992414" w:rsidRDefault="00476D26" w:rsidP="00635B1A">
            <w:pPr>
              <w:pStyle w:val="Normal6"/>
            </w:pPr>
            <w:r w:rsidRPr="00992414">
              <w:t>2.</w:t>
            </w:r>
            <w:r w:rsidRPr="00992414">
              <w:tab/>
              <w:t>Komisia je splnomocnená prijímať delegované akty v</w:t>
            </w:r>
            <w:r w:rsidRPr="00992414">
              <w:rPr>
                <w:b/>
                <w:i/>
              </w:rPr>
              <w:t xml:space="preserve"> </w:t>
            </w:r>
            <w:r w:rsidRPr="00992414">
              <w:t>súlade s</w:t>
            </w:r>
            <w:r w:rsidRPr="00992414">
              <w:rPr>
                <w:b/>
                <w:i/>
              </w:rPr>
              <w:t xml:space="preserve"> </w:t>
            </w:r>
            <w:r w:rsidRPr="00992414">
              <w:t>článkom 14 s</w:t>
            </w:r>
            <w:r w:rsidRPr="00992414">
              <w:rPr>
                <w:b/>
                <w:i/>
              </w:rPr>
              <w:t xml:space="preserve"> </w:t>
            </w:r>
            <w:r w:rsidRPr="00992414">
              <w:t>cieľom zmeniť prílohu I tak, aby boli zohľadnené nové trendy v</w:t>
            </w:r>
            <w:r w:rsidRPr="00992414">
              <w:rPr>
                <w:b/>
                <w:i/>
              </w:rPr>
              <w:t xml:space="preserve"> </w:t>
            </w:r>
            <w:r w:rsidRPr="00992414">
              <w:t>oblasti prania špinavých peňazí alebo financovania terorizmu v</w:t>
            </w:r>
            <w:r w:rsidRPr="00992414">
              <w:rPr>
                <w:b/>
                <w:i/>
              </w:rPr>
              <w:t xml:space="preserve"> </w:t>
            </w:r>
            <w:r w:rsidRPr="00992414">
              <w:t>zmysle ich vymedzenia v</w:t>
            </w:r>
            <w:r w:rsidRPr="00992414">
              <w:rPr>
                <w:b/>
                <w:i/>
              </w:rPr>
              <w:t xml:space="preserve"> </w:t>
            </w:r>
            <w:r w:rsidRPr="00992414">
              <w:t>článku 1 ods. 3, 4 a</w:t>
            </w:r>
            <w:r w:rsidRPr="00992414">
              <w:rPr>
                <w:b/>
                <w:i/>
              </w:rPr>
              <w:t xml:space="preserve"> </w:t>
            </w:r>
            <w:r w:rsidRPr="00992414">
              <w:t>5 smernice (EÚ) 2015/849, resp. najlepšie postupy v</w:t>
            </w:r>
            <w:r w:rsidRPr="00992414">
              <w:rPr>
                <w:b/>
                <w:i/>
              </w:rPr>
              <w:t xml:space="preserve"> </w:t>
            </w:r>
            <w:r w:rsidRPr="00992414">
              <w:t>oblasti predchádzania praniu špinavých peňazí alebo financovaniu terorizmu, ako aj aby sa páchateľom trestnej činnosti zabránilo vo využívaní obchodovateľných finančných nástrojov na doručiteľa, komodít používaných ako vysoko likvidné uchovávatele hodnoty alebo predplatených kariet na obchádzanie povinností stanovených v</w:t>
            </w:r>
            <w:r w:rsidRPr="00992414">
              <w:rPr>
                <w:b/>
                <w:i/>
              </w:rPr>
              <w:t xml:space="preserve"> </w:t>
            </w:r>
            <w:r w:rsidRPr="00992414">
              <w:t>článkoch 3 a</w:t>
            </w:r>
            <w:r w:rsidRPr="00992414">
              <w:rPr>
                <w:b/>
                <w:i/>
              </w:rPr>
              <w:t xml:space="preserve"> </w:t>
            </w:r>
            <w:r w:rsidRPr="00992414">
              <w:t>4.</w:t>
            </w:r>
          </w:p>
        </w:tc>
        <w:tc>
          <w:tcPr>
            <w:tcW w:w="4876" w:type="dxa"/>
          </w:tcPr>
          <w:p w14:paraId="6BAE57D9" w14:textId="77777777" w:rsidR="00476D26" w:rsidRPr="00992414" w:rsidRDefault="00476D26" w:rsidP="00635B1A">
            <w:pPr>
              <w:pStyle w:val="Normal6"/>
              <w:rPr>
                <w:szCs w:val="24"/>
              </w:rPr>
            </w:pPr>
            <w:r w:rsidRPr="00992414">
              <w:t>2.</w:t>
            </w:r>
            <w:r w:rsidRPr="00992414">
              <w:tab/>
              <w:t>Komisia je splnomocnená prijímať delegované akty v</w:t>
            </w:r>
            <w:r w:rsidRPr="00992414">
              <w:rPr>
                <w:b/>
                <w:i/>
              </w:rPr>
              <w:t> </w:t>
            </w:r>
            <w:r w:rsidRPr="00992414">
              <w:t>súlade s</w:t>
            </w:r>
            <w:r w:rsidRPr="00992414">
              <w:rPr>
                <w:b/>
                <w:i/>
              </w:rPr>
              <w:t> </w:t>
            </w:r>
            <w:r w:rsidRPr="00992414">
              <w:t>článkom 14 s</w:t>
            </w:r>
            <w:r w:rsidRPr="00992414">
              <w:rPr>
                <w:b/>
                <w:i/>
              </w:rPr>
              <w:t> </w:t>
            </w:r>
            <w:r w:rsidRPr="00992414">
              <w:t>cieľom zmeniť prílohu I tak, aby boli zohľadnené nové trendy v</w:t>
            </w:r>
            <w:r w:rsidRPr="00992414">
              <w:rPr>
                <w:b/>
                <w:i/>
              </w:rPr>
              <w:t> </w:t>
            </w:r>
            <w:r w:rsidRPr="00992414">
              <w:t>oblasti prania špinavých peňazí alebo financovania terorizmu v</w:t>
            </w:r>
            <w:r w:rsidRPr="00992414">
              <w:rPr>
                <w:b/>
                <w:i/>
              </w:rPr>
              <w:t> </w:t>
            </w:r>
            <w:r w:rsidRPr="00992414">
              <w:t>zmysle ich vymedzenia v</w:t>
            </w:r>
            <w:r w:rsidRPr="00992414">
              <w:rPr>
                <w:b/>
                <w:i/>
              </w:rPr>
              <w:t> </w:t>
            </w:r>
            <w:r w:rsidRPr="00992414">
              <w:t>článku 1 ods. 3, 4 a</w:t>
            </w:r>
            <w:r w:rsidRPr="00992414">
              <w:rPr>
                <w:b/>
                <w:i/>
              </w:rPr>
              <w:t> </w:t>
            </w:r>
            <w:r w:rsidRPr="00992414">
              <w:t>5 smernice (EÚ) 2015/849, resp. najlepšie postupy v</w:t>
            </w:r>
            <w:r w:rsidRPr="00992414">
              <w:rPr>
                <w:b/>
                <w:i/>
              </w:rPr>
              <w:t> </w:t>
            </w:r>
            <w:r w:rsidRPr="00992414">
              <w:t xml:space="preserve">oblasti predchádzania praniu špinavých peňazí alebo financovaniu terorizmu, ako aj aby sa páchateľom trestnej činnosti zabránilo vo využívaní obchodovateľných finančných nástrojov na doručiteľa, komodít používaných ako vysoko likvidné uchovávatele hodnoty alebo </w:t>
            </w:r>
            <w:r w:rsidRPr="00992414">
              <w:rPr>
                <w:b/>
                <w:i/>
              </w:rPr>
              <w:t xml:space="preserve">anonymných </w:t>
            </w:r>
            <w:r w:rsidRPr="00992414">
              <w:t>predplatených kariet na obchádzanie povinností stanovených v</w:t>
            </w:r>
            <w:r w:rsidRPr="00992414">
              <w:rPr>
                <w:b/>
                <w:i/>
              </w:rPr>
              <w:t> </w:t>
            </w:r>
            <w:r w:rsidRPr="00992414">
              <w:t>článkoch 3 a</w:t>
            </w:r>
            <w:r w:rsidRPr="00992414">
              <w:rPr>
                <w:b/>
                <w:i/>
              </w:rPr>
              <w:t> </w:t>
            </w:r>
            <w:r w:rsidRPr="00992414">
              <w:t>4.</w:t>
            </w:r>
          </w:p>
        </w:tc>
      </w:tr>
    </w:tbl>
    <w:p w14:paraId="65FA3BE2" w14:textId="77777777" w:rsidR="00476D26" w:rsidRPr="00992414" w:rsidRDefault="00476D26" w:rsidP="00476D26">
      <w:r w:rsidRPr="00992414">
        <w:rPr>
          <w:rStyle w:val="HideTWBExt"/>
          <w:noProof w:val="0"/>
        </w:rPr>
        <w:t>&lt;/AmendB&gt;</w:t>
      </w:r>
    </w:p>
    <w:p w14:paraId="08847873" w14:textId="7A5899F8"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37</w:t>
      </w:r>
      <w:r w:rsidRPr="00992414">
        <w:rPr>
          <w:rStyle w:val="HideTWBExt"/>
          <w:b w:val="0"/>
          <w:noProof w:val="0"/>
        </w:rPr>
        <w:t>&lt;/NumAm&gt;</w:t>
      </w:r>
    </w:p>
    <w:p w14:paraId="5D0D9A95"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6DF038EB" w14:textId="77777777" w:rsidR="00376950" w:rsidRPr="00992414" w:rsidRDefault="00376950" w:rsidP="00376950">
      <w:pPr>
        <w:pStyle w:val="NormalBold"/>
      </w:pPr>
      <w:r w:rsidRPr="00992414">
        <w:rPr>
          <w:rStyle w:val="HideTWBExt"/>
          <w:b w:val="0"/>
          <w:noProof w:val="0"/>
        </w:rPr>
        <w:t>&lt;Article&gt;</w:t>
      </w:r>
      <w:r w:rsidRPr="00992414">
        <w:t>Článok 3 – názov</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12977C43" w14:textId="77777777" w:rsidTr="00376950">
        <w:trPr>
          <w:jc w:val="center"/>
        </w:trPr>
        <w:tc>
          <w:tcPr>
            <w:tcW w:w="9752" w:type="dxa"/>
            <w:gridSpan w:val="2"/>
          </w:tcPr>
          <w:p w14:paraId="33C473B3" w14:textId="77777777" w:rsidR="00376950" w:rsidRPr="00992414" w:rsidRDefault="00376950">
            <w:pPr>
              <w:keepNext/>
            </w:pPr>
          </w:p>
        </w:tc>
      </w:tr>
      <w:tr w:rsidR="00376950" w:rsidRPr="00992414" w14:paraId="5F0505A5" w14:textId="77777777" w:rsidTr="00376950">
        <w:trPr>
          <w:jc w:val="center"/>
        </w:trPr>
        <w:tc>
          <w:tcPr>
            <w:tcW w:w="4876" w:type="dxa"/>
            <w:hideMark/>
          </w:tcPr>
          <w:p w14:paraId="5886CED6" w14:textId="77777777" w:rsidR="00376950" w:rsidRPr="00992414" w:rsidRDefault="00376950">
            <w:pPr>
              <w:pStyle w:val="ColumnHeading"/>
              <w:keepNext/>
            </w:pPr>
            <w:r w:rsidRPr="00992414">
              <w:t>Text predložený Komisiou</w:t>
            </w:r>
          </w:p>
        </w:tc>
        <w:tc>
          <w:tcPr>
            <w:tcW w:w="4876" w:type="dxa"/>
            <w:hideMark/>
          </w:tcPr>
          <w:p w14:paraId="46B9BFEF" w14:textId="77777777" w:rsidR="00376950" w:rsidRPr="00992414" w:rsidRDefault="00376950">
            <w:pPr>
              <w:pStyle w:val="ColumnHeading"/>
              <w:keepNext/>
            </w:pPr>
            <w:r w:rsidRPr="00992414">
              <w:t>Pozmeňujúci návrh</w:t>
            </w:r>
          </w:p>
        </w:tc>
      </w:tr>
      <w:tr w:rsidR="00376950" w:rsidRPr="00992414" w14:paraId="7E2BCA39" w14:textId="77777777" w:rsidTr="00376950">
        <w:trPr>
          <w:jc w:val="center"/>
        </w:trPr>
        <w:tc>
          <w:tcPr>
            <w:tcW w:w="4876" w:type="dxa"/>
            <w:hideMark/>
          </w:tcPr>
          <w:p w14:paraId="5EB67244" w14:textId="77777777" w:rsidR="00376950" w:rsidRPr="00992414" w:rsidRDefault="00376950">
            <w:pPr>
              <w:pStyle w:val="Normal6"/>
            </w:pPr>
            <w:r w:rsidRPr="00992414">
              <w:rPr>
                <w:b/>
                <w:i/>
              </w:rPr>
              <w:t>Oznamovacia</w:t>
            </w:r>
            <w:r w:rsidRPr="00992414">
              <w:t xml:space="preserve"> povinnosť</w:t>
            </w:r>
          </w:p>
        </w:tc>
        <w:tc>
          <w:tcPr>
            <w:tcW w:w="4876" w:type="dxa"/>
            <w:hideMark/>
          </w:tcPr>
          <w:p w14:paraId="184A870D" w14:textId="77777777" w:rsidR="00376950" w:rsidRPr="00992414" w:rsidRDefault="00376950">
            <w:pPr>
              <w:pStyle w:val="Normal6"/>
              <w:rPr>
                <w:szCs w:val="24"/>
              </w:rPr>
            </w:pPr>
            <w:r w:rsidRPr="00992414">
              <w:t xml:space="preserve">Povinnosť </w:t>
            </w:r>
            <w:r w:rsidRPr="00992414">
              <w:rPr>
                <w:b/>
                <w:i/>
              </w:rPr>
              <w:t>oznámiť peňažné prostriedky v hotovosti so sprievodom</w:t>
            </w:r>
          </w:p>
        </w:tc>
      </w:tr>
    </w:tbl>
    <w:p w14:paraId="3BE07C66" w14:textId="77777777" w:rsidR="00376950" w:rsidRPr="00992414" w:rsidRDefault="00376950" w:rsidP="00376950">
      <w:r w:rsidRPr="00992414">
        <w:rPr>
          <w:rStyle w:val="HideTWBExt"/>
          <w:noProof w:val="0"/>
        </w:rPr>
        <w:t>&lt;/Amend&gt;</w:t>
      </w:r>
    </w:p>
    <w:p w14:paraId="2E112D66" w14:textId="0F012DB3"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38</w:t>
      </w:r>
      <w:r w:rsidRPr="00992414">
        <w:rPr>
          <w:rStyle w:val="HideTWBExt"/>
          <w:b w:val="0"/>
          <w:noProof w:val="0"/>
        </w:rPr>
        <w:t>&lt;/NumAm&gt;</w:t>
      </w:r>
    </w:p>
    <w:p w14:paraId="64075B73"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094C29DD" w14:textId="77777777" w:rsidR="00376950" w:rsidRPr="00992414" w:rsidRDefault="00376950" w:rsidP="00376950">
      <w:pPr>
        <w:pStyle w:val="NormalBold"/>
      </w:pPr>
      <w:r w:rsidRPr="00992414">
        <w:rPr>
          <w:rStyle w:val="HideTWBExt"/>
          <w:b w:val="0"/>
          <w:noProof w:val="0"/>
        </w:rPr>
        <w:t>&lt;Article&gt;</w:t>
      </w:r>
      <w:r w:rsidRPr="00992414">
        <w:t>Článok 3 – odsek 1</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68C8E746" w14:textId="77777777" w:rsidTr="00376950">
        <w:trPr>
          <w:jc w:val="center"/>
        </w:trPr>
        <w:tc>
          <w:tcPr>
            <w:tcW w:w="9752" w:type="dxa"/>
            <w:gridSpan w:val="2"/>
          </w:tcPr>
          <w:p w14:paraId="49EECA04" w14:textId="77777777" w:rsidR="00376950" w:rsidRPr="00992414" w:rsidRDefault="00376950">
            <w:pPr>
              <w:keepNext/>
            </w:pPr>
          </w:p>
        </w:tc>
      </w:tr>
      <w:tr w:rsidR="00376950" w:rsidRPr="00992414" w14:paraId="31182ECE" w14:textId="77777777" w:rsidTr="00376950">
        <w:trPr>
          <w:jc w:val="center"/>
        </w:trPr>
        <w:tc>
          <w:tcPr>
            <w:tcW w:w="4876" w:type="dxa"/>
            <w:hideMark/>
          </w:tcPr>
          <w:p w14:paraId="7E5D50E0" w14:textId="77777777" w:rsidR="00376950" w:rsidRPr="00992414" w:rsidRDefault="00376950">
            <w:pPr>
              <w:pStyle w:val="ColumnHeading"/>
              <w:keepNext/>
            </w:pPr>
            <w:r w:rsidRPr="00992414">
              <w:t>Text predložený Komisiou</w:t>
            </w:r>
          </w:p>
        </w:tc>
        <w:tc>
          <w:tcPr>
            <w:tcW w:w="4876" w:type="dxa"/>
            <w:hideMark/>
          </w:tcPr>
          <w:p w14:paraId="5CF4A985" w14:textId="77777777" w:rsidR="00376950" w:rsidRPr="00992414" w:rsidRDefault="00376950">
            <w:pPr>
              <w:pStyle w:val="ColumnHeading"/>
              <w:keepNext/>
            </w:pPr>
            <w:r w:rsidRPr="00992414">
              <w:t>Pozmeňujúci návrh</w:t>
            </w:r>
          </w:p>
        </w:tc>
      </w:tr>
      <w:tr w:rsidR="00376950" w:rsidRPr="00992414" w14:paraId="0F7441D8" w14:textId="77777777" w:rsidTr="00376950">
        <w:trPr>
          <w:jc w:val="center"/>
        </w:trPr>
        <w:tc>
          <w:tcPr>
            <w:tcW w:w="4876" w:type="dxa"/>
            <w:hideMark/>
          </w:tcPr>
          <w:p w14:paraId="07C8665D" w14:textId="77777777" w:rsidR="00376950" w:rsidRPr="00992414" w:rsidRDefault="00376950">
            <w:pPr>
              <w:pStyle w:val="Normal6"/>
            </w:pPr>
            <w:r w:rsidRPr="00992414">
              <w:t>1.</w:t>
            </w:r>
            <w:r w:rsidRPr="00992414">
              <w:tab/>
            </w:r>
            <w:r w:rsidRPr="00992414">
              <w:rPr>
                <w:b/>
                <w:i/>
              </w:rPr>
              <w:t>Akákoľvek fyzická osoba</w:t>
            </w:r>
            <w:r w:rsidRPr="00992414">
              <w:t xml:space="preserve">, </w:t>
            </w:r>
            <w:r w:rsidRPr="00992414">
              <w:rPr>
                <w:b/>
                <w:i/>
              </w:rPr>
              <w:t>ktorá</w:t>
            </w:r>
            <w:r w:rsidRPr="00992414">
              <w:t xml:space="preserve"> vstupuje do Únie, resp. opúšťa Úniu, a prepravuje peňažné prostriedky v hotovosti s hodnotou 10 000 EUR alebo viac, či už u seba, vo svojej batožine alebo vo svojom dopravnom prostriedku, oznámi tieto peňažné prostriedky v hotovosti príslušným orgánom členského štátu, cez ktorý vstupuje do Únie, resp. cez ktorý Úniu opúšťa, pričom ich sprístupní na účely kontroly. Oznamovacia povinnosť sa nepovažuje za splnenú, ak sa poskytli nesprávne alebo neúplné informácie, resp. ak peňažné prostriedky neboli na účely kontroly sprístupnené.</w:t>
            </w:r>
          </w:p>
        </w:tc>
        <w:tc>
          <w:tcPr>
            <w:tcW w:w="4876" w:type="dxa"/>
            <w:hideMark/>
          </w:tcPr>
          <w:p w14:paraId="2E0BA2E0" w14:textId="6C0C0E5C" w:rsidR="00376950" w:rsidRPr="00992414" w:rsidRDefault="00376950" w:rsidP="003272B9">
            <w:pPr>
              <w:pStyle w:val="Normal6"/>
              <w:rPr>
                <w:szCs w:val="24"/>
              </w:rPr>
            </w:pPr>
            <w:r w:rsidRPr="00992414">
              <w:t>1.</w:t>
            </w:r>
            <w:r w:rsidRPr="00992414">
              <w:tab/>
            </w:r>
            <w:r w:rsidRPr="00992414">
              <w:rPr>
                <w:b/>
                <w:i/>
              </w:rPr>
              <w:t>Každý prepravca</w:t>
            </w:r>
            <w:r w:rsidRPr="00992414">
              <w:t xml:space="preserve">, </w:t>
            </w:r>
            <w:r w:rsidRPr="00992414">
              <w:rPr>
                <w:b/>
                <w:i/>
              </w:rPr>
              <w:t>ktorý</w:t>
            </w:r>
            <w:r w:rsidRPr="00992414">
              <w:t xml:space="preserve"> vstupuje do Únie, resp. opúšťa Úniu, a prepravuje peňažné prostriedky v hotovosti s hodnotou 10 000 EUR alebo viac, či už u seba, vo svojej batožine alebo vo svojom dopravnom prostriedku, oznámi tieto peňažné prostriedky v hotovosti príslušným orgánom členského štátu, cez ktorý vstupuje do Únie, resp. cez ktorý Úniu opúšťa, pričom ich sprístupní na účely kontroly. Oznamovacia povinnosť sa nepovažuje za splnenú, ak sa poskytli nesprávne alebo neúplné informácie, resp. ak peňažné prostriedky neboli na účely kontroly sprístupnené.</w:t>
            </w:r>
          </w:p>
        </w:tc>
      </w:tr>
    </w:tbl>
    <w:p w14:paraId="23E0E2FB" w14:textId="77777777" w:rsidR="00376950" w:rsidRPr="00992414" w:rsidRDefault="00376950" w:rsidP="00376950">
      <w:r w:rsidRPr="00992414">
        <w:rPr>
          <w:rStyle w:val="HideTWBExt"/>
          <w:noProof w:val="0"/>
        </w:rPr>
        <w:t>&lt;/Amend&gt;</w:t>
      </w:r>
    </w:p>
    <w:p w14:paraId="0570748E" w14:textId="19B9C35D"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39</w:t>
      </w:r>
      <w:r w:rsidRPr="00992414">
        <w:rPr>
          <w:rStyle w:val="HideTWBExt"/>
          <w:b w:val="0"/>
          <w:noProof w:val="0"/>
        </w:rPr>
        <w:t>&lt;/NumAm&gt;</w:t>
      </w:r>
    </w:p>
    <w:p w14:paraId="463415FF"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573CAA22" w14:textId="77777777" w:rsidR="00376950" w:rsidRPr="00992414" w:rsidRDefault="00376950" w:rsidP="00376950">
      <w:pPr>
        <w:pStyle w:val="NormalBold"/>
      </w:pPr>
      <w:r w:rsidRPr="00992414">
        <w:rPr>
          <w:rStyle w:val="HideTWBExt"/>
          <w:b w:val="0"/>
          <w:noProof w:val="0"/>
        </w:rPr>
        <w:t>&lt;Article&gt;</w:t>
      </w:r>
      <w:r w:rsidRPr="00992414">
        <w:t>Článok 3 – odsek 2 – písmeno a</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38946E61" w14:textId="77777777" w:rsidTr="00376950">
        <w:trPr>
          <w:jc w:val="center"/>
        </w:trPr>
        <w:tc>
          <w:tcPr>
            <w:tcW w:w="9752" w:type="dxa"/>
            <w:gridSpan w:val="2"/>
          </w:tcPr>
          <w:p w14:paraId="4D57B3AA" w14:textId="77777777" w:rsidR="00376950" w:rsidRPr="00992414" w:rsidRDefault="00376950">
            <w:pPr>
              <w:keepNext/>
            </w:pPr>
          </w:p>
        </w:tc>
      </w:tr>
      <w:tr w:rsidR="00376950" w:rsidRPr="00992414" w14:paraId="16A83E1F" w14:textId="77777777" w:rsidTr="00376950">
        <w:trPr>
          <w:jc w:val="center"/>
        </w:trPr>
        <w:tc>
          <w:tcPr>
            <w:tcW w:w="4876" w:type="dxa"/>
            <w:hideMark/>
          </w:tcPr>
          <w:p w14:paraId="315B4F1D" w14:textId="77777777" w:rsidR="00376950" w:rsidRPr="00992414" w:rsidRDefault="00376950">
            <w:pPr>
              <w:pStyle w:val="ColumnHeading"/>
              <w:keepNext/>
            </w:pPr>
            <w:r w:rsidRPr="00992414">
              <w:t>Text predložený Komisiou</w:t>
            </w:r>
          </w:p>
        </w:tc>
        <w:tc>
          <w:tcPr>
            <w:tcW w:w="4876" w:type="dxa"/>
            <w:hideMark/>
          </w:tcPr>
          <w:p w14:paraId="16F6D724" w14:textId="77777777" w:rsidR="00376950" w:rsidRPr="00992414" w:rsidRDefault="00376950">
            <w:pPr>
              <w:pStyle w:val="ColumnHeading"/>
              <w:keepNext/>
            </w:pPr>
            <w:r w:rsidRPr="00992414">
              <w:t>Pozmeňujúci návrh</w:t>
            </w:r>
          </w:p>
        </w:tc>
      </w:tr>
      <w:tr w:rsidR="00376950" w:rsidRPr="00992414" w14:paraId="26CF59F7" w14:textId="77777777" w:rsidTr="00376950">
        <w:trPr>
          <w:jc w:val="center"/>
        </w:trPr>
        <w:tc>
          <w:tcPr>
            <w:tcW w:w="4876" w:type="dxa"/>
            <w:hideMark/>
          </w:tcPr>
          <w:p w14:paraId="4F63EE06" w14:textId="77777777" w:rsidR="00376950" w:rsidRPr="00992414" w:rsidRDefault="00376950">
            <w:pPr>
              <w:pStyle w:val="Normal6"/>
            </w:pPr>
            <w:r w:rsidRPr="00992414">
              <w:t>a)</w:t>
            </w:r>
            <w:r w:rsidRPr="00992414">
              <w:tab/>
            </w:r>
            <w:r w:rsidRPr="00992414">
              <w:rPr>
                <w:b/>
                <w:i/>
              </w:rPr>
              <w:t>deklarantovi</w:t>
            </w:r>
            <w:r w:rsidRPr="00992414">
              <w:t xml:space="preserve"> vrátane celého mena, adresy, dátumu a miesta narodenia</w:t>
            </w:r>
            <w:r w:rsidRPr="00992414">
              <w:rPr>
                <w:b/>
                <w:i/>
              </w:rPr>
              <w:t xml:space="preserve"> a</w:t>
            </w:r>
            <w:r w:rsidRPr="00992414">
              <w:t xml:space="preserve"> štátnej príslušnosti;</w:t>
            </w:r>
          </w:p>
        </w:tc>
        <w:tc>
          <w:tcPr>
            <w:tcW w:w="4876" w:type="dxa"/>
            <w:hideMark/>
          </w:tcPr>
          <w:p w14:paraId="47AF2FF3" w14:textId="3BA1E296" w:rsidR="00376950" w:rsidRPr="00992414" w:rsidRDefault="00376950" w:rsidP="00145D51">
            <w:pPr>
              <w:pStyle w:val="Normal6"/>
              <w:rPr>
                <w:szCs w:val="24"/>
              </w:rPr>
            </w:pPr>
            <w:r w:rsidRPr="00992414">
              <w:t>a)</w:t>
            </w:r>
            <w:r w:rsidRPr="00992414">
              <w:tab/>
            </w:r>
            <w:r w:rsidRPr="00992414">
              <w:rPr>
                <w:b/>
                <w:i/>
              </w:rPr>
              <w:t>prepravcovi</w:t>
            </w:r>
            <w:r w:rsidRPr="00992414">
              <w:t xml:space="preserve"> vrátane celého mena, </w:t>
            </w:r>
            <w:r w:rsidRPr="00992414">
              <w:rPr>
                <w:b/>
                <w:i/>
              </w:rPr>
              <w:t xml:space="preserve">kontaktných údajov (vrátane </w:t>
            </w:r>
            <w:r w:rsidRPr="00992414">
              <w:t>adresy</w:t>
            </w:r>
            <w:r w:rsidRPr="00992414">
              <w:rPr>
                <w:b/>
                <w:i/>
              </w:rPr>
              <w:t>)</w:t>
            </w:r>
            <w:r w:rsidRPr="00992414">
              <w:t>, dátumu a miesta narodenia</w:t>
            </w:r>
            <w:r w:rsidRPr="00992414">
              <w:rPr>
                <w:b/>
                <w:i/>
              </w:rPr>
              <w:t>,</w:t>
            </w:r>
            <w:r w:rsidRPr="00992414">
              <w:t xml:space="preserve"> štátnej príslušnosti</w:t>
            </w:r>
            <w:r w:rsidRPr="00992414">
              <w:rPr>
                <w:b/>
                <w:i/>
              </w:rPr>
              <w:t xml:space="preserve"> a čísla dokladu totožnosti</w:t>
            </w:r>
            <w:r w:rsidRPr="00992414">
              <w:t>;</w:t>
            </w:r>
          </w:p>
        </w:tc>
      </w:tr>
    </w:tbl>
    <w:p w14:paraId="55C6D146" w14:textId="77777777" w:rsidR="00376950" w:rsidRPr="00992414" w:rsidRDefault="00376950" w:rsidP="00376950">
      <w:r w:rsidRPr="00992414">
        <w:rPr>
          <w:rStyle w:val="HideTWBExt"/>
          <w:noProof w:val="0"/>
        </w:rPr>
        <w:t>&lt;/Amend&gt;</w:t>
      </w:r>
    </w:p>
    <w:p w14:paraId="31B5C7C1" w14:textId="41287BFB" w:rsidR="00697F78" w:rsidRPr="00992414" w:rsidRDefault="00697F78" w:rsidP="00697F78">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40</w:t>
      </w:r>
      <w:r w:rsidRPr="00992414">
        <w:rPr>
          <w:rStyle w:val="HideTWBExt"/>
          <w:b w:val="0"/>
          <w:noProof w:val="0"/>
        </w:rPr>
        <w:t>&lt;/NumAm&gt;</w:t>
      </w:r>
    </w:p>
    <w:p w14:paraId="25BD0A36" w14:textId="77777777" w:rsidR="00697F78" w:rsidRPr="00992414" w:rsidRDefault="00697F78" w:rsidP="00697F78">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603D7DF3" w14:textId="77777777" w:rsidR="00697F78" w:rsidRPr="00992414" w:rsidRDefault="00697F78" w:rsidP="00697F78">
      <w:pPr>
        <w:pStyle w:val="NormalBold"/>
      </w:pPr>
      <w:r w:rsidRPr="00992414">
        <w:rPr>
          <w:rStyle w:val="HideTWBExt"/>
          <w:b w:val="0"/>
          <w:noProof w:val="0"/>
        </w:rPr>
        <w:t>&lt;Article&gt;</w:t>
      </w:r>
      <w:r w:rsidRPr="00992414">
        <w:t>Článok 3 – odsek 2 – písmeno b</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7F78" w:rsidRPr="00992414" w14:paraId="0864FE1F" w14:textId="77777777" w:rsidTr="00635B1A">
        <w:trPr>
          <w:jc w:val="center"/>
        </w:trPr>
        <w:tc>
          <w:tcPr>
            <w:tcW w:w="9752" w:type="dxa"/>
            <w:gridSpan w:val="2"/>
          </w:tcPr>
          <w:p w14:paraId="3215C64B" w14:textId="77777777" w:rsidR="00697F78" w:rsidRPr="00992414" w:rsidRDefault="00697F78" w:rsidP="00635B1A">
            <w:pPr>
              <w:keepNext/>
            </w:pPr>
          </w:p>
        </w:tc>
      </w:tr>
      <w:tr w:rsidR="00697F78" w:rsidRPr="00992414" w14:paraId="7288622B" w14:textId="77777777" w:rsidTr="00635B1A">
        <w:trPr>
          <w:jc w:val="center"/>
        </w:trPr>
        <w:tc>
          <w:tcPr>
            <w:tcW w:w="4876" w:type="dxa"/>
            <w:hideMark/>
          </w:tcPr>
          <w:p w14:paraId="25759AB1" w14:textId="77777777" w:rsidR="00697F78" w:rsidRPr="00992414" w:rsidRDefault="00697F78" w:rsidP="00635B1A">
            <w:pPr>
              <w:pStyle w:val="ColumnHeading"/>
              <w:keepNext/>
            </w:pPr>
            <w:r w:rsidRPr="00992414">
              <w:t>Text predložený Komisiou</w:t>
            </w:r>
          </w:p>
        </w:tc>
        <w:tc>
          <w:tcPr>
            <w:tcW w:w="4876" w:type="dxa"/>
            <w:hideMark/>
          </w:tcPr>
          <w:p w14:paraId="2BBC5151" w14:textId="77777777" w:rsidR="00697F78" w:rsidRPr="00992414" w:rsidRDefault="00697F78" w:rsidP="00635B1A">
            <w:pPr>
              <w:pStyle w:val="ColumnHeading"/>
              <w:keepNext/>
            </w:pPr>
            <w:r w:rsidRPr="00992414">
              <w:t>Pozmeňujúci návrh</w:t>
            </w:r>
          </w:p>
        </w:tc>
      </w:tr>
      <w:tr w:rsidR="00697F78" w:rsidRPr="00992414" w14:paraId="07BC58D9" w14:textId="77777777" w:rsidTr="00635B1A">
        <w:trPr>
          <w:jc w:val="center"/>
        </w:trPr>
        <w:tc>
          <w:tcPr>
            <w:tcW w:w="4876" w:type="dxa"/>
            <w:hideMark/>
          </w:tcPr>
          <w:p w14:paraId="752B1257" w14:textId="77777777" w:rsidR="00697F78" w:rsidRPr="00992414" w:rsidRDefault="00697F78" w:rsidP="00635B1A">
            <w:pPr>
              <w:pStyle w:val="Normal6"/>
            </w:pPr>
            <w:r w:rsidRPr="00992414">
              <w:t>b)</w:t>
            </w:r>
            <w:r w:rsidRPr="00992414">
              <w:tab/>
              <w:t xml:space="preserve">majiteľovi peňažných prostriedkov v hotovosti vrátane celého mena, adresy, dátumu a miesta narodenia </w:t>
            </w:r>
            <w:r w:rsidRPr="00992414">
              <w:rPr>
                <w:b/>
                <w:i/>
              </w:rPr>
              <w:t>a</w:t>
            </w:r>
            <w:r w:rsidRPr="00992414">
              <w:t xml:space="preserve"> štátnej príslušnosti;</w:t>
            </w:r>
          </w:p>
        </w:tc>
        <w:tc>
          <w:tcPr>
            <w:tcW w:w="4876" w:type="dxa"/>
            <w:hideMark/>
          </w:tcPr>
          <w:p w14:paraId="106B843A" w14:textId="45D91ECB" w:rsidR="00697F78" w:rsidRPr="00992414" w:rsidRDefault="00697F78" w:rsidP="00D54F3C">
            <w:pPr>
              <w:pStyle w:val="Normal6"/>
              <w:rPr>
                <w:szCs w:val="24"/>
              </w:rPr>
            </w:pPr>
            <w:r w:rsidRPr="00992414">
              <w:t>b)</w:t>
            </w:r>
            <w:r w:rsidRPr="00992414">
              <w:tab/>
              <w:t xml:space="preserve">majiteľovi peňažných prostriedkov v hotovosti vrátane celého mena, </w:t>
            </w:r>
            <w:r w:rsidRPr="00992414">
              <w:rPr>
                <w:b/>
                <w:i/>
              </w:rPr>
              <w:t xml:space="preserve">kontaktných údajov (vrátane </w:t>
            </w:r>
            <w:r w:rsidRPr="00992414">
              <w:t>adresy</w:t>
            </w:r>
            <w:r w:rsidRPr="00992414">
              <w:rPr>
                <w:b/>
                <w:i/>
              </w:rPr>
              <w:t>)</w:t>
            </w:r>
            <w:r w:rsidRPr="00992414">
              <w:t>, dátumu a miesta narodenia</w:t>
            </w:r>
            <w:r w:rsidRPr="00992414">
              <w:rPr>
                <w:b/>
                <w:i/>
              </w:rPr>
              <w:t>,</w:t>
            </w:r>
            <w:r w:rsidRPr="00992414">
              <w:t xml:space="preserve"> štátnej príslušnosti </w:t>
            </w:r>
            <w:r w:rsidRPr="00992414">
              <w:rPr>
                <w:b/>
                <w:i/>
              </w:rPr>
              <w:t>a</w:t>
            </w:r>
            <w:r w:rsidRPr="00992414">
              <w:t xml:space="preserve"> </w:t>
            </w:r>
            <w:r w:rsidRPr="00992414">
              <w:rPr>
                <w:b/>
                <w:i/>
              </w:rPr>
              <w:t>čísla dokladu totožnosti v prípade fyzických osôb, alebo celého mena/názvu, kontaktných údajov (vrátane adresy), registračného čísla alebo identifikačného čísla pre daň z pridanej hodnoty v prípade právnických osôb</w:t>
            </w:r>
            <w:r w:rsidRPr="00992414">
              <w:t>;</w:t>
            </w:r>
          </w:p>
        </w:tc>
      </w:tr>
    </w:tbl>
    <w:p w14:paraId="5FA94403" w14:textId="77777777" w:rsidR="00697F78" w:rsidRPr="00992414" w:rsidRDefault="00697F78" w:rsidP="00697F78">
      <w:r w:rsidRPr="00992414">
        <w:rPr>
          <w:rStyle w:val="HideTWBExt"/>
          <w:noProof w:val="0"/>
        </w:rPr>
        <w:t>&lt;/Amend&gt;</w:t>
      </w:r>
    </w:p>
    <w:p w14:paraId="7AB9B854" w14:textId="48C3BEBF" w:rsidR="00AF2B9C" w:rsidRPr="00992414" w:rsidRDefault="00AF2B9C" w:rsidP="00AF2B9C">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41</w:t>
      </w:r>
      <w:r w:rsidRPr="00992414">
        <w:rPr>
          <w:rStyle w:val="HideTWBExt"/>
          <w:b w:val="0"/>
          <w:noProof w:val="0"/>
        </w:rPr>
        <w:t>&lt;/NumAm&gt;</w:t>
      </w:r>
    </w:p>
    <w:p w14:paraId="41E15ADD" w14:textId="77777777" w:rsidR="00AF2B9C" w:rsidRPr="00992414" w:rsidRDefault="00AF2B9C" w:rsidP="00AF2B9C">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7D679CEF" w14:textId="77777777" w:rsidR="00AF2B9C" w:rsidRPr="00992414" w:rsidRDefault="00AF2B9C" w:rsidP="00AF2B9C">
      <w:pPr>
        <w:pStyle w:val="NormalBold"/>
      </w:pPr>
      <w:r w:rsidRPr="00992414">
        <w:rPr>
          <w:rStyle w:val="HideTWBExt"/>
          <w:b w:val="0"/>
          <w:noProof w:val="0"/>
        </w:rPr>
        <w:t>&lt;Article&gt;</w:t>
      </w:r>
      <w:r w:rsidRPr="00992414">
        <w:t>Článok 3 – odsek 2 – písmeno c</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F2B9C" w:rsidRPr="00992414" w14:paraId="1249F365" w14:textId="77777777" w:rsidTr="005C72A5">
        <w:trPr>
          <w:jc w:val="center"/>
        </w:trPr>
        <w:tc>
          <w:tcPr>
            <w:tcW w:w="9752" w:type="dxa"/>
            <w:gridSpan w:val="2"/>
          </w:tcPr>
          <w:p w14:paraId="0AFC7610" w14:textId="77777777" w:rsidR="00AF2B9C" w:rsidRPr="00992414" w:rsidRDefault="00AF2B9C" w:rsidP="005C72A5">
            <w:pPr>
              <w:keepNext/>
            </w:pPr>
          </w:p>
        </w:tc>
      </w:tr>
      <w:tr w:rsidR="00AF2B9C" w:rsidRPr="00992414" w14:paraId="194E9581" w14:textId="77777777" w:rsidTr="005C72A5">
        <w:trPr>
          <w:jc w:val="center"/>
        </w:trPr>
        <w:tc>
          <w:tcPr>
            <w:tcW w:w="4876" w:type="dxa"/>
            <w:hideMark/>
          </w:tcPr>
          <w:p w14:paraId="3A0B2A48" w14:textId="77777777" w:rsidR="00AF2B9C" w:rsidRPr="00992414" w:rsidRDefault="00AF2B9C" w:rsidP="005C72A5">
            <w:pPr>
              <w:pStyle w:val="ColumnHeading"/>
              <w:keepNext/>
            </w:pPr>
            <w:r w:rsidRPr="00992414">
              <w:t>Text predložený Komisiou</w:t>
            </w:r>
          </w:p>
        </w:tc>
        <w:tc>
          <w:tcPr>
            <w:tcW w:w="4876" w:type="dxa"/>
            <w:hideMark/>
          </w:tcPr>
          <w:p w14:paraId="5961D5A9" w14:textId="77777777" w:rsidR="00AF2B9C" w:rsidRPr="00992414" w:rsidRDefault="00AF2B9C" w:rsidP="005C72A5">
            <w:pPr>
              <w:pStyle w:val="ColumnHeading"/>
              <w:keepNext/>
            </w:pPr>
            <w:r w:rsidRPr="00992414">
              <w:t>Pozmeňujúci návrh</w:t>
            </w:r>
          </w:p>
        </w:tc>
      </w:tr>
      <w:tr w:rsidR="00AF2B9C" w:rsidRPr="00992414" w14:paraId="7F334696" w14:textId="77777777" w:rsidTr="005C72A5">
        <w:trPr>
          <w:jc w:val="center"/>
        </w:trPr>
        <w:tc>
          <w:tcPr>
            <w:tcW w:w="4876" w:type="dxa"/>
            <w:hideMark/>
          </w:tcPr>
          <w:p w14:paraId="76CA38EC" w14:textId="77777777" w:rsidR="00AF2B9C" w:rsidRPr="00992414" w:rsidRDefault="00AF2B9C" w:rsidP="005C72A5">
            <w:pPr>
              <w:pStyle w:val="Normal6"/>
            </w:pPr>
            <w:r w:rsidRPr="00992414">
              <w:t>c)</w:t>
            </w:r>
            <w:r w:rsidRPr="00992414">
              <w:tab/>
              <w:t xml:space="preserve">zamýšľanom príjemcovi peňažných prostriedkov v hotovosti vrátane celého mena, adresy, dátumu a miesta narodenia </w:t>
            </w:r>
            <w:r w:rsidRPr="00992414">
              <w:rPr>
                <w:b/>
                <w:i/>
              </w:rPr>
              <w:t>a</w:t>
            </w:r>
            <w:r w:rsidRPr="00992414">
              <w:t xml:space="preserve"> štátnej príslušnosti;</w:t>
            </w:r>
          </w:p>
        </w:tc>
        <w:tc>
          <w:tcPr>
            <w:tcW w:w="4876" w:type="dxa"/>
            <w:hideMark/>
          </w:tcPr>
          <w:p w14:paraId="46F6A561" w14:textId="04D3FED7" w:rsidR="00AF2B9C" w:rsidRPr="00992414" w:rsidRDefault="00AF2B9C" w:rsidP="00D54F3C">
            <w:pPr>
              <w:pStyle w:val="Normal6"/>
              <w:rPr>
                <w:b/>
                <w:i/>
                <w:szCs w:val="24"/>
              </w:rPr>
            </w:pPr>
            <w:r w:rsidRPr="00992414">
              <w:t>c)</w:t>
            </w:r>
            <w:r w:rsidRPr="00992414">
              <w:tab/>
              <w:t xml:space="preserve">zamýšľanom príjemcovi peňažných prostriedkov v hotovosti vrátane celého mena, </w:t>
            </w:r>
            <w:r w:rsidRPr="00992414">
              <w:rPr>
                <w:b/>
                <w:i/>
              </w:rPr>
              <w:t>kontaktných údajov (vrátane</w:t>
            </w:r>
            <w:r w:rsidRPr="00992414">
              <w:t xml:space="preserve"> adresy</w:t>
            </w:r>
            <w:r w:rsidRPr="00992414">
              <w:rPr>
                <w:b/>
                <w:i/>
              </w:rPr>
              <w:t>)</w:t>
            </w:r>
            <w:r w:rsidRPr="00992414">
              <w:t>, dátumu a miesta narodenia</w:t>
            </w:r>
            <w:r w:rsidRPr="00992414">
              <w:rPr>
                <w:b/>
                <w:i/>
              </w:rPr>
              <w:t>, čísla dokladu totožnosti</w:t>
            </w:r>
            <w:r w:rsidRPr="00992414">
              <w:t xml:space="preserve"> a štátnej príslušnosti </w:t>
            </w:r>
            <w:r w:rsidRPr="00992414">
              <w:rPr>
                <w:b/>
                <w:i/>
              </w:rPr>
              <w:t>v prípade fyzických osôb, alebo celého mena, kontaktných údajov (vrátane adresy), registračného čísla alebo identifikačného čísla pre daň z pridanej hodnoty v prípade právnických osôb</w:t>
            </w:r>
            <w:r w:rsidRPr="00992414">
              <w:t>;</w:t>
            </w:r>
          </w:p>
        </w:tc>
      </w:tr>
    </w:tbl>
    <w:p w14:paraId="6D27EC37" w14:textId="77777777" w:rsidR="00AF2B9C" w:rsidRPr="00992414" w:rsidRDefault="00AF2B9C" w:rsidP="00AF2B9C">
      <w:r w:rsidRPr="00992414">
        <w:rPr>
          <w:rStyle w:val="HideTWBExt"/>
          <w:noProof w:val="0"/>
        </w:rPr>
        <w:t>&lt;/Amend&gt;</w:t>
      </w:r>
    </w:p>
    <w:p w14:paraId="19A23623" w14:textId="0640FAB2"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42</w:t>
      </w:r>
      <w:r w:rsidRPr="00992414">
        <w:rPr>
          <w:rStyle w:val="HideTWBExt"/>
          <w:b w:val="0"/>
          <w:noProof w:val="0"/>
        </w:rPr>
        <w:t>&lt;/NumAm&gt;</w:t>
      </w:r>
    </w:p>
    <w:p w14:paraId="7F03A458"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49C4B6AF" w14:textId="77777777" w:rsidR="00376950" w:rsidRPr="00992414" w:rsidRDefault="00376950" w:rsidP="00376950">
      <w:pPr>
        <w:pStyle w:val="NormalBold"/>
      </w:pPr>
      <w:r w:rsidRPr="00992414">
        <w:rPr>
          <w:rStyle w:val="HideTWBExt"/>
          <w:b w:val="0"/>
          <w:noProof w:val="0"/>
        </w:rPr>
        <w:t>&lt;Article&gt;</w:t>
      </w:r>
      <w:r w:rsidRPr="00992414">
        <w:t>Článok 3 – odsek 2 – písmeno d</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357B7AF9" w14:textId="77777777" w:rsidTr="00376950">
        <w:trPr>
          <w:jc w:val="center"/>
        </w:trPr>
        <w:tc>
          <w:tcPr>
            <w:tcW w:w="9752" w:type="dxa"/>
            <w:gridSpan w:val="2"/>
          </w:tcPr>
          <w:p w14:paraId="1AA13503" w14:textId="77777777" w:rsidR="00376950" w:rsidRPr="00992414" w:rsidRDefault="00376950">
            <w:pPr>
              <w:keepNext/>
            </w:pPr>
          </w:p>
        </w:tc>
      </w:tr>
      <w:tr w:rsidR="00376950" w:rsidRPr="00992414" w14:paraId="4937ADF3" w14:textId="77777777" w:rsidTr="00376950">
        <w:trPr>
          <w:jc w:val="center"/>
        </w:trPr>
        <w:tc>
          <w:tcPr>
            <w:tcW w:w="4876" w:type="dxa"/>
            <w:hideMark/>
          </w:tcPr>
          <w:p w14:paraId="5D2975DA" w14:textId="77777777" w:rsidR="00376950" w:rsidRPr="00992414" w:rsidRDefault="00376950">
            <w:pPr>
              <w:pStyle w:val="ColumnHeading"/>
              <w:keepNext/>
            </w:pPr>
            <w:r w:rsidRPr="00992414">
              <w:t>Text predložený Komisiou</w:t>
            </w:r>
          </w:p>
        </w:tc>
        <w:tc>
          <w:tcPr>
            <w:tcW w:w="4876" w:type="dxa"/>
            <w:hideMark/>
          </w:tcPr>
          <w:p w14:paraId="1A9B0C68" w14:textId="77777777" w:rsidR="00376950" w:rsidRPr="00992414" w:rsidRDefault="00376950">
            <w:pPr>
              <w:pStyle w:val="ColumnHeading"/>
              <w:keepNext/>
            </w:pPr>
            <w:r w:rsidRPr="00992414">
              <w:t>Pozmeňujúci návrh</w:t>
            </w:r>
          </w:p>
        </w:tc>
      </w:tr>
      <w:tr w:rsidR="00376950" w:rsidRPr="00992414" w14:paraId="09595D7D" w14:textId="77777777" w:rsidTr="00376950">
        <w:trPr>
          <w:jc w:val="center"/>
        </w:trPr>
        <w:tc>
          <w:tcPr>
            <w:tcW w:w="4876" w:type="dxa"/>
            <w:hideMark/>
          </w:tcPr>
          <w:p w14:paraId="781917A5" w14:textId="77777777" w:rsidR="00376950" w:rsidRPr="00992414" w:rsidRDefault="00376950">
            <w:pPr>
              <w:pStyle w:val="Normal6"/>
            </w:pPr>
            <w:r w:rsidRPr="00992414">
              <w:t>d)</w:t>
            </w:r>
            <w:r w:rsidRPr="00992414">
              <w:tab/>
            </w:r>
            <w:r w:rsidRPr="00992414">
              <w:rPr>
                <w:b/>
                <w:i/>
              </w:rPr>
              <w:t>sume a</w:t>
            </w:r>
            <w:r w:rsidRPr="00992414">
              <w:t xml:space="preserve"> povahe peňažných prostriedkov v hotovosti;</w:t>
            </w:r>
          </w:p>
        </w:tc>
        <w:tc>
          <w:tcPr>
            <w:tcW w:w="4876" w:type="dxa"/>
            <w:hideMark/>
          </w:tcPr>
          <w:p w14:paraId="75AD0302" w14:textId="77777777" w:rsidR="00376950" w:rsidRPr="00992414" w:rsidRDefault="00376950">
            <w:pPr>
              <w:pStyle w:val="Normal6"/>
              <w:rPr>
                <w:szCs w:val="24"/>
              </w:rPr>
            </w:pPr>
            <w:r w:rsidRPr="00992414">
              <w:t>d)</w:t>
            </w:r>
            <w:r w:rsidRPr="00992414">
              <w:tab/>
              <w:t xml:space="preserve">povahe </w:t>
            </w:r>
            <w:r w:rsidRPr="00992414">
              <w:rPr>
                <w:b/>
                <w:i/>
              </w:rPr>
              <w:t>a sume alebo hodnote</w:t>
            </w:r>
            <w:r w:rsidRPr="00992414">
              <w:t xml:space="preserve"> peňažných prostriedkov v hotovosti;</w:t>
            </w:r>
          </w:p>
        </w:tc>
      </w:tr>
    </w:tbl>
    <w:p w14:paraId="54B80604" w14:textId="77777777" w:rsidR="00376950" w:rsidRPr="00992414" w:rsidRDefault="00376950" w:rsidP="00376950">
      <w:r w:rsidRPr="00992414">
        <w:rPr>
          <w:rStyle w:val="HideTWBExt"/>
          <w:noProof w:val="0"/>
        </w:rPr>
        <w:t>&lt;/Amend&gt;</w:t>
      </w:r>
    </w:p>
    <w:p w14:paraId="32CB97B4" w14:textId="3A7546E3"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43</w:t>
      </w:r>
      <w:r w:rsidRPr="00992414">
        <w:rPr>
          <w:rStyle w:val="HideTWBExt"/>
          <w:b w:val="0"/>
          <w:noProof w:val="0"/>
        </w:rPr>
        <w:t>&lt;/NumAm&gt;</w:t>
      </w:r>
    </w:p>
    <w:p w14:paraId="47879C79"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388A9DC2" w14:textId="77777777" w:rsidR="00376950" w:rsidRPr="00992414" w:rsidRDefault="00376950" w:rsidP="00376950">
      <w:pPr>
        <w:pStyle w:val="NormalBold"/>
      </w:pPr>
      <w:r w:rsidRPr="00992414">
        <w:rPr>
          <w:rStyle w:val="HideTWBExt"/>
          <w:b w:val="0"/>
          <w:noProof w:val="0"/>
        </w:rPr>
        <w:t>&lt;Article&gt;</w:t>
      </w:r>
      <w:r w:rsidRPr="00992414">
        <w:t>Článok 3 – odsek 2 – písmeno e</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0CEC7AB3" w14:textId="77777777" w:rsidTr="00376950">
        <w:trPr>
          <w:jc w:val="center"/>
        </w:trPr>
        <w:tc>
          <w:tcPr>
            <w:tcW w:w="9752" w:type="dxa"/>
            <w:gridSpan w:val="2"/>
          </w:tcPr>
          <w:p w14:paraId="38D2E01D" w14:textId="77777777" w:rsidR="00376950" w:rsidRPr="00992414" w:rsidRDefault="00376950">
            <w:pPr>
              <w:keepNext/>
            </w:pPr>
          </w:p>
        </w:tc>
      </w:tr>
      <w:tr w:rsidR="00376950" w:rsidRPr="00992414" w14:paraId="7C141766" w14:textId="77777777" w:rsidTr="00376950">
        <w:trPr>
          <w:jc w:val="center"/>
        </w:trPr>
        <w:tc>
          <w:tcPr>
            <w:tcW w:w="4876" w:type="dxa"/>
            <w:hideMark/>
          </w:tcPr>
          <w:p w14:paraId="672BE769" w14:textId="77777777" w:rsidR="00376950" w:rsidRPr="00992414" w:rsidRDefault="00376950">
            <w:pPr>
              <w:pStyle w:val="ColumnHeading"/>
              <w:keepNext/>
            </w:pPr>
            <w:r w:rsidRPr="00992414">
              <w:t>Text predložený Komisiou</w:t>
            </w:r>
          </w:p>
        </w:tc>
        <w:tc>
          <w:tcPr>
            <w:tcW w:w="4876" w:type="dxa"/>
            <w:hideMark/>
          </w:tcPr>
          <w:p w14:paraId="1A59A4CD" w14:textId="77777777" w:rsidR="00376950" w:rsidRPr="00992414" w:rsidRDefault="00376950">
            <w:pPr>
              <w:pStyle w:val="ColumnHeading"/>
              <w:keepNext/>
            </w:pPr>
            <w:r w:rsidRPr="00992414">
              <w:t>Pozmeňujúci návrh</w:t>
            </w:r>
          </w:p>
        </w:tc>
      </w:tr>
      <w:tr w:rsidR="00376950" w:rsidRPr="00992414" w14:paraId="442102AF" w14:textId="77777777" w:rsidTr="00376950">
        <w:trPr>
          <w:jc w:val="center"/>
        </w:trPr>
        <w:tc>
          <w:tcPr>
            <w:tcW w:w="4876" w:type="dxa"/>
            <w:hideMark/>
          </w:tcPr>
          <w:p w14:paraId="29D29679" w14:textId="77777777" w:rsidR="00376950" w:rsidRPr="00992414" w:rsidRDefault="00376950">
            <w:pPr>
              <w:pStyle w:val="Normal6"/>
            </w:pPr>
            <w:r w:rsidRPr="00992414">
              <w:t>e)</w:t>
            </w:r>
            <w:r w:rsidRPr="00992414">
              <w:tab/>
              <w:t xml:space="preserve">pôvode </w:t>
            </w:r>
            <w:r w:rsidRPr="00992414">
              <w:rPr>
                <w:b/>
                <w:i/>
              </w:rPr>
              <w:t>a zamýšľanom použití peňažných prostriedkov v hotovosti</w:t>
            </w:r>
            <w:r w:rsidRPr="00992414">
              <w:t>;</w:t>
            </w:r>
          </w:p>
        </w:tc>
        <w:tc>
          <w:tcPr>
            <w:tcW w:w="4876" w:type="dxa"/>
            <w:hideMark/>
          </w:tcPr>
          <w:p w14:paraId="0EE36186" w14:textId="77777777" w:rsidR="00376950" w:rsidRPr="00992414" w:rsidRDefault="00376950">
            <w:pPr>
              <w:pStyle w:val="Normal6"/>
              <w:rPr>
                <w:szCs w:val="24"/>
              </w:rPr>
            </w:pPr>
            <w:r w:rsidRPr="00992414">
              <w:t>e)</w:t>
            </w:r>
            <w:r w:rsidRPr="00992414">
              <w:tab/>
            </w:r>
            <w:r w:rsidRPr="00992414">
              <w:rPr>
                <w:b/>
                <w:i/>
              </w:rPr>
              <w:t>hospodárskom</w:t>
            </w:r>
            <w:r w:rsidRPr="00992414">
              <w:t xml:space="preserve"> pôvode;</w:t>
            </w:r>
          </w:p>
        </w:tc>
      </w:tr>
    </w:tbl>
    <w:p w14:paraId="1E547AE4" w14:textId="77777777" w:rsidR="00376950" w:rsidRPr="00992414" w:rsidRDefault="00376950" w:rsidP="00376950">
      <w:r w:rsidRPr="00992414">
        <w:rPr>
          <w:rStyle w:val="HideTWBExt"/>
          <w:noProof w:val="0"/>
        </w:rPr>
        <w:t>&lt;/Amend&gt;</w:t>
      </w:r>
    </w:p>
    <w:p w14:paraId="29FB3EB1" w14:textId="21FAFEDC"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44</w:t>
      </w:r>
      <w:r w:rsidRPr="00992414">
        <w:rPr>
          <w:rStyle w:val="HideTWBExt"/>
          <w:b w:val="0"/>
          <w:noProof w:val="0"/>
        </w:rPr>
        <w:t>&lt;/NumAm&gt;</w:t>
      </w:r>
    </w:p>
    <w:p w14:paraId="26A0D92E"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03B87B21" w14:textId="77777777" w:rsidR="00376950" w:rsidRPr="00992414" w:rsidRDefault="00376950" w:rsidP="00376950">
      <w:pPr>
        <w:pStyle w:val="NormalBold"/>
      </w:pPr>
      <w:r w:rsidRPr="00992414">
        <w:rPr>
          <w:rStyle w:val="HideTWBExt"/>
          <w:b w:val="0"/>
          <w:noProof w:val="0"/>
        </w:rPr>
        <w:t>&lt;Article&gt;</w:t>
      </w:r>
      <w:r w:rsidRPr="00992414">
        <w:t>Článok 3 – odsek 2 – písmeno e a (nové)</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7037A739" w14:textId="77777777" w:rsidTr="00376950">
        <w:trPr>
          <w:jc w:val="center"/>
        </w:trPr>
        <w:tc>
          <w:tcPr>
            <w:tcW w:w="9752" w:type="dxa"/>
            <w:gridSpan w:val="2"/>
          </w:tcPr>
          <w:p w14:paraId="5758440E" w14:textId="77777777" w:rsidR="00376950" w:rsidRPr="00992414" w:rsidRDefault="00376950">
            <w:pPr>
              <w:keepNext/>
            </w:pPr>
          </w:p>
        </w:tc>
      </w:tr>
      <w:tr w:rsidR="00376950" w:rsidRPr="00992414" w14:paraId="403AA6C8" w14:textId="77777777" w:rsidTr="00376950">
        <w:trPr>
          <w:jc w:val="center"/>
        </w:trPr>
        <w:tc>
          <w:tcPr>
            <w:tcW w:w="4876" w:type="dxa"/>
            <w:hideMark/>
          </w:tcPr>
          <w:p w14:paraId="22172341" w14:textId="77777777" w:rsidR="00376950" w:rsidRPr="00992414" w:rsidRDefault="00376950">
            <w:pPr>
              <w:pStyle w:val="ColumnHeading"/>
              <w:keepNext/>
            </w:pPr>
            <w:r w:rsidRPr="00992414">
              <w:t>Text predložený Komisiou</w:t>
            </w:r>
          </w:p>
        </w:tc>
        <w:tc>
          <w:tcPr>
            <w:tcW w:w="4876" w:type="dxa"/>
            <w:hideMark/>
          </w:tcPr>
          <w:p w14:paraId="6CB03DAA" w14:textId="77777777" w:rsidR="00376950" w:rsidRPr="00992414" w:rsidRDefault="00376950">
            <w:pPr>
              <w:pStyle w:val="ColumnHeading"/>
              <w:keepNext/>
            </w:pPr>
            <w:r w:rsidRPr="00992414">
              <w:t>Pozmeňujúci návrh</w:t>
            </w:r>
          </w:p>
        </w:tc>
      </w:tr>
      <w:tr w:rsidR="00376950" w:rsidRPr="00992414" w14:paraId="44256887" w14:textId="77777777" w:rsidTr="00376950">
        <w:trPr>
          <w:jc w:val="center"/>
        </w:trPr>
        <w:tc>
          <w:tcPr>
            <w:tcW w:w="4876" w:type="dxa"/>
          </w:tcPr>
          <w:p w14:paraId="251D2298" w14:textId="77777777" w:rsidR="00376950" w:rsidRPr="00992414" w:rsidRDefault="00376950">
            <w:pPr>
              <w:pStyle w:val="Normal6"/>
            </w:pPr>
          </w:p>
        </w:tc>
        <w:tc>
          <w:tcPr>
            <w:tcW w:w="4876" w:type="dxa"/>
            <w:hideMark/>
          </w:tcPr>
          <w:p w14:paraId="69C4F62F" w14:textId="4C7E67E3" w:rsidR="00376950" w:rsidRPr="00992414" w:rsidRDefault="00376950" w:rsidP="003F08F7">
            <w:pPr>
              <w:pStyle w:val="Normal6"/>
              <w:rPr>
                <w:szCs w:val="24"/>
              </w:rPr>
            </w:pPr>
            <w:r w:rsidRPr="00992414">
              <w:rPr>
                <w:b/>
                <w:i/>
              </w:rPr>
              <w:t>ea)</w:t>
            </w:r>
            <w:r w:rsidRPr="00992414">
              <w:rPr>
                <w:b/>
                <w:i/>
              </w:rPr>
              <w:tab/>
              <w:t>zamýšľanom použití peňažných prostriedkov v hotovosti;</w:t>
            </w:r>
          </w:p>
        </w:tc>
      </w:tr>
    </w:tbl>
    <w:p w14:paraId="1962AB85" w14:textId="77777777" w:rsidR="00F87814" w:rsidRPr="00992414" w:rsidRDefault="00376950" w:rsidP="00F87814">
      <w:r w:rsidRPr="00992414">
        <w:rPr>
          <w:rStyle w:val="HideTWBExt"/>
          <w:noProof w:val="0"/>
        </w:rPr>
        <w:t>&lt;/Amend&gt;</w:t>
      </w:r>
    </w:p>
    <w:p w14:paraId="7A7F768F" w14:textId="413F159F" w:rsidR="00F87814" w:rsidRPr="00992414" w:rsidRDefault="00F87814" w:rsidP="00F87814">
      <w:pPr>
        <w:pStyle w:val="AMNumberTabs"/>
        <w:keepNext/>
      </w:pPr>
      <w:r w:rsidRPr="00992414">
        <w:rPr>
          <w:rStyle w:val="HideTWBExt"/>
          <w:b w:val="0"/>
          <w:noProof w:val="0"/>
        </w:rPr>
        <w:t>&lt;AmendB&gt;</w:t>
      </w:r>
      <w:r w:rsidRPr="00992414">
        <w:t>Pozmeňujúci návrh</w:t>
      </w:r>
      <w:r w:rsidRPr="00992414">
        <w:tab/>
      </w:r>
      <w:r w:rsidRPr="00992414">
        <w:tab/>
      </w:r>
      <w:r w:rsidRPr="00992414">
        <w:rPr>
          <w:rStyle w:val="HideTWBExt"/>
          <w:b w:val="0"/>
          <w:noProof w:val="0"/>
        </w:rPr>
        <w:t>&lt;NumAmB&gt;</w:t>
      </w:r>
      <w:r w:rsidRPr="00992414">
        <w:t>45</w:t>
      </w:r>
      <w:r w:rsidRPr="00992414">
        <w:rPr>
          <w:rStyle w:val="HideTWBExt"/>
          <w:b w:val="0"/>
          <w:noProof w:val="0"/>
        </w:rPr>
        <w:t>&lt;/NumAmB&gt;</w:t>
      </w:r>
    </w:p>
    <w:p w14:paraId="06F44077" w14:textId="77777777" w:rsidR="00F87814" w:rsidRPr="00992414" w:rsidRDefault="00F87814" w:rsidP="00F87814">
      <w:pPr>
        <w:pStyle w:val="NormalBold12b"/>
      </w:pPr>
      <w:r w:rsidRPr="00992414">
        <w:rPr>
          <w:rStyle w:val="HideTWBExt"/>
          <w:b w:val="0"/>
          <w:noProof w:val="0"/>
        </w:rPr>
        <w:t>&lt;DocAmend&gt;</w:t>
      </w:r>
      <w:r w:rsidRPr="00992414">
        <w:t>Návrh nariadenia</w:t>
      </w:r>
      <w:r w:rsidRPr="00992414">
        <w:rPr>
          <w:rStyle w:val="HideTWBExt"/>
          <w:b w:val="0"/>
          <w:noProof w:val="0"/>
        </w:rPr>
        <w:t>&lt;/DocAmend&gt;</w:t>
      </w:r>
    </w:p>
    <w:p w14:paraId="6359DA16" w14:textId="77777777" w:rsidR="00F87814" w:rsidRPr="00992414" w:rsidRDefault="00F87814" w:rsidP="00F87814">
      <w:pPr>
        <w:pStyle w:val="NormalBold"/>
      </w:pPr>
      <w:r w:rsidRPr="00992414">
        <w:rPr>
          <w:rStyle w:val="HideTWBExt"/>
          <w:b w:val="0"/>
          <w:noProof w:val="0"/>
        </w:rPr>
        <w:t>&lt;Article&gt;</w:t>
      </w:r>
      <w:r w:rsidRPr="00992414">
        <w:t>Článok 3 – odsek 3</w:t>
      </w:r>
      <w:r w:rsidRPr="0099241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87814" w:rsidRPr="00992414" w14:paraId="585BBA9F" w14:textId="77777777" w:rsidTr="00245FBF">
        <w:trPr>
          <w:jc w:val="center"/>
        </w:trPr>
        <w:tc>
          <w:tcPr>
            <w:tcW w:w="9752" w:type="dxa"/>
            <w:gridSpan w:val="2"/>
          </w:tcPr>
          <w:p w14:paraId="09107B6D" w14:textId="77777777" w:rsidR="00F87814" w:rsidRPr="00992414" w:rsidRDefault="00F87814" w:rsidP="00245FBF">
            <w:pPr>
              <w:keepNext/>
            </w:pPr>
          </w:p>
        </w:tc>
      </w:tr>
      <w:tr w:rsidR="00F87814" w:rsidRPr="00992414" w14:paraId="439252DE" w14:textId="77777777" w:rsidTr="00245FBF">
        <w:trPr>
          <w:jc w:val="center"/>
        </w:trPr>
        <w:tc>
          <w:tcPr>
            <w:tcW w:w="4876" w:type="dxa"/>
          </w:tcPr>
          <w:p w14:paraId="52133E2D" w14:textId="77777777" w:rsidR="00F87814" w:rsidRPr="00992414" w:rsidRDefault="00F87814" w:rsidP="00245FBF">
            <w:pPr>
              <w:pStyle w:val="ColumnHeading"/>
              <w:keepNext/>
            </w:pPr>
            <w:r w:rsidRPr="00992414">
              <w:t>Text predložený Komisiou</w:t>
            </w:r>
          </w:p>
        </w:tc>
        <w:tc>
          <w:tcPr>
            <w:tcW w:w="4876" w:type="dxa"/>
          </w:tcPr>
          <w:p w14:paraId="47452B13" w14:textId="77777777" w:rsidR="00F87814" w:rsidRPr="00992414" w:rsidRDefault="00F87814" w:rsidP="00245FBF">
            <w:pPr>
              <w:pStyle w:val="ColumnHeading"/>
              <w:keepNext/>
            </w:pPr>
            <w:r w:rsidRPr="00992414">
              <w:t>Pozmeňujúci návrh</w:t>
            </w:r>
          </w:p>
        </w:tc>
      </w:tr>
      <w:tr w:rsidR="00F87814" w:rsidRPr="00992414" w14:paraId="70F7F75A" w14:textId="77777777" w:rsidTr="00245FBF">
        <w:trPr>
          <w:jc w:val="center"/>
        </w:trPr>
        <w:tc>
          <w:tcPr>
            <w:tcW w:w="4876" w:type="dxa"/>
          </w:tcPr>
          <w:p w14:paraId="5F81D5C1" w14:textId="77777777" w:rsidR="00F87814" w:rsidRPr="00992414" w:rsidRDefault="00F87814" w:rsidP="00245FBF">
            <w:pPr>
              <w:pStyle w:val="Normal6"/>
            </w:pPr>
            <w:r w:rsidRPr="00992414">
              <w:t>3.</w:t>
            </w:r>
            <w:r w:rsidRPr="00992414">
              <w:tab/>
              <w:t xml:space="preserve">Tieto informácie sa poskytnú písomne, resp. elektronicky, a to s použitím formulára stanoveného podľa článku 15 písm. a). Deklarantovi sa </w:t>
            </w:r>
            <w:r w:rsidRPr="00992414">
              <w:rPr>
                <w:b/>
                <w:i/>
              </w:rPr>
              <w:t xml:space="preserve">na požiadanie </w:t>
            </w:r>
            <w:r w:rsidRPr="00992414">
              <w:t>poskytne potvrdená kópia.</w:t>
            </w:r>
          </w:p>
        </w:tc>
        <w:tc>
          <w:tcPr>
            <w:tcW w:w="4876" w:type="dxa"/>
          </w:tcPr>
          <w:p w14:paraId="12F2356B" w14:textId="77777777" w:rsidR="00F87814" w:rsidRPr="00992414" w:rsidRDefault="00F87814" w:rsidP="00245FBF">
            <w:pPr>
              <w:pStyle w:val="Normal6"/>
              <w:rPr>
                <w:szCs w:val="24"/>
              </w:rPr>
            </w:pPr>
            <w:r w:rsidRPr="00992414">
              <w:t>3.</w:t>
            </w:r>
            <w:r w:rsidRPr="00992414">
              <w:tab/>
              <w:t>Tieto informácie sa poskytnú písomne, resp. elektronicky, a to s použitím formulára stanoveného podľa článku 15 písm. a). Deklarantovi sa poskytne potvrdená kópia.</w:t>
            </w:r>
          </w:p>
        </w:tc>
      </w:tr>
    </w:tbl>
    <w:p w14:paraId="73D91B59" w14:textId="77777777" w:rsidR="00F87814" w:rsidRPr="00992414" w:rsidRDefault="00F87814" w:rsidP="00F87814">
      <w:pPr>
        <w:pStyle w:val="JustificationTitle"/>
      </w:pPr>
      <w:r w:rsidRPr="00992414">
        <w:rPr>
          <w:rStyle w:val="HideTWBExt"/>
          <w:i w:val="0"/>
          <w:noProof w:val="0"/>
        </w:rPr>
        <w:t>&lt;TitreJust&gt;</w:t>
      </w:r>
      <w:r w:rsidRPr="00992414">
        <w:t>Odôvodnenie</w:t>
      </w:r>
      <w:r w:rsidRPr="00992414">
        <w:rPr>
          <w:rStyle w:val="HideTWBExt"/>
          <w:i w:val="0"/>
          <w:noProof w:val="0"/>
        </w:rPr>
        <w:t>&lt;/TitreJust&gt;</w:t>
      </w:r>
    </w:p>
    <w:p w14:paraId="6AFB15A6" w14:textId="77777777" w:rsidR="00F87814" w:rsidRPr="00992414" w:rsidRDefault="00F87814" w:rsidP="00F87814">
      <w:pPr>
        <w:pStyle w:val="Normal12Italic"/>
      </w:pPr>
      <w:r w:rsidRPr="00992414">
        <w:t>Deklaranti by vždy mali dostať písomnú kópiu, keďže nie vždy musia byť v takej pozícii, aby o ňu požiadali (napr. nevedia, že na ňu majú nárok, nehovoria jazykom danej krajiny).</w:t>
      </w:r>
    </w:p>
    <w:p w14:paraId="3D7A65EF" w14:textId="77777777" w:rsidR="00F87814" w:rsidRPr="00992414" w:rsidRDefault="00F87814" w:rsidP="00F87814">
      <w:r w:rsidRPr="00992414">
        <w:rPr>
          <w:rStyle w:val="HideTWBExt"/>
          <w:noProof w:val="0"/>
        </w:rPr>
        <w:t>&lt;/AmendB&gt;</w:t>
      </w:r>
    </w:p>
    <w:p w14:paraId="7652420A" w14:textId="2C6D5D0B" w:rsidR="003C63ED" w:rsidRPr="00992414" w:rsidRDefault="003C63ED" w:rsidP="003C63ED">
      <w:pPr>
        <w:pStyle w:val="AMNumberTabs"/>
        <w:keepNext/>
      </w:pPr>
      <w:r w:rsidRPr="00992414">
        <w:rPr>
          <w:rStyle w:val="HideTWBExt"/>
          <w:b w:val="0"/>
          <w:noProof w:val="0"/>
        </w:rPr>
        <w:t>&lt;AmendB&gt;</w:t>
      </w:r>
      <w:r w:rsidRPr="00992414">
        <w:t>Pozmeňujúci návrh</w:t>
      </w:r>
      <w:r w:rsidRPr="00992414">
        <w:tab/>
      </w:r>
      <w:r w:rsidRPr="00992414">
        <w:tab/>
      </w:r>
      <w:r w:rsidRPr="00992414">
        <w:rPr>
          <w:rStyle w:val="HideTWBExt"/>
          <w:b w:val="0"/>
          <w:noProof w:val="0"/>
        </w:rPr>
        <w:t>&lt;NumAmB&gt;</w:t>
      </w:r>
      <w:r w:rsidRPr="00992414">
        <w:t>46</w:t>
      </w:r>
      <w:r w:rsidRPr="00992414">
        <w:rPr>
          <w:rStyle w:val="HideTWBExt"/>
          <w:b w:val="0"/>
          <w:noProof w:val="0"/>
        </w:rPr>
        <w:t>&lt;/NumAmB&gt;</w:t>
      </w:r>
    </w:p>
    <w:p w14:paraId="4CBC6D06" w14:textId="77777777" w:rsidR="003C63ED" w:rsidRPr="00992414" w:rsidRDefault="003C63ED" w:rsidP="003C63ED">
      <w:pPr>
        <w:pStyle w:val="NormalBold12b"/>
      </w:pPr>
      <w:r w:rsidRPr="00992414">
        <w:rPr>
          <w:rStyle w:val="HideTWBExt"/>
          <w:b w:val="0"/>
          <w:noProof w:val="0"/>
        </w:rPr>
        <w:t>&lt;DocAmend&gt;</w:t>
      </w:r>
      <w:r w:rsidRPr="00992414">
        <w:t>Návrh nariadenia</w:t>
      </w:r>
      <w:r w:rsidRPr="00992414">
        <w:rPr>
          <w:rStyle w:val="HideTWBExt"/>
          <w:b w:val="0"/>
          <w:noProof w:val="0"/>
        </w:rPr>
        <w:t>&lt;/DocAmend&gt;</w:t>
      </w:r>
    </w:p>
    <w:p w14:paraId="73AF4E87" w14:textId="77777777" w:rsidR="003C63ED" w:rsidRPr="00992414" w:rsidRDefault="003C63ED" w:rsidP="003C63ED">
      <w:pPr>
        <w:pStyle w:val="NormalBold"/>
      </w:pPr>
      <w:r w:rsidRPr="00992414">
        <w:rPr>
          <w:rStyle w:val="HideTWBExt"/>
          <w:b w:val="0"/>
          <w:noProof w:val="0"/>
        </w:rPr>
        <w:t>&lt;Article&gt;</w:t>
      </w:r>
      <w:r w:rsidRPr="00992414">
        <w:t>Článok 4 – názov</w:t>
      </w:r>
      <w:r w:rsidRPr="0099241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C63ED" w:rsidRPr="00992414" w14:paraId="54733A41" w14:textId="77777777" w:rsidTr="005C72A5">
        <w:trPr>
          <w:jc w:val="center"/>
        </w:trPr>
        <w:tc>
          <w:tcPr>
            <w:tcW w:w="9752" w:type="dxa"/>
            <w:gridSpan w:val="2"/>
          </w:tcPr>
          <w:p w14:paraId="27647899" w14:textId="77777777" w:rsidR="003C63ED" w:rsidRPr="00992414" w:rsidRDefault="003C63ED" w:rsidP="005C72A5">
            <w:pPr>
              <w:keepNext/>
            </w:pPr>
          </w:p>
        </w:tc>
      </w:tr>
      <w:tr w:rsidR="003C63ED" w:rsidRPr="00992414" w14:paraId="71231422" w14:textId="77777777" w:rsidTr="005C72A5">
        <w:trPr>
          <w:jc w:val="center"/>
        </w:trPr>
        <w:tc>
          <w:tcPr>
            <w:tcW w:w="4876" w:type="dxa"/>
          </w:tcPr>
          <w:p w14:paraId="638EC40D" w14:textId="77777777" w:rsidR="003C63ED" w:rsidRPr="00992414" w:rsidRDefault="003C63ED" w:rsidP="005C72A5">
            <w:pPr>
              <w:pStyle w:val="ColumnHeading"/>
              <w:keepNext/>
            </w:pPr>
            <w:r w:rsidRPr="00992414">
              <w:t>Text predložený Komisiou</w:t>
            </w:r>
          </w:p>
        </w:tc>
        <w:tc>
          <w:tcPr>
            <w:tcW w:w="4876" w:type="dxa"/>
          </w:tcPr>
          <w:p w14:paraId="77040AE6" w14:textId="77777777" w:rsidR="003C63ED" w:rsidRPr="00992414" w:rsidRDefault="003C63ED" w:rsidP="005C72A5">
            <w:pPr>
              <w:pStyle w:val="ColumnHeading"/>
              <w:keepNext/>
            </w:pPr>
            <w:r w:rsidRPr="00992414">
              <w:t>Pozmeňujúci návrh</w:t>
            </w:r>
          </w:p>
        </w:tc>
      </w:tr>
      <w:tr w:rsidR="003C63ED" w:rsidRPr="00992414" w14:paraId="5389AD0D" w14:textId="77777777" w:rsidTr="005C72A5">
        <w:trPr>
          <w:jc w:val="center"/>
        </w:trPr>
        <w:tc>
          <w:tcPr>
            <w:tcW w:w="4876" w:type="dxa"/>
          </w:tcPr>
          <w:p w14:paraId="69C862D8" w14:textId="77777777" w:rsidR="003C63ED" w:rsidRPr="00992414" w:rsidRDefault="003C63ED" w:rsidP="005C72A5">
            <w:pPr>
              <w:pStyle w:val="Normal6"/>
            </w:pPr>
            <w:r w:rsidRPr="00992414">
              <w:t>Povinné oznámenie</w:t>
            </w:r>
          </w:p>
        </w:tc>
        <w:tc>
          <w:tcPr>
            <w:tcW w:w="4876" w:type="dxa"/>
          </w:tcPr>
          <w:p w14:paraId="4784FA78" w14:textId="77777777" w:rsidR="003C63ED" w:rsidRPr="00992414" w:rsidRDefault="003C63ED" w:rsidP="005C72A5">
            <w:pPr>
              <w:pStyle w:val="Normal6"/>
              <w:rPr>
                <w:szCs w:val="24"/>
              </w:rPr>
            </w:pPr>
            <w:r w:rsidRPr="00992414">
              <w:t xml:space="preserve">Povinné oznámenie </w:t>
            </w:r>
            <w:r w:rsidRPr="00992414">
              <w:rPr>
                <w:b/>
                <w:i/>
              </w:rPr>
              <w:t>v prípade peňažných prostriedkov v hotovosti bez sprievodu</w:t>
            </w:r>
          </w:p>
        </w:tc>
      </w:tr>
    </w:tbl>
    <w:p w14:paraId="63C0B54B" w14:textId="77777777" w:rsidR="003C63ED" w:rsidRPr="00992414" w:rsidRDefault="003C63ED" w:rsidP="003C63ED">
      <w:r w:rsidRPr="00992414">
        <w:rPr>
          <w:rStyle w:val="HideTWBExt"/>
          <w:noProof w:val="0"/>
        </w:rPr>
        <w:t>&lt;/AmendB&gt;</w:t>
      </w:r>
    </w:p>
    <w:p w14:paraId="316FA6B2" w14:textId="7A972D42" w:rsidR="008C1FB6" w:rsidRPr="00992414" w:rsidRDefault="008C1FB6" w:rsidP="008C1FB6">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47</w:t>
      </w:r>
      <w:r w:rsidRPr="00992414">
        <w:rPr>
          <w:rStyle w:val="HideTWBExt"/>
          <w:b w:val="0"/>
          <w:noProof w:val="0"/>
        </w:rPr>
        <w:t>&lt;/NumAm&gt;</w:t>
      </w:r>
    </w:p>
    <w:p w14:paraId="235AB868" w14:textId="77777777" w:rsidR="008C1FB6" w:rsidRPr="00992414" w:rsidRDefault="008C1FB6" w:rsidP="008C1FB6">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6A613B08" w14:textId="3D6F027F" w:rsidR="008C1FB6" w:rsidRPr="00992414" w:rsidRDefault="008C1FB6" w:rsidP="008C1FB6">
      <w:pPr>
        <w:pStyle w:val="NormalBold"/>
      </w:pPr>
      <w:r w:rsidRPr="00992414">
        <w:rPr>
          <w:rStyle w:val="HideTWBExt"/>
          <w:b w:val="0"/>
          <w:noProof w:val="0"/>
        </w:rPr>
        <w:t>&lt;Article&gt;</w:t>
      </w:r>
      <w:r w:rsidRPr="00992414">
        <w:t>Článok 4 – odsek 1</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C1FB6" w:rsidRPr="00992414" w14:paraId="5A81AE15" w14:textId="77777777" w:rsidTr="005C72A5">
        <w:trPr>
          <w:jc w:val="center"/>
        </w:trPr>
        <w:tc>
          <w:tcPr>
            <w:tcW w:w="9752" w:type="dxa"/>
            <w:gridSpan w:val="2"/>
          </w:tcPr>
          <w:p w14:paraId="2F228629" w14:textId="77777777" w:rsidR="008C1FB6" w:rsidRPr="00992414" w:rsidRDefault="008C1FB6" w:rsidP="005C72A5">
            <w:pPr>
              <w:keepNext/>
            </w:pPr>
          </w:p>
        </w:tc>
      </w:tr>
      <w:tr w:rsidR="008C1FB6" w:rsidRPr="00992414" w14:paraId="53FA1EEC" w14:textId="77777777" w:rsidTr="005C72A5">
        <w:trPr>
          <w:jc w:val="center"/>
        </w:trPr>
        <w:tc>
          <w:tcPr>
            <w:tcW w:w="4876" w:type="dxa"/>
            <w:hideMark/>
          </w:tcPr>
          <w:p w14:paraId="3C0037A4" w14:textId="77777777" w:rsidR="008C1FB6" w:rsidRPr="00992414" w:rsidRDefault="008C1FB6" w:rsidP="005C72A5">
            <w:pPr>
              <w:pStyle w:val="ColumnHeading"/>
              <w:keepNext/>
            </w:pPr>
            <w:r w:rsidRPr="00992414">
              <w:t>Text predložený Komisiou</w:t>
            </w:r>
          </w:p>
        </w:tc>
        <w:tc>
          <w:tcPr>
            <w:tcW w:w="4876" w:type="dxa"/>
            <w:hideMark/>
          </w:tcPr>
          <w:p w14:paraId="6F636A83" w14:textId="77777777" w:rsidR="008C1FB6" w:rsidRPr="00992414" w:rsidRDefault="008C1FB6" w:rsidP="005C72A5">
            <w:pPr>
              <w:pStyle w:val="ColumnHeading"/>
              <w:keepNext/>
            </w:pPr>
            <w:r w:rsidRPr="00992414">
              <w:t>Pozmeňujúci návrh</w:t>
            </w:r>
          </w:p>
        </w:tc>
      </w:tr>
      <w:tr w:rsidR="008C1FB6" w:rsidRPr="00992414" w14:paraId="7083FD2A" w14:textId="77777777" w:rsidTr="005C72A5">
        <w:trPr>
          <w:jc w:val="center"/>
        </w:trPr>
        <w:tc>
          <w:tcPr>
            <w:tcW w:w="4876" w:type="dxa"/>
            <w:hideMark/>
          </w:tcPr>
          <w:p w14:paraId="3D811CF9" w14:textId="3E198528" w:rsidR="008C1FB6" w:rsidRPr="00992414" w:rsidRDefault="007A7B8B" w:rsidP="005C72A5">
            <w:pPr>
              <w:pStyle w:val="Normal6"/>
            </w:pPr>
            <w:r w:rsidRPr="00992414">
              <w:t>1.</w:t>
            </w:r>
            <w:r w:rsidRPr="00992414">
              <w:tab/>
              <w:t>V prípade, že do Únie bez sprievodu vstupujú, resp. Úniu opúšťajú, peňažné prostriedky v hotovosti s hodnotou 10 000 EUR alebo viac, môžu príslušné orgány členského štátu, cez ktorý tieto peňažné prostriedky v hotovosti vstupujú do Únie, resp. cez ktorý Úniu opúšťajú, na základe analýzy rizika požadovať, aby ich odosielateľ, ich príjemca alebo ich zástupca vyhoveli povinnému oznámeniu. Oznamovacia povinnosť sa nepovažuje za splnenú, ak sa poskytli nesprávne alebo neúplné informácie, resp. ak peňažné prostriedky neboli na účely kontroly sprístupnené.</w:t>
            </w:r>
          </w:p>
        </w:tc>
        <w:tc>
          <w:tcPr>
            <w:tcW w:w="4876" w:type="dxa"/>
            <w:hideMark/>
          </w:tcPr>
          <w:p w14:paraId="1D41631C" w14:textId="47D48348" w:rsidR="008C1FB6" w:rsidRPr="00992414" w:rsidRDefault="007A7B8B" w:rsidP="00E61661">
            <w:pPr>
              <w:pStyle w:val="Normal6"/>
              <w:rPr>
                <w:b/>
                <w:i/>
                <w:szCs w:val="24"/>
              </w:rPr>
            </w:pPr>
            <w:r w:rsidRPr="00992414">
              <w:t>1.</w:t>
            </w:r>
            <w:r w:rsidRPr="00992414">
              <w:tab/>
              <w:t>V prípade, že do Únie bez sprievodu vstupujú, resp. Úniu opúšťajú, peňažné prostriedky v hotovosti s hodnotou 10 000 EUR alebo viac, môžu príslušné orgány členského štátu, cez ktorý tieto peňažné prostriedky v hotovosti vstupujú do Únie, resp. cez ktorý Úniu opúšťajú, na základe analýzy rizika požadovať, aby ich odosielateľ, ich príjemca alebo ich zástupca vyhoveli povinnému oznámeniu</w:t>
            </w:r>
            <w:r w:rsidRPr="00992414">
              <w:rPr>
                <w:b/>
                <w:i/>
              </w:rPr>
              <w:t>, a to v stanovenej lehote nepresahujúcej 30 dní</w:t>
            </w:r>
            <w:r w:rsidRPr="00992414">
              <w:t>.</w:t>
            </w:r>
            <w:r w:rsidRPr="00992414">
              <w:rPr>
                <w:b/>
                <w:i/>
              </w:rPr>
              <w:t xml:space="preserve"> Príslušné orgány si môžu dané peňažné prostriedky v hotovosti ponechať, až kým odosielateľ, príjemca alebo jeho zástupca nepredložia oznámenie.</w:t>
            </w:r>
            <w:r w:rsidRPr="00992414">
              <w:t xml:space="preserve">  </w:t>
            </w:r>
          </w:p>
        </w:tc>
      </w:tr>
      <w:tr w:rsidR="007A7B8B" w:rsidRPr="00992414" w14:paraId="74AD5E9C" w14:textId="77777777" w:rsidTr="005C72A5">
        <w:trPr>
          <w:jc w:val="center"/>
        </w:trPr>
        <w:tc>
          <w:tcPr>
            <w:tcW w:w="4876" w:type="dxa"/>
          </w:tcPr>
          <w:p w14:paraId="363F761C" w14:textId="77777777" w:rsidR="007A7B8B" w:rsidRPr="00992414" w:rsidRDefault="007A7B8B" w:rsidP="005C72A5">
            <w:pPr>
              <w:pStyle w:val="Normal6"/>
            </w:pPr>
          </w:p>
        </w:tc>
        <w:tc>
          <w:tcPr>
            <w:tcW w:w="4876" w:type="dxa"/>
          </w:tcPr>
          <w:p w14:paraId="3BA2EEBB" w14:textId="41012D6B" w:rsidR="007A7B8B" w:rsidRPr="00992414" w:rsidRDefault="007A7B8B" w:rsidP="005C72A5">
            <w:pPr>
              <w:pStyle w:val="Normal6"/>
              <w:rPr>
                <w:szCs w:val="24"/>
              </w:rPr>
            </w:pPr>
            <w:r w:rsidRPr="00992414">
              <w:t>Oznamovacia povinnosť sa nepovažuje za splnenú</w:t>
            </w:r>
            <w:r w:rsidRPr="00992414">
              <w:rPr>
                <w:b/>
                <w:i/>
              </w:rPr>
              <w:t>, ak do uplynutia lehoty nebolo predložené oznámenie</w:t>
            </w:r>
            <w:r w:rsidRPr="00992414">
              <w:t>, ak sa poskytli nesprávne alebo neúplné informácie, resp. ak peňažné prostriedky neboli na účely kontroly sprístupnené.</w:t>
            </w:r>
          </w:p>
        </w:tc>
      </w:tr>
    </w:tbl>
    <w:p w14:paraId="129425DA" w14:textId="77777777" w:rsidR="008C1FB6" w:rsidRPr="00992414" w:rsidRDefault="008C1FB6" w:rsidP="008C1FB6">
      <w:r w:rsidRPr="00992414">
        <w:rPr>
          <w:rStyle w:val="HideTWBExt"/>
          <w:noProof w:val="0"/>
        </w:rPr>
        <w:t>&lt;/Amend&gt;</w:t>
      </w:r>
    </w:p>
    <w:p w14:paraId="76AFF71E" w14:textId="7F3C1B65"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48</w:t>
      </w:r>
      <w:r w:rsidRPr="00992414">
        <w:rPr>
          <w:rStyle w:val="HideTWBExt"/>
          <w:b w:val="0"/>
          <w:noProof w:val="0"/>
        </w:rPr>
        <w:t>&lt;/NumAm&gt;</w:t>
      </w:r>
    </w:p>
    <w:p w14:paraId="57A84005"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6CACDF0C" w14:textId="77777777" w:rsidR="00376950" w:rsidRPr="00992414" w:rsidRDefault="00376950" w:rsidP="00376950">
      <w:pPr>
        <w:pStyle w:val="NormalBold"/>
      </w:pPr>
      <w:r w:rsidRPr="00992414">
        <w:rPr>
          <w:rStyle w:val="HideTWBExt"/>
          <w:b w:val="0"/>
          <w:noProof w:val="0"/>
        </w:rPr>
        <w:t>&lt;Article&gt;</w:t>
      </w:r>
      <w:r w:rsidRPr="00992414">
        <w:t>Článok 4 – odsek 2 – písmeno a</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7662420E" w14:textId="77777777" w:rsidTr="00376950">
        <w:trPr>
          <w:jc w:val="center"/>
        </w:trPr>
        <w:tc>
          <w:tcPr>
            <w:tcW w:w="9752" w:type="dxa"/>
            <w:gridSpan w:val="2"/>
          </w:tcPr>
          <w:p w14:paraId="3EF5CA64" w14:textId="77777777" w:rsidR="00376950" w:rsidRPr="00992414" w:rsidRDefault="00376950">
            <w:pPr>
              <w:keepNext/>
            </w:pPr>
          </w:p>
        </w:tc>
      </w:tr>
      <w:tr w:rsidR="00376950" w:rsidRPr="00992414" w14:paraId="64CA06F2" w14:textId="77777777" w:rsidTr="00376950">
        <w:trPr>
          <w:jc w:val="center"/>
        </w:trPr>
        <w:tc>
          <w:tcPr>
            <w:tcW w:w="4876" w:type="dxa"/>
            <w:hideMark/>
          </w:tcPr>
          <w:p w14:paraId="328D0A39" w14:textId="77777777" w:rsidR="00376950" w:rsidRPr="00992414" w:rsidRDefault="00376950">
            <w:pPr>
              <w:pStyle w:val="ColumnHeading"/>
              <w:keepNext/>
            </w:pPr>
            <w:r w:rsidRPr="00992414">
              <w:t>Text predložený Komisiou</w:t>
            </w:r>
          </w:p>
        </w:tc>
        <w:tc>
          <w:tcPr>
            <w:tcW w:w="4876" w:type="dxa"/>
            <w:hideMark/>
          </w:tcPr>
          <w:p w14:paraId="67CDFF5A" w14:textId="77777777" w:rsidR="00376950" w:rsidRPr="00992414" w:rsidRDefault="00376950">
            <w:pPr>
              <w:pStyle w:val="ColumnHeading"/>
              <w:keepNext/>
            </w:pPr>
            <w:r w:rsidRPr="00992414">
              <w:t>Pozmeňujúci návrh</w:t>
            </w:r>
          </w:p>
        </w:tc>
      </w:tr>
      <w:tr w:rsidR="00376950" w:rsidRPr="00992414" w14:paraId="7F593791" w14:textId="77777777" w:rsidTr="00376950">
        <w:trPr>
          <w:jc w:val="center"/>
        </w:trPr>
        <w:tc>
          <w:tcPr>
            <w:tcW w:w="4876" w:type="dxa"/>
            <w:hideMark/>
          </w:tcPr>
          <w:p w14:paraId="3579574B" w14:textId="77777777" w:rsidR="00376950" w:rsidRPr="00992414" w:rsidRDefault="00376950">
            <w:pPr>
              <w:pStyle w:val="Normal6"/>
            </w:pPr>
            <w:r w:rsidRPr="00992414">
              <w:t>a)</w:t>
            </w:r>
            <w:r w:rsidRPr="00992414">
              <w:tab/>
              <w:t xml:space="preserve">deklarantovi vrátane celého mena, adresy, dátumu a miesta narodenia </w:t>
            </w:r>
            <w:r w:rsidRPr="00992414">
              <w:rPr>
                <w:b/>
                <w:i/>
              </w:rPr>
              <w:t>a</w:t>
            </w:r>
            <w:r w:rsidRPr="00992414">
              <w:t xml:space="preserve"> štátnej príslušnosti;</w:t>
            </w:r>
          </w:p>
        </w:tc>
        <w:tc>
          <w:tcPr>
            <w:tcW w:w="4876" w:type="dxa"/>
            <w:hideMark/>
          </w:tcPr>
          <w:p w14:paraId="0B16A8DF" w14:textId="3FF3FDF5" w:rsidR="00376950" w:rsidRPr="00992414" w:rsidRDefault="00376950">
            <w:pPr>
              <w:pStyle w:val="Normal6"/>
              <w:rPr>
                <w:szCs w:val="24"/>
              </w:rPr>
            </w:pPr>
            <w:r w:rsidRPr="00992414">
              <w:t>a)</w:t>
            </w:r>
            <w:r w:rsidRPr="00992414">
              <w:tab/>
              <w:t>deklarantovi vrátane celého mena</w:t>
            </w:r>
            <w:r w:rsidRPr="00992414">
              <w:rPr>
                <w:b/>
                <w:i/>
              </w:rPr>
              <w:t>, kontaktných údajov (vrátane</w:t>
            </w:r>
            <w:r w:rsidRPr="00992414">
              <w:t xml:space="preserve"> adresy</w:t>
            </w:r>
            <w:r w:rsidRPr="00992414">
              <w:rPr>
                <w:b/>
                <w:i/>
              </w:rPr>
              <w:t>)</w:t>
            </w:r>
            <w:r w:rsidRPr="00992414">
              <w:t xml:space="preserve">, dátumu a miesta narodenia, štátnej príslušnosti </w:t>
            </w:r>
            <w:r w:rsidRPr="00992414">
              <w:rPr>
                <w:b/>
                <w:i/>
              </w:rPr>
              <w:t>a čísla dokladu totožnosti</w:t>
            </w:r>
            <w:r w:rsidRPr="00992414">
              <w:t>;</w:t>
            </w:r>
          </w:p>
        </w:tc>
      </w:tr>
    </w:tbl>
    <w:p w14:paraId="03375D3E" w14:textId="77777777" w:rsidR="00376950" w:rsidRPr="00992414" w:rsidRDefault="00376950" w:rsidP="00376950">
      <w:r w:rsidRPr="00992414">
        <w:rPr>
          <w:rStyle w:val="HideTWBExt"/>
          <w:noProof w:val="0"/>
        </w:rPr>
        <w:t>&lt;/Amend&gt;</w:t>
      </w:r>
    </w:p>
    <w:p w14:paraId="7A4DE932" w14:textId="6C26C7F1" w:rsidR="00F34F2B" w:rsidRPr="00992414" w:rsidRDefault="00F34F2B" w:rsidP="00F34F2B">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49</w:t>
      </w:r>
      <w:r w:rsidRPr="00992414">
        <w:rPr>
          <w:rStyle w:val="HideTWBExt"/>
          <w:b w:val="0"/>
          <w:noProof w:val="0"/>
        </w:rPr>
        <w:t>&lt;/NumAm&gt;</w:t>
      </w:r>
    </w:p>
    <w:p w14:paraId="19F80BA7" w14:textId="77777777" w:rsidR="00F34F2B" w:rsidRPr="00992414" w:rsidRDefault="00F34F2B" w:rsidP="00F34F2B">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5BE3D7DD" w14:textId="77777777" w:rsidR="00F34F2B" w:rsidRPr="00992414" w:rsidRDefault="00F34F2B" w:rsidP="00F34F2B">
      <w:pPr>
        <w:pStyle w:val="NormalBold"/>
      </w:pPr>
      <w:r w:rsidRPr="00992414">
        <w:rPr>
          <w:rStyle w:val="HideTWBExt"/>
          <w:b w:val="0"/>
          <w:noProof w:val="0"/>
        </w:rPr>
        <w:t>&lt;Article&gt;</w:t>
      </w:r>
      <w:r w:rsidRPr="00992414">
        <w:t>Článok 4 – odsek 2 – písmeno b</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34F2B" w:rsidRPr="00992414" w14:paraId="13B1D319" w14:textId="77777777" w:rsidTr="005C72A5">
        <w:trPr>
          <w:jc w:val="center"/>
        </w:trPr>
        <w:tc>
          <w:tcPr>
            <w:tcW w:w="9752" w:type="dxa"/>
            <w:gridSpan w:val="2"/>
          </w:tcPr>
          <w:p w14:paraId="4EDD1D17" w14:textId="77777777" w:rsidR="00F34F2B" w:rsidRPr="00992414" w:rsidRDefault="00F34F2B" w:rsidP="005C72A5">
            <w:pPr>
              <w:keepNext/>
            </w:pPr>
          </w:p>
        </w:tc>
      </w:tr>
      <w:tr w:rsidR="00F34F2B" w:rsidRPr="00992414" w14:paraId="5B12AFE6" w14:textId="77777777" w:rsidTr="005C72A5">
        <w:trPr>
          <w:jc w:val="center"/>
        </w:trPr>
        <w:tc>
          <w:tcPr>
            <w:tcW w:w="4876" w:type="dxa"/>
            <w:hideMark/>
          </w:tcPr>
          <w:p w14:paraId="27FC3475" w14:textId="77777777" w:rsidR="00F34F2B" w:rsidRPr="00992414" w:rsidRDefault="00F34F2B" w:rsidP="005C72A5">
            <w:pPr>
              <w:pStyle w:val="ColumnHeading"/>
              <w:keepNext/>
            </w:pPr>
            <w:r w:rsidRPr="00992414">
              <w:t>Text predložený Komisiou</w:t>
            </w:r>
          </w:p>
        </w:tc>
        <w:tc>
          <w:tcPr>
            <w:tcW w:w="4876" w:type="dxa"/>
            <w:hideMark/>
          </w:tcPr>
          <w:p w14:paraId="11754632" w14:textId="77777777" w:rsidR="00F34F2B" w:rsidRPr="00992414" w:rsidRDefault="00F34F2B" w:rsidP="005C72A5">
            <w:pPr>
              <w:pStyle w:val="ColumnHeading"/>
              <w:keepNext/>
            </w:pPr>
            <w:r w:rsidRPr="00992414">
              <w:t>Pozmeňujúci návrh</w:t>
            </w:r>
          </w:p>
        </w:tc>
      </w:tr>
      <w:tr w:rsidR="00F34F2B" w:rsidRPr="00992414" w14:paraId="3A1E75F4" w14:textId="77777777" w:rsidTr="005C72A5">
        <w:trPr>
          <w:jc w:val="center"/>
        </w:trPr>
        <w:tc>
          <w:tcPr>
            <w:tcW w:w="4876" w:type="dxa"/>
            <w:hideMark/>
          </w:tcPr>
          <w:p w14:paraId="76F2EC2F" w14:textId="77777777" w:rsidR="00F34F2B" w:rsidRPr="00992414" w:rsidRDefault="00F34F2B" w:rsidP="005C72A5">
            <w:pPr>
              <w:pStyle w:val="Normal6"/>
            </w:pPr>
            <w:r w:rsidRPr="00992414">
              <w:t>b)</w:t>
            </w:r>
            <w:r w:rsidRPr="00992414">
              <w:tab/>
              <w:t xml:space="preserve">majiteľovi peňažných prostriedkov v hotovosti vrátane celého mena, adresy, dátumu a miesta narodenia </w:t>
            </w:r>
            <w:r w:rsidRPr="00992414">
              <w:rPr>
                <w:b/>
                <w:i/>
              </w:rPr>
              <w:t>a</w:t>
            </w:r>
            <w:r w:rsidRPr="00992414">
              <w:t xml:space="preserve"> štátnej príslušnosti;</w:t>
            </w:r>
          </w:p>
        </w:tc>
        <w:tc>
          <w:tcPr>
            <w:tcW w:w="4876" w:type="dxa"/>
            <w:hideMark/>
          </w:tcPr>
          <w:p w14:paraId="605BBAE9" w14:textId="2299D8DC" w:rsidR="00F34F2B" w:rsidRPr="00992414" w:rsidRDefault="00F34F2B" w:rsidP="00AB11F3">
            <w:pPr>
              <w:pStyle w:val="Normal6"/>
              <w:rPr>
                <w:szCs w:val="24"/>
              </w:rPr>
            </w:pPr>
            <w:r w:rsidRPr="00992414">
              <w:t>b)</w:t>
            </w:r>
            <w:r w:rsidRPr="00992414">
              <w:tab/>
              <w:t>majiteľovi peňažných prostriedkov v hotovosti vrátane celého mena</w:t>
            </w:r>
            <w:r w:rsidRPr="00992414">
              <w:rPr>
                <w:b/>
                <w:i/>
              </w:rPr>
              <w:t>, kontaktných údajov (vrátane</w:t>
            </w:r>
            <w:r w:rsidRPr="00992414">
              <w:t xml:space="preserve"> adresy</w:t>
            </w:r>
            <w:r w:rsidRPr="00992414">
              <w:rPr>
                <w:b/>
                <w:i/>
              </w:rPr>
              <w:t>)</w:t>
            </w:r>
            <w:r w:rsidRPr="00992414">
              <w:t>, dátumu a miesta narodenia</w:t>
            </w:r>
            <w:r w:rsidRPr="00992414">
              <w:rPr>
                <w:b/>
                <w:i/>
              </w:rPr>
              <w:t>,</w:t>
            </w:r>
            <w:r w:rsidRPr="00992414">
              <w:t xml:space="preserve"> štátnej príslušnosti </w:t>
            </w:r>
            <w:r w:rsidRPr="00992414">
              <w:rPr>
                <w:b/>
                <w:i/>
              </w:rPr>
              <w:t>a čísla dokladu totožnosti v prípade fyzických osôb, alebo celého mena/názvu, kontaktných údajov (vrátane adresy), registračného čísla alebo identifikačného čísla pre daň z pridanej hodnoty v prípade právnických osôb.</w:t>
            </w:r>
          </w:p>
        </w:tc>
      </w:tr>
    </w:tbl>
    <w:p w14:paraId="3D9FEE67" w14:textId="77777777" w:rsidR="00F34F2B" w:rsidRPr="00992414" w:rsidRDefault="00F34F2B" w:rsidP="00F34F2B">
      <w:r w:rsidRPr="00992414">
        <w:rPr>
          <w:rStyle w:val="HideTWBExt"/>
          <w:noProof w:val="0"/>
        </w:rPr>
        <w:t>&lt;/Amend&gt;</w:t>
      </w:r>
    </w:p>
    <w:p w14:paraId="3C9DE70F" w14:textId="00EC2B31" w:rsidR="00F34F2B" w:rsidRPr="00992414" w:rsidRDefault="00F34F2B" w:rsidP="00F34F2B">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50</w:t>
      </w:r>
      <w:r w:rsidRPr="00992414">
        <w:rPr>
          <w:rStyle w:val="HideTWBExt"/>
          <w:b w:val="0"/>
          <w:noProof w:val="0"/>
        </w:rPr>
        <w:t>&lt;/NumAm&gt;</w:t>
      </w:r>
    </w:p>
    <w:p w14:paraId="10B5F289" w14:textId="77777777" w:rsidR="00F34F2B" w:rsidRPr="00992414" w:rsidRDefault="00F34F2B" w:rsidP="00F34F2B">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2F261B35" w14:textId="77777777" w:rsidR="00F34F2B" w:rsidRPr="00992414" w:rsidRDefault="00F34F2B" w:rsidP="00F34F2B">
      <w:pPr>
        <w:pStyle w:val="NormalBold"/>
      </w:pPr>
      <w:r w:rsidRPr="00992414">
        <w:rPr>
          <w:rStyle w:val="HideTWBExt"/>
          <w:b w:val="0"/>
          <w:noProof w:val="0"/>
        </w:rPr>
        <w:t>&lt;Article&gt;</w:t>
      </w:r>
      <w:r w:rsidRPr="00992414">
        <w:t>Článok 4 – odsek 2 – písmeno c</w:t>
      </w:r>
      <w:r w:rsidRPr="00992414">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34F2B" w:rsidRPr="00992414" w14:paraId="506CE0FD" w14:textId="77777777" w:rsidTr="00F34F2B">
        <w:trPr>
          <w:jc w:val="center"/>
        </w:trPr>
        <w:tc>
          <w:tcPr>
            <w:tcW w:w="9752" w:type="dxa"/>
            <w:gridSpan w:val="2"/>
          </w:tcPr>
          <w:p w14:paraId="63EE84E3" w14:textId="77777777" w:rsidR="00F34F2B" w:rsidRPr="00992414" w:rsidRDefault="00F34F2B" w:rsidP="005C72A5">
            <w:pPr>
              <w:keepNext/>
            </w:pPr>
          </w:p>
        </w:tc>
      </w:tr>
      <w:tr w:rsidR="00F34F2B" w:rsidRPr="00992414" w14:paraId="7151AEF0" w14:textId="77777777" w:rsidTr="00F34F2B">
        <w:trPr>
          <w:jc w:val="center"/>
        </w:trPr>
        <w:tc>
          <w:tcPr>
            <w:tcW w:w="4876" w:type="dxa"/>
            <w:hideMark/>
          </w:tcPr>
          <w:p w14:paraId="7C0032A8" w14:textId="77777777" w:rsidR="00F34F2B" w:rsidRPr="00992414" w:rsidRDefault="00F34F2B" w:rsidP="005C72A5">
            <w:pPr>
              <w:pStyle w:val="ColumnHeading"/>
              <w:keepNext/>
            </w:pPr>
            <w:r w:rsidRPr="00992414">
              <w:t>Text predložený Komisiou</w:t>
            </w:r>
          </w:p>
        </w:tc>
        <w:tc>
          <w:tcPr>
            <w:tcW w:w="4876" w:type="dxa"/>
            <w:hideMark/>
          </w:tcPr>
          <w:p w14:paraId="2EA454B0" w14:textId="77777777" w:rsidR="00F34F2B" w:rsidRPr="00992414" w:rsidRDefault="00F34F2B" w:rsidP="005C72A5">
            <w:pPr>
              <w:pStyle w:val="ColumnHeading"/>
              <w:keepNext/>
            </w:pPr>
            <w:r w:rsidRPr="00992414">
              <w:t>Pozmeňujúci návrh</w:t>
            </w:r>
          </w:p>
        </w:tc>
      </w:tr>
      <w:tr w:rsidR="00F34F2B" w:rsidRPr="00992414" w14:paraId="1B086057" w14:textId="77777777" w:rsidTr="00F34F2B">
        <w:trPr>
          <w:jc w:val="center"/>
        </w:trPr>
        <w:tc>
          <w:tcPr>
            <w:tcW w:w="4876" w:type="dxa"/>
            <w:hideMark/>
          </w:tcPr>
          <w:p w14:paraId="65B12692" w14:textId="77777777" w:rsidR="00F34F2B" w:rsidRPr="00992414" w:rsidRDefault="00F34F2B" w:rsidP="00F34F2B">
            <w:pPr>
              <w:pStyle w:val="Normal6"/>
            </w:pPr>
            <w:r w:rsidRPr="00992414">
              <w:t>c)</w:t>
            </w:r>
            <w:r w:rsidRPr="00992414">
              <w:tab/>
              <w:t xml:space="preserve">odosielateľovi peňažných prostriedkov v hotovosti vrátane celého mena, adresy, dátumu a miesta narodenia </w:t>
            </w:r>
            <w:r w:rsidRPr="00992414">
              <w:rPr>
                <w:b/>
                <w:i/>
              </w:rPr>
              <w:t>a</w:t>
            </w:r>
            <w:r w:rsidRPr="00992414">
              <w:t xml:space="preserve"> štátnej príslušnosti;</w:t>
            </w:r>
          </w:p>
        </w:tc>
        <w:tc>
          <w:tcPr>
            <w:tcW w:w="4876" w:type="dxa"/>
            <w:hideMark/>
          </w:tcPr>
          <w:p w14:paraId="582192C4" w14:textId="03213203" w:rsidR="00F34F2B" w:rsidRPr="00992414" w:rsidRDefault="00F34F2B" w:rsidP="00AB11F3">
            <w:pPr>
              <w:pStyle w:val="Normal6"/>
              <w:rPr>
                <w:szCs w:val="24"/>
              </w:rPr>
            </w:pPr>
            <w:r w:rsidRPr="00992414">
              <w:t>c)</w:t>
            </w:r>
            <w:r w:rsidRPr="00992414">
              <w:tab/>
              <w:t xml:space="preserve">odosielateľovi peňažných prostriedkov v hotovosti vrátane celého mena, </w:t>
            </w:r>
            <w:r w:rsidRPr="00992414">
              <w:rPr>
                <w:b/>
                <w:i/>
              </w:rPr>
              <w:t>kontaktných údajov (vrátane</w:t>
            </w:r>
            <w:r w:rsidRPr="00992414">
              <w:t xml:space="preserve"> adresy</w:t>
            </w:r>
            <w:r w:rsidRPr="00992414">
              <w:rPr>
                <w:b/>
                <w:i/>
              </w:rPr>
              <w:t>)</w:t>
            </w:r>
            <w:r w:rsidRPr="00992414">
              <w:t>, dátumu a miesta narodenia</w:t>
            </w:r>
            <w:r w:rsidRPr="00992414">
              <w:rPr>
                <w:b/>
                <w:i/>
              </w:rPr>
              <w:t>,</w:t>
            </w:r>
            <w:r w:rsidRPr="00992414">
              <w:t xml:space="preserve"> štátnej príslušnosti </w:t>
            </w:r>
            <w:r w:rsidRPr="00992414">
              <w:rPr>
                <w:b/>
                <w:i/>
              </w:rPr>
              <w:t>a čísla dokladu totožnosti v prípade fyzických osôb alebo celého mena/názvu, kontaktných údajov (vrátane adresy), registračného čísla alebo identifikačného čísla pre daň z pridanej hodnoty v prípade právnických osôb</w:t>
            </w:r>
            <w:r w:rsidRPr="00992414">
              <w:t>;</w:t>
            </w:r>
          </w:p>
        </w:tc>
      </w:tr>
    </w:tbl>
    <w:p w14:paraId="2B64BC1A" w14:textId="77777777" w:rsidR="00F34F2B" w:rsidRPr="00992414" w:rsidRDefault="00F34F2B" w:rsidP="00F34F2B">
      <w:r w:rsidRPr="00992414">
        <w:rPr>
          <w:rStyle w:val="HideTWBExt"/>
          <w:noProof w:val="0"/>
        </w:rPr>
        <w:t>&lt;/Amend&gt;</w:t>
      </w:r>
    </w:p>
    <w:p w14:paraId="537833D1" w14:textId="0481B79D" w:rsidR="00F34F2B" w:rsidRPr="00992414" w:rsidRDefault="00F34F2B" w:rsidP="00F34F2B">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51</w:t>
      </w:r>
      <w:r w:rsidRPr="00992414">
        <w:rPr>
          <w:rStyle w:val="HideTWBExt"/>
          <w:b w:val="0"/>
          <w:noProof w:val="0"/>
        </w:rPr>
        <w:t>&lt;/NumAm&gt;</w:t>
      </w:r>
    </w:p>
    <w:p w14:paraId="4568B443" w14:textId="77777777" w:rsidR="00F34F2B" w:rsidRPr="00992414" w:rsidRDefault="00F34F2B" w:rsidP="00F34F2B">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5CD85849" w14:textId="77777777" w:rsidR="00F34F2B" w:rsidRPr="00992414" w:rsidRDefault="00F34F2B" w:rsidP="00F34F2B">
      <w:pPr>
        <w:pStyle w:val="NormalBold"/>
      </w:pPr>
      <w:r w:rsidRPr="00992414">
        <w:rPr>
          <w:rStyle w:val="HideTWBExt"/>
          <w:b w:val="0"/>
          <w:noProof w:val="0"/>
        </w:rPr>
        <w:t>&lt;Article&gt;</w:t>
      </w:r>
      <w:r w:rsidRPr="00992414">
        <w:t>Článok 4 – odsek 2 – písmeno d</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34F2B" w:rsidRPr="00992414" w14:paraId="46641D7C" w14:textId="77777777" w:rsidTr="005C72A5">
        <w:trPr>
          <w:jc w:val="center"/>
        </w:trPr>
        <w:tc>
          <w:tcPr>
            <w:tcW w:w="9752" w:type="dxa"/>
            <w:gridSpan w:val="2"/>
          </w:tcPr>
          <w:p w14:paraId="72BFE293" w14:textId="77777777" w:rsidR="00F34F2B" w:rsidRPr="00992414" w:rsidRDefault="00F34F2B" w:rsidP="005C72A5">
            <w:pPr>
              <w:keepNext/>
            </w:pPr>
          </w:p>
        </w:tc>
      </w:tr>
      <w:tr w:rsidR="00F34F2B" w:rsidRPr="00992414" w14:paraId="31BEC07A" w14:textId="77777777" w:rsidTr="005C72A5">
        <w:trPr>
          <w:jc w:val="center"/>
        </w:trPr>
        <w:tc>
          <w:tcPr>
            <w:tcW w:w="4876" w:type="dxa"/>
            <w:hideMark/>
          </w:tcPr>
          <w:p w14:paraId="09CBF019" w14:textId="77777777" w:rsidR="00F34F2B" w:rsidRPr="00992414" w:rsidRDefault="00F34F2B" w:rsidP="005C72A5">
            <w:pPr>
              <w:pStyle w:val="ColumnHeading"/>
              <w:keepNext/>
            </w:pPr>
            <w:r w:rsidRPr="00992414">
              <w:t>Text predložený Komisiou</w:t>
            </w:r>
          </w:p>
        </w:tc>
        <w:tc>
          <w:tcPr>
            <w:tcW w:w="4876" w:type="dxa"/>
            <w:hideMark/>
          </w:tcPr>
          <w:p w14:paraId="6FC69E95" w14:textId="77777777" w:rsidR="00F34F2B" w:rsidRPr="00992414" w:rsidRDefault="00F34F2B" w:rsidP="005C72A5">
            <w:pPr>
              <w:pStyle w:val="ColumnHeading"/>
              <w:keepNext/>
            </w:pPr>
            <w:r w:rsidRPr="00992414">
              <w:t>Pozmeňujúci návrh</w:t>
            </w:r>
          </w:p>
        </w:tc>
      </w:tr>
      <w:tr w:rsidR="00F34F2B" w:rsidRPr="00992414" w14:paraId="5D4061C7" w14:textId="77777777" w:rsidTr="005C72A5">
        <w:trPr>
          <w:jc w:val="center"/>
        </w:trPr>
        <w:tc>
          <w:tcPr>
            <w:tcW w:w="4876" w:type="dxa"/>
            <w:hideMark/>
          </w:tcPr>
          <w:p w14:paraId="7DEAD604" w14:textId="77777777" w:rsidR="00F34F2B" w:rsidRPr="00992414" w:rsidRDefault="00F34F2B" w:rsidP="005C72A5">
            <w:pPr>
              <w:pStyle w:val="Normal6"/>
            </w:pPr>
            <w:r w:rsidRPr="00992414">
              <w:t>d)</w:t>
            </w:r>
            <w:r w:rsidRPr="00992414">
              <w:tab/>
              <w:t xml:space="preserve">príjemcovi alebo zamýšľanom príjemcovi peňažných prostriedkov v hotovosti vrátane celého mena, adresy, dátumu a miesta narodenia </w:t>
            </w:r>
            <w:r w:rsidRPr="00992414">
              <w:rPr>
                <w:b/>
                <w:i/>
              </w:rPr>
              <w:t>a</w:t>
            </w:r>
            <w:r w:rsidRPr="00992414">
              <w:t xml:space="preserve"> štátnej príslušnosti;</w:t>
            </w:r>
          </w:p>
        </w:tc>
        <w:tc>
          <w:tcPr>
            <w:tcW w:w="4876" w:type="dxa"/>
            <w:hideMark/>
          </w:tcPr>
          <w:p w14:paraId="35216585" w14:textId="2B885882" w:rsidR="00F34F2B" w:rsidRPr="00992414" w:rsidRDefault="00F34F2B" w:rsidP="00AB11F3">
            <w:pPr>
              <w:pStyle w:val="Normal6"/>
              <w:rPr>
                <w:szCs w:val="24"/>
              </w:rPr>
            </w:pPr>
            <w:r w:rsidRPr="00992414">
              <w:t>d)</w:t>
            </w:r>
            <w:r w:rsidRPr="00992414">
              <w:tab/>
              <w:t xml:space="preserve">príjemcovi alebo zamýšľanom príjemcovi peňažných prostriedkov v hotovosti vrátane celého mena, </w:t>
            </w:r>
            <w:r w:rsidRPr="00992414">
              <w:rPr>
                <w:b/>
                <w:i/>
              </w:rPr>
              <w:t>kontaktných údajov (vrátane</w:t>
            </w:r>
            <w:r w:rsidRPr="00992414">
              <w:t xml:space="preserve"> adresy</w:t>
            </w:r>
            <w:r w:rsidRPr="00992414">
              <w:rPr>
                <w:b/>
                <w:i/>
              </w:rPr>
              <w:t>)</w:t>
            </w:r>
            <w:r w:rsidRPr="00992414">
              <w:t>, dátumu a miesta narodenia</w:t>
            </w:r>
            <w:r w:rsidRPr="00992414">
              <w:rPr>
                <w:b/>
                <w:i/>
              </w:rPr>
              <w:t>,</w:t>
            </w:r>
            <w:r w:rsidRPr="00992414">
              <w:t xml:space="preserve"> štátnej príslušnosti </w:t>
            </w:r>
            <w:r w:rsidRPr="00992414">
              <w:rPr>
                <w:b/>
                <w:i/>
              </w:rPr>
              <w:t>a čísla dokladu totožnosti v prípade fyzických osôb</w:t>
            </w:r>
            <w:r w:rsidRPr="00992414">
              <w:t xml:space="preserve"> </w:t>
            </w:r>
            <w:r w:rsidRPr="00992414">
              <w:rPr>
                <w:b/>
                <w:i/>
              </w:rPr>
              <w:t>alebo celého mena/názvu, kontaktných údajov (vrátane adresy), registračného čísla alebo identifikačného čísla pre daň z pridanej hodnoty v prípade právnických osôb</w:t>
            </w:r>
            <w:r w:rsidRPr="00992414">
              <w:t>;</w:t>
            </w:r>
          </w:p>
        </w:tc>
      </w:tr>
    </w:tbl>
    <w:p w14:paraId="09F3ED8E" w14:textId="77777777" w:rsidR="00F34F2B" w:rsidRPr="00992414" w:rsidRDefault="00F34F2B" w:rsidP="00F34F2B">
      <w:r w:rsidRPr="00992414">
        <w:rPr>
          <w:rStyle w:val="HideTWBExt"/>
          <w:noProof w:val="0"/>
        </w:rPr>
        <w:t>&lt;/Amend&gt;</w:t>
      </w:r>
    </w:p>
    <w:p w14:paraId="2954E2E3" w14:textId="2C697054"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52</w:t>
      </w:r>
      <w:r w:rsidRPr="00992414">
        <w:rPr>
          <w:rStyle w:val="HideTWBExt"/>
          <w:b w:val="0"/>
          <w:noProof w:val="0"/>
        </w:rPr>
        <w:t>&lt;/NumAm&gt;</w:t>
      </w:r>
    </w:p>
    <w:p w14:paraId="3890E952"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2A53B3E0" w14:textId="77777777" w:rsidR="00376950" w:rsidRPr="00992414" w:rsidRDefault="00376950" w:rsidP="00376950">
      <w:pPr>
        <w:pStyle w:val="NormalBold"/>
      </w:pPr>
      <w:r w:rsidRPr="00992414">
        <w:rPr>
          <w:rStyle w:val="HideTWBExt"/>
          <w:b w:val="0"/>
          <w:noProof w:val="0"/>
        </w:rPr>
        <w:t>&lt;Article&gt;</w:t>
      </w:r>
      <w:r w:rsidRPr="00992414">
        <w:t>Článok 4 – odsek 2 – písmeno e</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6FAA5C91" w14:textId="77777777" w:rsidTr="00376950">
        <w:trPr>
          <w:jc w:val="center"/>
        </w:trPr>
        <w:tc>
          <w:tcPr>
            <w:tcW w:w="9752" w:type="dxa"/>
            <w:gridSpan w:val="2"/>
          </w:tcPr>
          <w:p w14:paraId="68285DFB" w14:textId="77777777" w:rsidR="00376950" w:rsidRPr="00992414" w:rsidRDefault="00376950">
            <w:pPr>
              <w:keepNext/>
            </w:pPr>
          </w:p>
        </w:tc>
      </w:tr>
      <w:tr w:rsidR="00376950" w:rsidRPr="00992414" w14:paraId="7C0D68EA" w14:textId="77777777" w:rsidTr="00376950">
        <w:trPr>
          <w:jc w:val="center"/>
        </w:trPr>
        <w:tc>
          <w:tcPr>
            <w:tcW w:w="4876" w:type="dxa"/>
            <w:hideMark/>
          </w:tcPr>
          <w:p w14:paraId="75AE2693" w14:textId="77777777" w:rsidR="00376950" w:rsidRPr="00992414" w:rsidRDefault="00376950">
            <w:pPr>
              <w:pStyle w:val="ColumnHeading"/>
              <w:keepNext/>
            </w:pPr>
            <w:r w:rsidRPr="00992414">
              <w:t>Text predložený Komisiou</w:t>
            </w:r>
          </w:p>
        </w:tc>
        <w:tc>
          <w:tcPr>
            <w:tcW w:w="4876" w:type="dxa"/>
            <w:hideMark/>
          </w:tcPr>
          <w:p w14:paraId="350AD801" w14:textId="77777777" w:rsidR="00376950" w:rsidRPr="00992414" w:rsidRDefault="00376950">
            <w:pPr>
              <w:pStyle w:val="ColumnHeading"/>
              <w:keepNext/>
            </w:pPr>
            <w:r w:rsidRPr="00992414">
              <w:t>Pozmeňujúci návrh</w:t>
            </w:r>
          </w:p>
        </w:tc>
      </w:tr>
      <w:tr w:rsidR="00376950" w:rsidRPr="00992414" w14:paraId="2A6B0AFF" w14:textId="77777777" w:rsidTr="00376950">
        <w:trPr>
          <w:jc w:val="center"/>
        </w:trPr>
        <w:tc>
          <w:tcPr>
            <w:tcW w:w="4876" w:type="dxa"/>
            <w:hideMark/>
          </w:tcPr>
          <w:p w14:paraId="297ECEF2" w14:textId="77777777" w:rsidR="00376950" w:rsidRPr="00992414" w:rsidRDefault="00376950">
            <w:pPr>
              <w:pStyle w:val="Normal6"/>
            </w:pPr>
            <w:r w:rsidRPr="00992414">
              <w:t>e)</w:t>
            </w:r>
            <w:r w:rsidRPr="00992414">
              <w:tab/>
            </w:r>
            <w:r w:rsidRPr="00992414">
              <w:rPr>
                <w:b/>
                <w:i/>
              </w:rPr>
              <w:t>sume a</w:t>
            </w:r>
            <w:r w:rsidRPr="00992414">
              <w:t xml:space="preserve"> povahe peňažných prostriedkov v hotovosti;</w:t>
            </w:r>
          </w:p>
        </w:tc>
        <w:tc>
          <w:tcPr>
            <w:tcW w:w="4876" w:type="dxa"/>
            <w:hideMark/>
          </w:tcPr>
          <w:p w14:paraId="00D5F029" w14:textId="77777777" w:rsidR="00376950" w:rsidRPr="00992414" w:rsidRDefault="00376950">
            <w:pPr>
              <w:pStyle w:val="Normal6"/>
              <w:rPr>
                <w:szCs w:val="24"/>
              </w:rPr>
            </w:pPr>
            <w:r w:rsidRPr="00992414">
              <w:t>e)</w:t>
            </w:r>
            <w:r w:rsidRPr="00992414">
              <w:tab/>
              <w:t xml:space="preserve">povahe </w:t>
            </w:r>
            <w:r w:rsidRPr="00992414">
              <w:rPr>
                <w:b/>
                <w:i/>
              </w:rPr>
              <w:t>a sume alebo hodnote</w:t>
            </w:r>
            <w:r w:rsidRPr="00992414">
              <w:t xml:space="preserve"> peňažných prostriedkov v hotovosti;</w:t>
            </w:r>
          </w:p>
        </w:tc>
      </w:tr>
    </w:tbl>
    <w:p w14:paraId="568DC823" w14:textId="77777777" w:rsidR="00376950" w:rsidRPr="00992414" w:rsidRDefault="00376950" w:rsidP="00376950">
      <w:r w:rsidRPr="00992414">
        <w:rPr>
          <w:rStyle w:val="HideTWBExt"/>
          <w:noProof w:val="0"/>
        </w:rPr>
        <w:t>&lt;/Amend&gt;</w:t>
      </w:r>
    </w:p>
    <w:p w14:paraId="1843D0AB" w14:textId="7C6C0307"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53</w:t>
      </w:r>
      <w:r w:rsidRPr="00992414">
        <w:rPr>
          <w:rStyle w:val="HideTWBExt"/>
          <w:b w:val="0"/>
          <w:noProof w:val="0"/>
        </w:rPr>
        <w:t>&lt;/NumAm&gt;</w:t>
      </w:r>
    </w:p>
    <w:p w14:paraId="7CA8DD73"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754480DB" w14:textId="77777777" w:rsidR="00376950" w:rsidRPr="00992414" w:rsidRDefault="00376950" w:rsidP="00376950">
      <w:pPr>
        <w:pStyle w:val="NormalBold"/>
      </w:pPr>
      <w:r w:rsidRPr="00992414">
        <w:rPr>
          <w:rStyle w:val="HideTWBExt"/>
          <w:b w:val="0"/>
          <w:noProof w:val="0"/>
        </w:rPr>
        <w:t>&lt;Article&gt;</w:t>
      </w:r>
      <w:r w:rsidRPr="00992414">
        <w:t>Článok 4 – odsek 2 – písmeno f</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6BF28509" w14:textId="77777777" w:rsidTr="00376950">
        <w:trPr>
          <w:jc w:val="center"/>
        </w:trPr>
        <w:tc>
          <w:tcPr>
            <w:tcW w:w="9752" w:type="dxa"/>
            <w:gridSpan w:val="2"/>
          </w:tcPr>
          <w:p w14:paraId="601049F7" w14:textId="77777777" w:rsidR="00376950" w:rsidRPr="00992414" w:rsidRDefault="00376950">
            <w:pPr>
              <w:keepNext/>
            </w:pPr>
          </w:p>
        </w:tc>
      </w:tr>
      <w:tr w:rsidR="00376950" w:rsidRPr="00992414" w14:paraId="52671577" w14:textId="77777777" w:rsidTr="00376950">
        <w:trPr>
          <w:jc w:val="center"/>
        </w:trPr>
        <w:tc>
          <w:tcPr>
            <w:tcW w:w="4876" w:type="dxa"/>
            <w:hideMark/>
          </w:tcPr>
          <w:p w14:paraId="51E69138" w14:textId="77777777" w:rsidR="00376950" w:rsidRPr="00992414" w:rsidRDefault="00376950">
            <w:pPr>
              <w:pStyle w:val="ColumnHeading"/>
              <w:keepNext/>
            </w:pPr>
            <w:r w:rsidRPr="00992414">
              <w:t>Text predložený Komisiou</w:t>
            </w:r>
          </w:p>
        </w:tc>
        <w:tc>
          <w:tcPr>
            <w:tcW w:w="4876" w:type="dxa"/>
            <w:hideMark/>
          </w:tcPr>
          <w:p w14:paraId="155E015D" w14:textId="77777777" w:rsidR="00376950" w:rsidRPr="00992414" w:rsidRDefault="00376950">
            <w:pPr>
              <w:pStyle w:val="ColumnHeading"/>
              <w:keepNext/>
            </w:pPr>
            <w:r w:rsidRPr="00992414">
              <w:t>Pozmeňujúci návrh</w:t>
            </w:r>
          </w:p>
        </w:tc>
      </w:tr>
      <w:tr w:rsidR="00376950" w:rsidRPr="00992414" w14:paraId="6AFA3E4A" w14:textId="77777777" w:rsidTr="00376950">
        <w:trPr>
          <w:jc w:val="center"/>
        </w:trPr>
        <w:tc>
          <w:tcPr>
            <w:tcW w:w="4876" w:type="dxa"/>
            <w:hideMark/>
          </w:tcPr>
          <w:p w14:paraId="57AF5769" w14:textId="77777777" w:rsidR="00376950" w:rsidRPr="00992414" w:rsidRDefault="00376950">
            <w:pPr>
              <w:pStyle w:val="Normal6"/>
            </w:pPr>
            <w:r w:rsidRPr="00992414">
              <w:t>f)</w:t>
            </w:r>
            <w:r w:rsidRPr="00992414">
              <w:tab/>
              <w:t xml:space="preserve">pôvode </w:t>
            </w:r>
            <w:r w:rsidRPr="00992414">
              <w:rPr>
                <w:b/>
                <w:i/>
              </w:rPr>
              <w:t>a zamýšľanom použití peňažných prostriedkov v hotovosti.</w:t>
            </w:r>
          </w:p>
        </w:tc>
        <w:tc>
          <w:tcPr>
            <w:tcW w:w="4876" w:type="dxa"/>
            <w:hideMark/>
          </w:tcPr>
          <w:p w14:paraId="7CB94789" w14:textId="77777777" w:rsidR="00376950" w:rsidRPr="00992414" w:rsidRDefault="00376950">
            <w:pPr>
              <w:pStyle w:val="Normal6"/>
              <w:rPr>
                <w:szCs w:val="24"/>
              </w:rPr>
            </w:pPr>
            <w:r w:rsidRPr="00992414">
              <w:t>f)</w:t>
            </w:r>
            <w:r w:rsidRPr="00992414">
              <w:tab/>
            </w:r>
            <w:r w:rsidRPr="00992414">
              <w:rPr>
                <w:b/>
                <w:i/>
              </w:rPr>
              <w:t>hospodárskom</w:t>
            </w:r>
            <w:r w:rsidRPr="00992414">
              <w:t xml:space="preserve"> pôvode;</w:t>
            </w:r>
          </w:p>
        </w:tc>
      </w:tr>
    </w:tbl>
    <w:p w14:paraId="04813D81" w14:textId="77777777" w:rsidR="00376950" w:rsidRPr="00992414" w:rsidRDefault="00376950" w:rsidP="00376950">
      <w:r w:rsidRPr="00992414">
        <w:rPr>
          <w:rStyle w:val="HideTWBExt"/>
          <w:noProof w:val="0"/>
        </w:rPr>
        <w:t>&lt;/Amend&gt;</w:t>
      </w:r>
    </w:p>
    <w:p w14:paraId="6D213442" w14:textId="2DE0CCDD"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54</w:t>
      </w:r>
      <w:r w:rsidRPr="00992414">
        <w:rPr>
          <w:rStyle w:val="HideTWBExt"/>
          <w:b w:val="0"/>
          <w:noProof w:val="0"/>
        </w:rPr>
        <w:t>&lt;/NumAm&gt;</w:t>
      </w:r>
    </w:p>
    <w:p w14:paraId="2DDEC33C"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55F4A6FE" w14:textId="77777777" w:rsidR="00376950" w:rsidRPr="00992414" w:rsidRDefault="00376950" w:rsidP="00376950">
      <w:pPr>
        <w:pStyle w:val="NormalBold"/>
      </w:pPr>
      <w:r w:rsidRPr="00992414">
        <w:rPr>
          <w:rStyle w:val="HideTWBExt"/>
          <w:b w:val="0"/>
          <w:noProof w:val="0"/>
        </w:rPr>
        <w:t>&lt;Article&gt;</w:t>
      </w:r>
      <w:r w:rsidRPr="00992414">
        <w:t>Článok 4 – odsek 2 – písmeno f a (nové)</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026ED103" w14:textId="77777777" w:rsidTr="00376950">
        <w:trPr>
          <w:jc w:val="center"/>
        </w:trPr>
        <w:tc>
          <w:tcPr>
            <w:tcW w:w="9752" w:type="dxa"/>
            <w:gridSpan w:val="2"/>
          </w:tcPr>
          <w:p w14:paraId="25B74214" w14:textId="77777777" w:rsidR="00376950" w:rsidRPr="00992414" w:rsidRDefault="00376950">
            <w:pPr>
              <w:keepNext/>
            </w:pPr>
          </w:p>
        </w:tc>
      </w:tr>
      <w:tr w:rsidR="00376950" w:rsidRPr="00992414" w14:paraId="5E2CC474" w14:textId="77777777" w:rsidTr="00376950">
        <w:trPr>
          <w:jc w:val="center"/>
        </w:trPr>
        <w:tc>
          <w:tcPr>
            <w:tcW w:w="4876" w:type="dxa"/>
            <w:hideMark/>
          </w:tcPr>
          <w:p w14:paraId="70550819" w14:textId="77777777" w:rsidR="00376950" w:rsidRPr="00992414" w:rsidRDefault="00376950">
            <w:pPr>
              <w:pStyle w:val="ColumnHeading"/>
              <w:keepNext/>
            </w:pPr>
            <w:r w:rsidRPr="00992414">
              <w:t>Text predložený Komisiou</w:t>
            </w:r>
          </w:p>
        </w:tc>
        <w:tc>
          <w:tcPr>
            <w:tcW w:w="4876" w:type="dxa"/>
            <w:hideMark/>
          </w:tcPr>
          <w:p w14:paraId="0924A724" w14:textId="77777777" w:rsidR="00376950" w:rsidRPr="00992414" w:rsidRDefault="00376950">
            <w:pPr>
              <w:pStyle w:val="ColumnHeading"/>
              <w:keepNext/>
            </w:pPr>
            <w:r w:rsidRPr="00992414">
              <w:t>Pozmeňujúci návrh</w:t>
            </w:r>
          </w:p>
        </w:tc>
      </w:tr>
      <w:tr w:rsidR="00376950" w:rsidRPr="00992414" w14:paraId="2371BFE2" w14:textId="77777777" w:rsidTr="00376950">
        <w:trPr>
          <w:jc w:val="center"/>
        </w:trPr>
        <w:tc>
          <w:tcPr>
            <w:tcW w:w="4876" w:type="dxa"/>
          </w:tcPr>
          <w:p w14:paraId="76796EB4" w14:textId="77777777" w:rsidR="00376950" w:rsidRPr="00992414" w:rsidRDefault="00376950">
            <w:pPr>
              <w:pStyle w:val="Normal6"/>
            </w:pPr>
          </w:p>
        </w:tc>
        <w:tc>
          <w:tcPr>
            <w:tcW w:w="4876" w:type="dxa"/>
            <w:hideMark/>
          </w:tcPr>
          <w:p w14:paraId="2B98E40E" w14:textId="6B43D9D2" w:rsidR="00376950" w:rsidRPr="00992414" w:rsidRDefault="00376950" w:rsidP="003F08F7">
            <w:pPr>
              <w:pStyle w:val="Normal6"/>
              <w:rPr>
                <w:szCs w:val="24"/>
              </w:rPr>
            </w:pPr>
            <w:r w:rsidRPr="00992414">
              <w:rPr>
                <w:b/>
                <w:i/>
              </w:rPr>
              <w:t>fa)</w:t>
            </w:r>
            <w:r w:rsidRPr="00992414">
              <w:rPr>
                <w:b/>
                <w:i/>
              </w:rPr>
              <w:tab/>
              <w:t>zamýšľanom použití peňažných prostriedkov v hotovosti.</w:t>
            </w:r>
          </w:p>
        </w:tc>
      </w:tr>
    </w:tbl>
    <w:p w14:paraId="1F05693F" w14:textId="77777777" w:rsidR="00AB03D7" w:rsidRPr="00992414" w:rsidRDefault="00376950" w:rsidP="00AB03D7">
      <w:r w:rsidRPr="00992414">
        <w:rPr>
          <w:rStyle w:val="HideTWBExt"/>
          <w:noProof w:val="0"/>
        </w:rPr>
        <w:t>&lt;/Amend&gt;</w:t>
      </w:r>
    </w:p>
    <w:p w14:paraId="35EF1A03" w14:textId="7BD696A2" w:rsidR="00AB03D7" w:rsidRPr="00992414" w:rsidRDefault="00AB03D7" w:rsidP="00AB03D7">
      <w:pPr>
        <w:pStyle w:val="AMNumberTabs"/>
        <w:keepNext/>
      </w:pPr>
      <w:r w:rsidRPr="00992414">
        <w:rPr>
          <w:rStyle w:val="HideTWBExt"/>
          <w:b w:val="0"/>
          <w:noProof w:val="0"/>
        </w:rPr>
        <w:t>&lt;AmendB&gt;</w:t>
      </w:r>
      <w:r w:rsidRPr="00992414">
        <w:t>Pozmeňujúci návrh</w:t>
      </w:r>
      <w:r w:rsidRPr="00992414">
        <w:tab/>
      </w:r>
      <w:r w:rsidRPr="00992414">
        <w:tab/>
      </w:r>
      <w:r w:rsidRPr="00992414">
        <w:rPr>
          <w:rStyle w:val="HideTWBExt"/>
          <w:b w:val="0"/>
          <w:noProof w:val="0"/>
        </w:rPr>
        <w:t>&lt;NumAmB&gt;</w:t>
      </w:r>
      <w:r w:rsidRPr="00992414">
        <w:t>55</w:t>
      </w:r>
      <w:r w:rsidRPr="00992414">
        <w:rPr>
          <w:rStyle w:val="HideTWBExt"/>
          <w:b w:val="0"/>
          <w:noProof w:val="0"/>
        </w:rPr>
        <w:t>&lt;/NumAmB&gt;</w:t>
      </w:r>
    </w:p>
    <w:p w14:paraId="30C5C1A1" w14:textId="77777777" w:rsidR="00AB03D7" w:rsidRPr="00992414" w:rsidRDefault="00AB03D7" w:rsidP="00AB03D7">
      <w:pPr>
        <w:pStyle w:val="NormalBold12b"/>
      </w:pPr>
      <w:r w:rsidRPr="00992414">
        <w:rPr>
          <w:rStyle w:val="HideTWBExt"/>
          <w:b w:val="0"/>
          <w:noProof w:val="0"/>
        </w:rPr>
        <w:t>&lt;DocAmend&gt;</w:t>
      </w:r>
      <w:r w:rsidRPr="00992414">
        <w:t>Návrh nariadenia</w:t>
      </w:r>
      <w:r w:rsidRPr="00992414">
        <w:rPr>
          <w:rStyle w:val="HideTWBExt"/>
          <w:b w:val="0"/>
          <w:noProof w:val="0"/>
        </w:rPr>
        <w:t>&lt;/DocAmend&gt;</w:t>
      </w:r>
    </w:p>
    <w:p w14:paraId="2DA1FD7A" w14:textId="77777777" w:rsidR="00AB03D7" w:rsidRPr="00992414" w:rsidRDefault="00AB03D7" w:rsidP="00AB03D7">
      <w:pPr>
        <w:pStyle w:val="NormalBold"/>
      </w:pPr>
      <w:r w:rsidRPr="00992414">
        <w:rPr>
          <w:rStyle w:val="HideTWBExt"/>
          <w:b w:val="0"/>
          <w:noProof w:val="0"/>
        </w:rPr>
        <w:t>&lt;Article&gt;</w:t>
      </w:r>
      <w:r w:rsidRPr="00992414">
        <w:t>Článok 4 – odsek 3</w:t>
      </w:r>
      <w:r w:rsidRPr="0099241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B03D7" w:rsidRPr="00992414" w14:paraId="44192D8C" w14:textId="77777777" w:rsidTr="00245FBF">
        <w:trPr>
          <w:jc w:val="center"/>
        </w:trPr>
        <w:tc>
          <w:tcPr>
            <w:tcW w:w="9752" w:type="dxa"/>
            <w:gridSpan w:val="2"/>
          </w:tcPr>
          <w:p w14:paraId="3A860FCE" w14:textId="77777777" w:rsidR="00AB03D7" w:rsidRPr="00992414" w:rsidRDefault="00AB03D7" w:rsidP="00245FBF">
            <w:pPr>
              <w:keepNext/>
            </w:pPr>
          </w:p>
        </w:tc>
      </w:tr>
      <w:tr w:rsidR="00AB03D7" w:rsidRPr="00992414" w14:paraId="42D5130C" w14:textId="77777777" w:rsidTr="00245FBF">
        <w:trPr>
          <w:jc w:val="center"/>
        </w:trPr>
        <w:tc>
          <w:tcPr>
            <w:tcW w:w="4876" w:type="dxa"/>
          </w:tcPr>
          <w:p w14:paraId="14F53A4A" w14:textId="77777777" w:rsidR="00AB03D7" w:rsidRPr="00992414" w:rsidRDefault="00AB03D7" w:rsidP="00245FBF">
            <w:pPr>
              <w:pStyle w:val="ColumnHeading"/>
              <w:keepNext/>
            </w:pPr>
            <w:r w:rsidRPr="00992414">
              <w:t>Text predložený Komisiou</w:t>
            </w:r>
          </w:p>
        </w:tc>
        <w:tc>
          <w:tcPr>
            <w:tcW w:w="4876" w:type="dxa"/>
          </w:tcPr>
          <w:p w14:paraId="1EC9E7FA" w14:textId="77777777" w:rsidR="00AB03D7" w:rsidRPr="00992414" w:rsidRDefault="00AB03D7" w:rsidP="00245FBF">
            <w:pPr>
              <w:pStyle w:val="ColumnHeading"/>
              <w:keepNext/>
            </w:pPr>
            <w:r w:rsidRPr="00992414">
              <w:t>Pozmeňujúci návrh</w:t>
            </w:r>
          </w:p>
        </w:tc>
      </w:tr>
      <w:tr w:rsidR="00AB03D7" w:rsidRPr="00992414" w14:paraId="57ACA001" w14:textId="77777777" w:rsidTr="00245FBF">
        <w:trPr>
          <w:jc w:val="center"/>
        </w:trPr>
        <w:tc>
          <w:tcPr>
            <w:tcW w:w="4876" w:type="dxa"/>
          </w:tcPr>
          <w:p w14:paraId="03489A2A" w14:textId="77777777" w:rsidR="00AB03D7" w:rsidRPr="00992414" w:rsidRDefault="00AB03D7" w:rsidP="00245FBF">
            <w:pPr>
              <w:pStyle w:val="Normal6"/>
            </w:pPr>
            <w:r w:rsidRPr="00992414">
              <w:t>3.</w:t>
            </w:r>
            <w:r w:rsidRPr="00992414">
              <w:tab/>
              <w:t xml:space="preserve">Tieto informácie sa poskytnú písomne, resp. elektronicky, a to s použitím formulára stanoveného podľa článku 15 písm. a). Deklarantovi sa </w:t>
            </w:r>
            <w:r w:rsidRPr="00992414">
              <w:rPr>
                <w:b/>
                <w:i/>
              </w:rPr>
              <w:t xml:space="preserve">na požiadanie </w:t>
            </w:r>
            <w:r w:rsidRPr="00992414">
              <w:t>poskytne potvrdená kópia.</w:t>
            </w:r>
          </w:p>
        </w:tc>
        <w:tc>
          <w:tcPr>
            <w:tcW w:w="4876" w:type="dxa"/>
          </w:tcPr>
          <w:p w14:paraId="134EF8D4" w14:textId="77777777" w:rsidR="00AB03D7" w:rsidRPr="00992414" w:rsidRDefault="00AB03D7" w:rsidP="00245FBF">
            <w:pPr>
              <w:pStyle w:val="Normal6"/>
              <w:rPr>
                <w:szCs w:val="24"/>
              </w:rPr>
            </w:pPr>
            <w:r w:rsidRPr="00992414">
              <w:t>3.</w:t>
            </w:r>
            <w:r w:rsidRPr="00992414">
              <w:tab/>
              <w:t>Tieto informácie sa poskytnú písomne, resp. elektronicky, a to s použitím formulára stanoveného podľa článku 15 písm. a). Deklarantovi sa poskytne potvrdená kópia.</w:t>
            </w:r>
          </w:p>
        </w:tc>
      </w:tr>
    </w:tbl>
    <w:p w14:paraId="14831FAE" w14:textId="77777777" w:rsidR="00AB03D7" w:rsidRPr="00992414" w:rsidRDefault="00AB03D7" w:rsidP="00AB03D7">
      <w:pPr>
        <w:pStyle w:val="JustificationTitle"/>
      </w:pPr>
      <w:r w:rsidRPr="00992414">
        <w:rPr>
          <w:rStyle w:val="HideTWBExt"/>
          <w:i w:val="0"/>
          <w:noProof w:val="0"/>
        </w:rPr>
        <w:t>&lt;TitreJust&gt;</w:t>
      </w:r>
      <w:r w:rsidRPr="00992414">
        <w:t>Odôvodnenie</w:t>
      </w:r>
      <w:r w:rsidRPr="00992414">
        <w:rPr>
          <w:rStyle w:val="HideTWBExt"/>
          <w:i w:val="0"/>
          <w:noProof w:val="0"/>
        </w:rPr>
        <w:t>&lt;/TitreJust&gt;</w:t>
      </w:r>
    </w:p>
    <w:p w14:paraId="05631D79" w14:textId="77777777" w:rsidR="00AB03D7" w:rsidRPr="00992414" w:rsidRDefault="00AB03D7" w:rsidP="00AB03D7">
      <w:pPr>
        <w:pStyle w:val="Normal12Italic"/>
      </w:pPr>
      <w:r w:rsidRPr="00992414">
        <w:t>Deklaranti by vždy mali dostať písomnú kópiu, keďže nie vždy musia byť v takej pozícii, aby o ňu požiadali (napr. nevedia, že na ňu majú nárok, nehovoria jazykom danej krajiny).</w:t>
      </w:r>
    </w:p>
    <w:p w14:paraId="466E5478" w14:textId="77777777" w:rsidR="00AB03D7" w:rsidRPr="00992414" w:rsidRDefault="00AB03D7" w:rsidP="00AB03D7">
      <w:r w:rsidRPr="00992414">
        <w:rPr>
          <w:rStyle w:val="HideTWBExt"/>
          <w:noProof w:val="0"/>
        </w:rPr>
        <w:t>&lt;/AmendB&gt;</w:t>
      </w:r>
    </w:p>
    <w:p w14:paraId="4620D32B" w14:textId="10B6EEC6"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56</w:t>
      </w:r>
      <w:r w:rsidRPr="00992414">
        <w:rPr>
          <w:rStyle w:val="HideTWBExt"/>
          <w:b w:val="0"/>
          <w:noProof w:val="0"/>
        </w:rPr>
        <w:t>&lt;/NumAm&gt;</w:t>
      </w:r>
    </w:p>
    <w:p w14:paraId="7451FC7F"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08509937" w14:textId="77777777" w:rsidR="00376950" w:rsidRPr="00992414" w:rsidRDefault="00376950" w:rsidP="00376950">
      <w:pPr>
        <w:pStyle w:val="NormalBold"/>
      </w:pPr>
      <w:r w:rsidRPr="00992414">
        <w:rPr>
          <w:rStyle w:val="HideTWBExt"/>
          <w:b w:val="0"/>
          <w:noProof w:val="0"/>
        </w:rPr>
        <w:t>&lt;Article&gt;</w:t>
      </w:r>
      <w:r w:rsidRPr="00992414">
        <w:t>Článok 5 – odsek 3</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3A672314" w14:textId="77777777" w:rsidTr="00376950">
        <w:trPr>
          <w:jc w:val="center"/>
        </w:trPr>
        <w:tc>
          <w:tcPr>
            <w:tcW w:w="9752" w:type="dxa"/>
            <w:gridSpan w:val="2"/>
          </w:tcPr>
          <w:p w14:paraId="171276E0" w14:textId="77777777" w:rsidR="00376950" w:rsidRPr="00992414" w:rsidRDefault="00376950">
            <w:pPr>
              <w:keepNext/>
            </w:pPr>
          </w:p>
        </w:tc>
      </w:tr>
      <w:tr w:rsidR="00376950" w:rsidRPr="00992414" w14:paraId="08FE2A78" w14:textId="77777777" w:rsidTr="00376950">
        <w:trPr>
          <w:jc w:val="center"/>
        </w:trPr>
        <w:tc>
          <w:tcPr>
            <w:tcW w:w="4876" w:type="dxa"/>
            <w:hideMark/>
          </w:tcPr>
          <w:p w14:paraId="21B9767B" w14:textId="77777777" w:rsidR="00376950" w:rsidRPr="00992414" w:rsidRDefault="00376950">
            <w:pPr>
              <w:pStyle w:val="ColumnHeading"/>
              <w:keepNext/>
            </w:pPr>
            <w:r w:rsidRPr="00992414">
              <w:t>Text predložený Komisiou</w:t>
            </w:r>
          </w:p>
        </w:tc>
        <w:tc>
          <w:tcPr>
            <w:tcW w:w="4876" w:type="dxa"/>
            <w:hideMark/>
          </w:tcPr>
          <w:p w14:paraId="630319B5" w14:textId="77777777" w:rsidR="00376950" w:rsidRPr="00992414" w:rsidRDefault="00376950">
            <w:pPr>
              <w:pStyle w:val="ColumnHeading"/>
              <w:keepNext/>
            </w:pPr>
            <w:r w:rsidRPr="00992414">
              <w:t>Pozmeňujúci návrh</w:t>
            </w:r>
          </w:p>
        </w:tc>
      </w:tr>
      <w:tr w:rsidR="00376950" w:rsidRPr="00992414" w14:paraId="70B6CFFF" w14:textId="77777777" w:rsidTr="00376950">
        <w:trPr>
          <w:jc w:val="center"/>
        </w:trPr>
        <w:tc>
          <w:tcPr>
            <w:tcW w:w="4876" w:type="dxa"/>
            <w:hideMark/>
          </w:tcPr>
          <w:p w14:paraId="19AFFEC9" w14:textId="77777777" w:rsidR="00376950" w:rsidRPr="00992414" w:rsidRDefault="00376950">
            <w:pPr>
              <w:pStyle w:val="Normal6"/>
            </w:pPr>
            <w:r w:rsidRPr="00992414">
              <w:t>3.</w:t>
            </w:r>
            <w:r w:rsidRPr="00992414">
              <w:tab/>
              <w:t xml:space="preserve">V prípade </w:t>
            </w:r>
            <w:r w:rsidRPr="00992414">
              <w:rPr>
                <w:b/>
                <w:i/>
              </w:rPr>
              <w:t>nesplnenia povinnosti</w:t>
            </w:r>
            <w:r w:rsidRPr="00992414">
              <w:t xml:space="preserve"> podľa článku 3 alebo povinného oznámenia podľa článku 4 príslušné orgány písomne alebo v elektronickej forme samé vypracujú oznámenie (oznámenie ex offo), ktoré bude podľa možnosti obsahovať informácie uvedené v článku 3 ods. 2, resp. v článku 4 ods. 2.</w:t>
            </w:r>
          </w:p>
        </w:tc>
        <w:tc>
          <w:tcPr>
            <w:tcW w:w="4876" w:type="dxa"/>
            <w:hideMark/>
          </w:tcPr>
          <w:p w14:paraId="0FCE198C" w14:textId="77777777" w:rsidR="00376950" w:rsidRPr="00992414" w:rsidRDefault="00376950">
            <w:pPr>
              <w:pStyle w:val="Normal6"/>
              <w:rPr>
                <w:szCs w:val="24"/>
              </w:rPr>
            </w:pPr>
            <w:r w:rsidRPr="00992414">
              <w:t>3.</w:t>
            </w:r>
            <w:r w:rsidRPr="00992414">
              <w:tab/>
              <w:t xml:space="preserve">V prípade </w:t>
            </w:r>
            <w:r w:rsidRPr="00992414">
              <w:rPr>
                <w:b/>
                <w:i/>
              </w:rPr>
              <w:t>nevykonania oznámenia</w:t>
            </w:r>
            <w:r w:rsidRPr="00992414">
              <w:t xml:space="preserve"> podľa článku 3 alebo povinného oznámenia podľa článku 4 príslušné orgány písomne alebo v elektronickej forme samé vypracujú oznámenie (oznámenie ex offo), ktoré bude podľa možnosti obsahovať informácie uvedené v článku 3 ods. 2, resp. v článku 4 ods. 2.</w:t>
            </w:r>
          </w:p>
        </w:tc>
      </w:tr>
    </w:tbl>
    <w:p w14:paraId="7B3050FE" w14:textId="77777777" w:rsidR="00376950" w:rsidRPr="00992414" w:rsidRDefault="00376950" w:rsidP="00376950">
      <w:r w:rsidRPr="00992414">
        <w:rPr>
          <w:rStyle w:val="HideTWBExt"/>
          <w:noProof w:val="0"/>
        </w:rPr>
        <w:t>&lt;/Amend&gt;</w:t>
      </w:r>
    </w:p>
    <w:p w14:paraId="5C1A933E" w14:textId="3221777D" w:rsidR="001812CC" w:rsidRPr="00992414" w:rsidRDefault="001812CC" w:rsidP="001812CC">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57</w:t>
      </w:r>
      <w:r w:rsidRPr="00992414">
        <w:rPr>
          <w:rStyle w:val="HideTWBExt"/>
          <w:b w:val="0"/>
          <w:noProof w:val="0"/>
        </w:rPr>
        <w:t>&lt;/NumAm&gt;</w:t>
      </w:r>
    </w:p>
    <w:p w14:paraId="028FA837" w14:textId="77777777" w:rsidR="001812CC" w:rsidRPr="00992414" w:rsidRDefault="001812CC" w:rsidP="001812CC">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5C34EEAA" w14:textId="77777777" w:rsidR="001812CC" w:rsidRPr="00992414" w:rsidRDefault="001812CC" w:rsidP="001812CC">
      <w:pPr>
        <w:pStyle w:val="NormalBold"/>
      </w:pPr>
      <w:r w:rsidRPr="00992414">
        <w:rPr>
          <w:rStyle w:val="HideTWBExt"/>
          <w:b w:val="0"/>
          <w:noProof w:val="0"/>
        </w:rPr>
        <w:t>&lt;Article&gt;</w:t>
      </w:r>
      <w:r w:rsidRPr="00992414">
        <w:t>Článok 5 – odsek 4</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812CC" w:rsidRPr="00992414" w14:paraId="3747517C" w14:textId="77777777" w:rsidTr="00B90B9E">
        <w:trPr>
          <w:jc w:val="center"/>
        </w:trPr>
        <w:tc>
          <w:tcPr>
            <w:tcW w:w="9752" w:type="dxa"/>
            <w:gridSpan w:val="2"/>
          </w:tcPr>
          <w:p w14:paraId="75B4E1CC" w14:textId="77777777" w:rsidR="001812CC" w:rsidRPr="00992414" w:rsidRDefault="001812CC" w:rsidP="00B90B9E">
            <w:pPr>
              <w:keepNext/>
            </w:pPr>
          </w:p>
        </w:tc>
      </w:tr>
      <w:tr w:rsidR="001812CC" w:rsidRPr="00992414" w14:paraId="1F1D5E0C" w14:textId="77777777" w:rsidTr="00B90B9E">
        <w:trPr>
          <w:jc w:val="center"/>
        </w:trPr>
        <w:tc>
          <w:tcPr>
            <w:tcW w:w="4876" w:type="dxa"/>
            <w:hideMark/>
          </w:tcPr>
          <w:p w14:paraId="460DDDFC" w14:textId="77777777" w:rsidR="001812CC" w:rsidRPr="00992414" w:rsidRDefault="001812CC" w:rsidP="00B90B9E">
            <w:pPr>
              <w:pStyle w:val="ColumnHeading"/>
              <w:keepNext/>
            </w:pPr>
            <w:r w:rsidRPr="00992414">
              <w:t>Text predložený Komisiou</w:t>
            </w:r>
          </w:p>
        </w:tc>
        <w:tc>
          <w:tcPr>
            <w:tcW w:w="4876" w:type="dxa"/>
            <w:hideMark/>
          </w:tcPr>
          <w:p w14:paraId="1D09E185" w14:textId="77777777" w:rsidR="001812CC" w:rsidRPr="00992414" w:rsidRDefault="001812CC" w:rsidP="00B90B9E">
            <w:pPr>
              <w:pStyle w:val="ColumnHeading"/>
              <w:keepNext/>
            </w:pPr>
            <w:r w:rsidRPr="00992414">
              <w:t>Pozmeňujúci návrh</w:t>
            </w:r>
          </w:p>
        </w:tc>
      </w:tr>
      <w:tr w:rsidR="001812CC" w:rsidRPr="00992414" w14:paraId="68248B89" w14:textId="77777777" w:rsidTr="00B90B9E">
        <w:trPr>
          <w:jc w:val="center"/>
        </w:trPr>
        <w:tc>
          <w:tcPr>
            <w:tcW w:w="4876" w:type="dxa"/>
            <w:hideMark/>
          </w:tcPr>
          <w:p w14:paraId="44ADA4B6" w14:textId="77777777" w:rsidR="001812CC" w:rsidRPr="00992414" w:rsidRDefault="001812CC" w:rsidP="00B90B9E">
            <w:pPr>
              <w:pStyle w:val="Normal6"/>
            </w:pPr>
            <w:r w:rsidRPr="00992414">
              <w:t>4.</w:t>
            </w:r>
            <w:r w:rsidRPr="00992414">
              <w:tab/>
              <w:t xml:space="preserve">Kontroly </w:t>
            </w:r>
            <w:r w:rsidRPr="00992414">
              <w:rPr>
                <w:b/>
                <w:i/>
              </w:rPr>
              <w:t>budú vychádzať</w:t>
            </w:r>
            <w:r w:rsidRPr="00992414">
              <w:t xml:space="preserve"> predovšetkým z analýzy rizika, s cieľom identifikovať a vyhodnotiť riziká a vytvoriť potrebné protiopatrenia</w:t>
            </w:r>
            <w:r w:rsidRPr="00992414">
              <w:rPr>
                <w:b/>
                <w:i/>
              </w:rPr>
              <w:t>, a budú sa realizovať v rámci spoločného rámca pre riadenie rizík v súlade s kritériami stanovenými podľa článku 15 písm</w:t>
            </w:r>
            <w:r w:rsidRPr="00992414">
              <w:t xml:space="preserve">. </w:t>
            </w:r>
            <w:r w:rsidRPr="00992414">
              <w:rPr>
                <w:b/>
                <w:i/>
              </w:rPr>
              <w:t>b).</w:t>
            </w:r>
          </w:p>
        </w:tc>
        <w:tc>
          <w:tcPr>
            <w:tcW w:w="4876" w:type="dxa"/>
            <w:hideMark/>
          </w:tcPr>
          <w:p w14:paraId="5494B65A" w14:textId="43EED5CD" w:rsidR="001812CC" w:rsidRPr="00992414" w:rsidRDefault="001812CC" w:rsidP="005E25A8">
            <w:pPr>
              <w:pStyle w:val="Normal6"/>
              <w:rPr>
                <w:b/>
                <w:i/>
                <w:szCs w:val="24"/>
              </w:rPr>
            </w:pPr>
            <w:r w:rsidRPr="00992414">
              <w:t>4.</w:t>
            </w:r>
            <w:r w:rsidRPr="00992414">
              <w:tab/>
              <w:t xml:space="preserve">Kontroly </w:t>
            </w:r>
            <w:r w:rsidRPr="00992414">
              <w:rPr>
                <w:b/>
                <w:i/>
              </w:rPr>
              <w:t>vychádzajú</w:t>
            </w:r>
            <w:r w:rsidRPr="00992414">
              <w:t xml:space="preserve"> predovšetkým z analýzy rizika, s cieľom identifikovať a vyhodnotiť riziká a vytvoriť potrebné protiopatrenia. </w:t>
            </w:r>
          </w:p>
        </w:tc>
      </w:tr>
    </w:tbl>
    <w:p w14:paraId="5D09F5BD" w14:textId="77777777" w:rsidR="001812CC" w:rsidRPr="00992414" w:rsidRDefault="001812CC" w:rsidP="001812CC">
      <w:r w:rsidRPr="00992414">
        <w:rPr>
          <w:rStyle w:val="HideTWBExt"/>
          <w:noProof w:val="0"/>
        </w:rPr>
        <w:t>&lt;/Amend&gt;</w:t>
      </w:r>
    </w:p>
    <w:p w14:paraId="01DC01CB" w14:textId="48F1BABF" w:rsidR="005E25A8" w:rsidRPr="00992414" w:rsidRDefault="005E25A8" w:rsidP="005E25A8">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58</w:t>
      </w:r>
      <w:r w:rsidRPr="00992414">
        <w:rPr>
          <w:rStyle w:val="HideTWBExt"/>
          <w:b w:val="0"/>
          <w:noProof w:val="0"/>
        </w:rPr>
        <w:t>&lt;/NumAm&gt;</w:t>
      </w:r>
    </w:p>
    <w:p w14:paraId="703D7866" w14:textId="77777777" w:rsidR="005E25A8" w:rsidRPr="00992414" w:rsidRDefault="005E25A8" w:rsidP="005E25A8">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0140CEFB" w14:textId="2A14AC9D" w:rsidR="005E25A8" w:rsidRPr="00992414" w:rsidRDefault="005E25A8" w:rsidP="005E25A8">
      <w:pPr>
        <w:pStyle w:val="NormalBold"/>
      </w:pPr>
      <w:r w:rsidRPr="00992414">
        <w:rPr>
          <w:rStyle w:val="HideTWBExt"/>
          <w:b w:val="0"/>
          <w:noProof w:val="0"/>
        </w:rPr>
        <w:t>&lt;Article&gt;</w:t>
      </w:r>
      <w:r w:rsidRPr="00992414">
        <w:t>Článok 5 – odsek 4 a (nový)</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E25A8" w:rsidRPr="00992414" w14:paraId="7AA6AEAB" w14:textId="77777777" w:rsidTr="002912B5">
        <w:trPr>
          <w:jc w:val="center"/>
        </w:trPr>
        <w:tc>
          <w:tcPr>
            <w:tcW w:w="9752" w:type="dxa"/>
            <w:gridSpan w:val="2"/>
          </w:tcPr>
          <w:p w14:paraId="2E512935" w14:textId="77777777" w:rsidR="005E25A8" w:rsidRPr="00992414" w:rsidRDefault="005E25A8" w:rsidP="002912B5">
            <w:pPr>
              <w:keepNext/>
            </w:pPr>
          </w:p>
        </w:tc>
      </w:tr>
      <w:tr w:rsidR="005E25A8" w:rsidRPr="00992414" w14:paraId="195C463E" w14:textId="77777777" w:rsidTr="002912B5">
        <w:trPr>
          <w:jc w:val="center"/>
        </w:trPr>
        <w:tc>
          <w:tcPr>
            <w:tcW w:w="4876" w:type="dxa"/>
            <w:hideMark/>
          </w:tcPr>
          <w:p w14:paraId="6787C859" w14:textId="77777777" w:rsidR="005E25A8" w:rsidRPr="00992414" w:rsidRDefault="005E25A8" w:rsidP="002912B5">
            <w:pPr>
              <w:pStyle w:val="ColumnHeading"/>
              <w:keepNext/>
            </w:pPr>
            <w:r w:rsidRPr="00992414">
              <w:t>Text predložený Komisiou</w:t>
            </w:r>
          </w:p>
        </w:tc>
        <w:tc>
          <w:tcPr>
            <w:tcW w:w="4876" w:type="dxa"/>
            <w:hideMark/>
          </w:tcPr>
          <w:p w14:paraId="5F1DE80E" w14:textId="77777777" w:rsidR="005E25A8" w:rsidRPr="00992414" w:rsidRDefault="005E25A8" w:rsidP="002912B5">
            <w:pPr>
              <w:pStyle w:val="ColumnHeading"/>
              <w:keepNext/>
            </w:pPr>
            <w:r w:rsidRPr="00992414">
              <w:t>Pozmeňujúci návrh</w:t>
            </w:r>
          </w:p>
        </w:tc>
      </w:tr>
      <w:tr w:rsidR="005E25A8" w:rsidRPr="00992414" w14:paraId="025DD8DA" w14:textId="77777777" w:rsidTr="002912B5">
        <w:trPr>
          <w:jc w:val="center"/>
        </w:trPr>
        <w:tc>
          <w:tcPr>
            <w:tcW w:w="4876" w:type="dxa"/>
            <w:hideMark/>
          </w:tcPr>
          <w:p w14:paraId="03FF743F" w14:textId="5DC2EA36" w:rsidR="005E25A8" w:rsidRPr="00992414" w:rsidRDefault="005E25A8" w:rsidP="002912B5">
            <w:pPr>
              <w:pStyle w:val="Normal6"/>
            </w:pPr>
          </w:p>
        </w:tc>
        <w:tc>
          <w:tcPr>
            <w:tcW w:w="4876" w:type="dxa"/>
            <w:hideMark/>
          </w:tcPr>
          <w:p w14:paraId="7A1B3F71" w14:textId="1FCA62CF" w:rsidR="005E25A8" w:rsidRPr="00992414" w:rsidRDefault="005E25A8" w:rsidP="00E61661">
            <w:pPr>
              <w:pStyle w:val="Normal6"/>
              <w:rPr>
                <w:b/>
                <w:i/>
                <w:szCs w:val="24"/>
              </w:rPr>
            </w:pPr>
            <w:r w:rsidRPr="00992414">
              <w:rPr>
                <w:b/>
                <w:i/>
              </w:rPr>
              <w:t>4a.</w:t>
            </w:r>
            <w:r w:rsidRPr="00992414">
              <w:tab/>
            </w:r>
            <w:r w:rsidRPr="00992414">
              <w:rPr>
                <w:b/>
                <w:i/>
              </w:rPr>
              <w:t>Analýza rizika uvedená v odseku 4 príslušným orgánom nebráni v uskutočňovaní spontánnych kontrol a kontrol založených na konkrétnych informáciách získaných iným orgánom. Príslušné orgány sú vybavené primeranými nástrojmi na účely kontrol.</w:t>
            </w:r>
          </w:p>
        </w:tc>
      </w:tr>
    </w:tbl>
    <w:p w14:paraId="6554CDFA" w14:textId="77777777" w:rsidR="005E25A8" w:rsidRPr="00992414" w:rsidRDefault="005E25A8" w:rsidP="005E25A8">
      <w:r w:rsidRPr="00992414">
        <w:rPr>
          <w:rStyle w:val="HideTWBExt"/>
          <w:noProof w:val="0"/>
        </w:rPr>
        <w:t>&lt;/Amend&gt;</w:t>
      </w:r>
    </w:p>
    <w:p w14:paraId="3376DF5E" w14:textId="779091E2"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59</w:t>
      </w:r>
      <w:r w:rsidRPr="00992414">
        <w:rPr>
          <w:rStyle w:val="HideTWBExt"/>
          <w:b w:val="0"/>
          <w:noProof w:val="0"/>
        </w:rPr>
        <w:t>&lt;/NumAm&gt;</w:t>
      </w:r>
    </w:p>
    <w:p w14:paraId="7263F036"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7F034A5D" w14:textId="00399293" w:rsidR="00376950" w:rsidRPr="00992414" w:rsidRDefault="00376950" w:rsidP="00376950">
      <w:pPr>
        <w:pStyle w:val="NormalBold"/>
      </w:pPr>
      <w:r w:rsidRPr="00992414">
        <w:rPr>
          <w:rStyle w:val="HideTWBExt"/>
          <w:b w:val="0"/>
          <w:noProof w:val="0"/>
        </w:rPr>
        <w:t>&lt;Article&gt;</w:t>
      </w:r>
      <w:r w:rsidRPr="00992414">
        <w:t>Článok 5 – odsek 4 b (nový)</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5078EAFC" w14:textId="77777777" w:rsidTr="00376950">
        <w:trPr>
          <w:jc w:val="center"/>
        </w:trPr>
        <w:tc>
          <w:tcPr>
            <w:tcW w:w="9752" w:type="dxa"/>
            <w:gridSpan w:val="2"/>
          </w:tcPr>
          <w:p w14:paraId="3C48D0A4" w14:textId="77777777" w:rsidR="00376950" w:rsidRPr="00992414" w:rsidRDefault="00376950">
            <w:pPr>
              <w:keepNext/>
            </w:pPr>
          </w:p>
        </w:tc>
      </w:tr>
      <w:tr w:rsidR="00376950" w:rsidRPr="00992414" w14:paraId="2661B4D0" w14:textId="77777777" w:rsidTr="00376950">
        <w:trPr>
          <w:jc w:val="center"/>
        </w:trPr>
        <w:tc>
          <w:tcPr>
            <w:tcW w:w="4876" w:type="dxa"/>
            <w:hideMark/>
          </w:tcPr>
          <w:p w14:paraId="49DBA35B" w14:textId="77777777" w:rsidR="00376950" w:rsidRPr="00992414" w:rsidRDefault="00376950">
            <w:pPr>
              <w:pStyle w:val="ColumnHeading"/>
              <w:keepNext/>
            </w:pPr>
            <w:r w:rsidRPr="00992414">
              <w:t>Text predložený Komisiou</w:t>
            </w:r>
          </w:p>
        </w:tc>
        <w:tc>
          <w:tcPr>
            <w:tcW w:w="4876" w:type="dxa"/>
            <w:hideMark/>
          </w:tcPr>
          <w:p w14:paraId="0A16C3C9" w14:textId="77777777" w:rsidR="00376950" w:rsidRPr="00992414" w:rsidRDefault="00376950">
            <w:pPr>
              <w:pStyle w:val="ColumnHeading"/>
              <w:keepNext/>
            </w:pPr>
            <w:r w:rsidRPr="00992414">
              <w:t>Pozmeňujúci návrh</w:t>
            </w:r>
          </w:p>
        </w:tc>
      </w:tr>
      <w:tr w:rsidR="00376950" w:rsidRPr="00992414" w14:paraId="7C3111B2" w14:textId="77777777" w:rsidTr="00376950">
        <w:trPr>
          <w:jc w:val="center"/>
        </w:trPr>
        <w:tc>
          <w:tcPr>
            <w:tcW w:w="4876" w:type="dxa"/>
          </w:tcPr>
          <w:p w14:paraId="0D624B49" w14:textId="77777777" w:rsidR="00376950" w:rsidRPr="00992414" w:rsidRDefault="00376950">
            <w:pPr>
              <w:pStyle w:val="Normal6"/>
            </w:pPr>
          </w:p>
        </w:tc>
        <w:tc>
          <w:tcPr>
            <w:tcW w:w="4876" w:type="dxa"/>
            <w:hideMark/>
          </w:tcPr>
          <w:p w14:paraId="0EEEDA15" w14:textId="5C34ED57" w:rsidR="00376950" w:rsidRPr="00992414" w:rsidRDefault="00376950" w:rsidP="00370C2E">
            <w:pPr>
              <w:pStyle w:val="Normal6"/>
              <w:rPr>
                <w:szCs w:val="24"/>
              </w:rPr>
            </w:pPr>
            <w:r w:rsidRPr="00992414">
              <w:rPr>
                <w:b/>
                <w:i/>
              </w:rPr>
              <w:t>4b.</w:t>
            </w:r>
            <w:r w:rsidRPr="00992414">
              <w:rPr>
                <w:b/>
                <w:i/>
              </w:rPr>
              <w:tab/>
              <w:t xml:space="preserve">Komisia je splnomocnená prijímať delegované akty v súlade s článkom 14, pokiaľ ide o podrobné pravidlá na vykonávanie kontrol príslušnými orgánmi, a zohľadňuje pritom spoločný rámec riadenia rizík vymedzený v nariadení Európskeho parlamentu a Rady (EÚ) č. 952/2013 a analýzu posúdenia rizík uskutočnenú v súlade s článkami 6 a 7 smernice (EÚ) 2015/849; </w:t>
            </w:r>
          </w:p>
        </w:tc>
      </w:tr>
    </w:tbl>
    <w:p w14:paraId="45E29A9A" w14:textId="77777777" w:rsidR="00376950" w:rsidRPr="00992414" w:rsidRDefault="00376950" w:rsidP="00376950">
      <w:r w:rsidRPr="00992414">
        <w:rPr>
          <w:rStyle w:val="HideTWBExt"/>
          <w:noProof w:val="0"/>
        </w:rPr>
        <w:t>&lt;/Amend&gt;</w:t>
      </w:r>
    </w:p>
    <w:p w14:paraId="2151DCB7" w14:textId="163FF8C7"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60</w:t>
      </w:r>
      <w:r w:rsidRPr="00992414">
        <w:rPr>
          <w:rStyle w:val="HideTWBExt"/>
          <w:b w:val="0"/>
          <w:noProof w:val="0"/>
        </w:rPr>
        <w:t>&lt;/NumAm&gt;</w:t>
      </w:r>
    </w:p>
    <w:p w14:paraId="5C8D2475"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2DBC7D63" w14:textId="2F37B958" w:rsidR="00376950" w:rsidRPr="00992414" w:rsidRDefault="00376950" w:rsidP="00376950">
      <w:pPr>
        <w:pStyle w:val="NormalBold"/>
      </w:pPr>
      <w:r w:rsidRPr="00992414">
        <w:rPr>
          <w:rStyle w:val="HideTWBExt"/>
          <w:b w:val="0"/>
          <w:noProof w:val="0"/>
        </w:rPr>
        <w:t>&lt;Article&gt;</w:t>
      </w:r>
      <w:r w:rsidRPr="00992414">
        <w:t>Článok 5 – odsek 4 c (nový)</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63AF51B0" w14:textId="77777777" w:rsidTr="00376950">
        <w:trPr>
          <w:jc w:val="center"/>
        </w:trPr>
        <w:tc>
          <w:tcPr>
            <w:tcW w:w="9752" w:type="dxa"/>
            <w:gridSpan w:val="2"/>
          </w:tcPr>
          <w:p w14:paraId="3323137C" w14:textId="77777777" w:rsidR="00376950" w:rsidRPr="00992414" w:rsidRDefault="00376950">
            <w:pPr>
              <w:keepNext/>
            </w:pPr>
          </w:p>
        </w:tc>
      </w:tr>
      <w:tr w:rsidR="00376950" w:rsidRPr="00992414" w14:paraId="791AB5AD" w14:textId="77777777" w:rsidTr="00376950">
        <w:trPr>
          <w:jc w:val="center"/>
        </w:trPr>
        <w:tc>
          <w:tcPr>
            <w:tcW w:w="4876" w:type="dxa"/>
            <w:hideMark/>
          </w:tcPr>
          <w:p w14:paraId="57DDBE61" w14:textId="77777777" w:rsidR="00376950" w:rsidRPr="00992414" w:rsidRDefault="00376950">
            <w:pPr>
              <w:pStyle w:val="ColumnHeading"/>
              <w:keepNext/>
            </w:pPr>
            <w:r w:rsidRPr="00992414">
              <w:t>Text predložený Komisiou</w:t>
            </w:r>
          </w:p>
        </w:tc>
        <w:tc>
          <w:tcPr>
            <w:tcW w:w="4876" w:type="dxa"/>
            <w:hideMark/>
          </w:tcPr>
          <w:p w14:paraId="70DD6939" w14:textId="77777777" w:rsidR="00376950" w:rsidRPr="00992414" w:rsidRDefault="00376950">
            <w:pPr>
              <w:pStyle w:val="ColumnHeading"/>
              <w:keepNext/>
            </w:pPr>
            <w:r w:rsidRPr="00992414">
              <w:t>Pozmeňujúci návrh</w:t>
            </w:r>
          </w:p>
        </w:tc>
      </w:tr>
      <w:tr w:rsidR="00376950" w:rsidRPr="00992414" w14:paraId="7422B2A2" w14:textId="77777777" w:rsidTr="00376950">
        <w:trPr>
          <w:jc w:val="center"/>
        </w:trPr>
        <w:tc>
          <w:tcPr>
            <w:tcW w:w="4876" w:type="dxa"/>
          </w:tcPr>
          <w:p w14:paraId="10B8A55D" w14:textId="77777777" w:rsidR="00376950" w:rsidRPr="00992414" w:rsidRDefault="00376950">
            <w:pPr>
              <w:pStyle w:val="Normal6"/>
            </w:pPr>
          </w:p>
        </w:tc>
        <w:tc>
          <w:tcPr>
            <w:tcW w:w="4876" w:type="dxa"/>
            <w:hideMark/>
          </w:tcPr>
          <w:p w14:paraId="16AC8979" w14:textId="07CE30A6" w:rsidR="00376950" w:rsidRPr="00992414" w:rsidRDefault="00376950">
            <w:pPr>
              <w:pStyle w:val="Normal6"/>
              <w:rPr>
                <w:szCs w:val="24"/>
              </w:rPr>
            </w:pPr>
            <w:r w:rsidRPr="00992414">
              <w:rPr>
                <w:b/>
                <w:i/>
              </w:rPr>
              <w:t>4c.</w:t>
            </w:r>
            <w:r w:rsidRPr="00992414">
              <w:rPr>
                <w:b/>
                <w:i/>
              </w:rPr>
              <w:tab/>
              <w:t>Právomoci udelené príslušným orgánom podľa tohto článku sa vzťahujú aj na článok 6.</w:t>
            </w:r>
          </w:p>
        </w:tc>
      </w:tr>
    </w:tbl>
    <w:p w14:paraId="17AC5BCA" w14:textId="77777777" w:rsidR="00376950" w:rsidRPr="00992414" w:rsidRDefault="00376950" w:rsidP="00376950">
      <w:r w:rsidRPr="00992414">
        <w:rPr>
          <w:rStyle w:val="HideTWBExt"/>
          <w:noProof w:val="0"/>
        </w:rPr>
        <w:t>&lt;/Amend&gt;</w:t>
      </w:r>
    </w:p>
    <w:p w14:paraId="4A4A0935" w14:textId="38978311"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61</w:t>
      </w:r>
      <w:r w:rsidRPr="00992414">
        <w:rPr>
          <w:rStyle w:val="HideTWBExt"/>
          <w:b w:val="0"/>
          <w:noProof w:val="0"/>
        </w:rPr>
        <w:t>&lt;/NumAm&gt;</w:t>
      </w:r>
    </w:p>
    <w:p w14:paraId="15501245"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3BD996A4" w14:textId="77777777" w:rsidR="00376950" w:rsidRPr="00992414" w:rsidRDefault="00376950" w:rsidP="00376950">
      <w:pPr>
        <w:pStyle w:val="NormalBold"/>
      </w:pPr>
      <w:r w:rsidRPr="00992414">
        <w:rPr>
          <w:rStyle w:val="HideTWBExt"/>
          <w:b w:val="0"/>
          <w:noProof w:val="0"/>
        </w:rPr>
        <w:t>&lt;Article&gt;</w:t>
      </w:r>
      <w:r w:rsidRPr="00992414">
        <w:t>Článok 6 – názov</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10BD61F4" w14:textId="77777777" w:rsidTr="00376950">
        <w:trPr>
          <w:jc w:val="center"/>
        </w:trPr>
        <w:tc>
          <w:tcPr>
            <w:tcW w:w="9752" w:type="dxa"/>
            <w:gridSpan w:val="2"/>
          </w:tcPr>
          <w:p w14:paraId="2574E68C" w14:textId="77777777" w:rsidR="00376950" w:rsidRPr="00992414" w:rsidRDefault="00376950">
            <w:pPr>
              <w:keepNext/>
            </w:pPr>
          </w:p>
        </w:tc>
      </w:tr>
      <w:tr w:rsidR="00376950" w:rsidRPr="00992414" w14:paraId="3B89DF12" w14:textId="77777777" w:rsidTr="00376950">
        <w:trPr>
          <w:jc w:val="center"/>
        </w:trPr>
        <w:tc>
          <w:tcPr>
            <w:tcW w:w="4876" w:type="dxa"/>
            <w:hideMark/>
          </w:tcPr>
          <w:p w14:paraId="4C637FFE" w14:textId="77777777" w:rsidR="00376950" w:rsidRPr="00992414" w:rsidRDefault="00376950">
            <w:pPr>
              <w:pStyle w:val="ColumnHeading"/>
              <w:keepNext/>
            </w:pPr>
            <w:r w:rsidRPr="00992414">
              <w:t>Text predložený Komisiou</w:t>
            </w:r>
          </w:p>
        </w:tc>
        <w:tc>
          <w:tcPr>
            <w:tcW w:w="4876" w:type="dxa"/>
            <w:hideMark/>
          </w:tcPr>
          <w:p w14:paraId="20320F83" w14:textId="77777777" w:rsidR="00376950" w:rsidRPr="00992414" w:rsidRDefault="00376950">
            <w:pPr>
              <w:pStyle w:val="ColumnHeading"/>
              <w:keepNext/>
            </w:pPr>
            <w:r w:rsidRPr="00992414">
              <w:t>Pozmeňujúci návrh</w:t>
            </w:r>
          </w:p>
        </w:tc>
      </w:tr>
      <w:tr w:rsidR="00376950" w:rsidRPr="00992414" w14:paraId="4AB29A2E" w14:textId="77777777" w:rsidTr="00376950">
        <w:trPr>
          <w:jc w:val="center"/>
        </w:trPr>
        <w:tc>
          <w:tcPr>
            <w:tcW w:w="4876" w:type="dxa"/>
            <w:hideMark/>
          </w:tcPr>
          <w:p w14:paraId="333F7E25" w14:textId="77777777" w:rsidR="00376950" w:rsidRPr="00992414" w:rsidRDefault="00376950">
            <w:pPr>
              <w:pStyle w:val="Normal6"/>
            </w:pPr>
            <w:r w:rsidRPr="00992414">
              <w:t>Sumy nižšie ako stanovená hranica</w:t>
            </w:r>
          </w:p>
        </w:tc>
        <w:tc>
          <w:tcPr>
            <w:tcW w:w="4876" w:type="dxa"/>
            <w:hideMark/>
          </w:tcPr>
          <w:p w14:paraId="25D72BA8" w14:textId="77777777" w:rsidR="00376950" w:rsidRPr="00992414" w:rsidRDefault="00376950">
            <w:pPr>
              <w:pStyle w:val="Normal6"/>
              <w:rPr>
                <w:szCs w:val="24"/>
              </w:rPr>
            </w:pPr>
            <w:r w:rsidRPr="00992414">
              <w:t>Sumy nižšie ako stanovená hranica</w:t>
            </w:r>
            <w:r w:rsidRPr="00992414">
              <w:rPr>
                <w:b/>
                <w:i/>
              </w:rPr>
              <w:t>, pri ktorých existuje podozrenie, že súvisia s trestnou činnosťou</w:t>
            </w:r>
          </w:p>
        </w:tc>
      </w:tr>
    </w:tbl>
    <w:p w14:paraId="4A06E505" w14:textId="77777777" w:rsidR="00376950" w:rsidRPr="00992414" w:rsidRDefault="00376950" w:rsidP="00376950">
      <w:r w:rsidRPr="00992414">
        <w:rPr>
          <w:rStyle w:val="HideTWBExt"/>
          <w:noProof w:val="0"/>
        </w:rPr>
        <w:t>&lt;/Amend&gt;</w:t>
      </w:r>
    </w:p>
    <w:p w14:paraId="058CD154" w14:textId="3F9BDDF4"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62</w:t>
      </w:r>
      <w:r w:rsidRPr="00992414">
        <w:rPr>
          <w:rStyle w:val="HideTWBExt"/>
          <w:b w:val="0"/>
          <w:noProof w:val="0"/>
        </w:rPr>
        <w:t>&lt;/NumAm&gt;</w:t>
      </w:r>
    </w:p>
    <w:p w14:paraId="06473532"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74D0830C" w14:textId="77777777" w:rsidR="00376950" w:rsidRPr="00992414" w:rsidRDefault="00376950" w:rsidP="00376950">
      <w:pPr>
        <w:pStyle w:val="NormalBold"/>
      </w:pPr>
      <w:r w:rsidRPr="00992414">
        <w:rPr>
          <w:rStyle w:val="HideTWBExt"/>
          <w:b w:val="0"/>
          <w:noProof w:val="0"/>
        </w:rPr>
        <w:t>&lt;Article&gt;</w:t>
      </w:r>
      <w:r w:rsidRPr="00992414">
        <w:t>Článok 6 – odsek 1</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04BA39C6" w14:textId="77777777" w:rsidTr="00376950">
        <w:trPr>
          <w:jc w:val="center"/>
        </w:trPr>
        <w:tc>
          <w:tcPr>
            <w:tcW w:w="9752" w:type="dxa"/>
            <w:gridSpan w:val="2"/>
          </w:tcPr>
          <w:p w14:paraId="7E4052ED" w14:textId="77777777" w:rsidR="00376950" w:rsidRPr="00992414" w:rsidRDefault="00376950">
            <w:pPr>
              <w:keepNext/>
            </w:pPr>
          </w:p>
        </w:tc>
      </w:tr>
      <w:tr w:rsidR="00376950" w:rsidRPr="00992414" w14:paraId="070C7D71" w14:textId="77777777" w:rsidTr="00376950">
        <w:trPr>
          <w:jc w:val="center"/>
        </w:trPr>
        <w:tc>
          <w:tcPr>
            <w:tcW w:w="4876" w:type="dxa"/>
            <w:hideMark/>
          </w:tcPr>
          <w:p w14:paraId="77471527" w14:textId="77777777" w:rsidR="00376950" w:rsidRPr="00992414" w:rsidRDefault="00376950">
            <w:pPr>
              <w:pStyle w:val="ColumnHeading"/>
              <w:keepNext/>
            </w:pPr>
            <w:r w:rsidRPr="00992414">
              <w:t>Text predložený Komisiou</w:t>
            </w:r>
          </w:p>
        </w:tc>
        <w:tc>
          <w:tcPr>
            <w:tcW w:w="4876" w:type="dxa"/>
            <w:hideMark/>
          </w:tcPr>
          <w:p w14:paraId="7D036A28" w14:textId="77777777" w:rsidR="00376950" w:rsidRPr="00992414" w:rsidRDefault="00376950">
            <w:pPr>
              <w:pStyle w:val="ColumnHeading"/>
              <w:keepNext/>
            </w:pPr>
            <w:r w:rsidRPr="00992414">
              <w:t>Pozmeňujúci návrh</w:t>
            </w:r>
          </w:p>
        </w:tc>
      </w:tr>
      <w:tr w:rsidR="00376950" w:rsidRPr="00992414" w14:paraId="061B403F" w14:textId="77777777" w:rsidTr="00376950">
        <w:trPr>
          <w:jc w:val="center"/>
        </w:trPr>
        <w:tc>
          <w:tcPr>
            <w:tcW w:w="4876" w:type="dxa"/>
            <w:hideMark/>
          </w:tcPr>
          <w:p w14:paraId="053503BD" w14:textId="77777777" w:rsidR="00376950" w:rsidRPr="00992414" w:rsidRDefault="00376950">
            <w:pPr>
              <w:pStyle w:val="Normal6"/>
            </w:pPr>
            <w:r w:rsidRPr="00992414">
              <w:t>1.</w:t>
            </w:r>
            <w:r w:rsidRPr="00992414">
              <w:tab/>
              <w:t xml:space="preserve">V prípade, že príslušné orgány zistia, že </w:t>
            </w:r>
            <w:r w:rsidRPr="00992414">
              <w:rPr>
                <w:b/>
                <w:i/>
              </w:rPr>
              <w:t>určitá fyzická osoba</w:t>
            </w:r>
            <w:r w:rsidRPr="00992414">
              <w:t xml:space="preserve"> vstupuje do Únie, resp. Úniu opúšťa, so sumou peňažných prostriedkov v hotovosti pod hranicou uvedenou v článku 3, a ak </w:t>
            </w:r>
            <w:r w:rsidRPr="00992414">
              <w:rPr>
                <w:b/>
                <w:i/>
              </w:rPr>
              <w:t>sú na základe analýzy rizika</w:t>
            </w:r>
            <w:r w:rsidRPr="00992414">
              <w:t xml:space="preserve"> náznaky, že tieto peňažné prostriedky v hotovosti súvisia s trestnou činnosťou, príslušné orgány zaznamenajú túto informáciu</w:t>
            </w:r>
            <w:r w:rsidRPr="00992414">
              <w:rPr>
                <w:b/>
                <w:i/>
              </w:rPr>
              <w:t>, celé meno, adresu, dátum a miesto narodenia a štátnu príslušnosť tejto osoby, ako aj informáciu o použitom dopravnom prostriedku</w:t>
            </w:r>
            <w:r w:rsidRPr="00992414">
              <w:t>.</w:t>
            </w:r>
          </w:p>
        </w:tc>
        <w:tc>
          <w:tcPr>
            <w:tcW w:w="4876" w:type="dxa"/>
            <w:hideMark/>
          </w:tcPr>
          <w:p w14:paraId="5DDD192A" w14:textId="659302DC" w:rsidR="00376950" w:rsidRPr="00992414" w:rsidRDefault="00376950" w:rsidP="00A16CCF">
            <w:pPr>
              <w:pStyle w:val="Normal6"/>
              <w:rPr>
                <w:szCs w:val="24"/>
              </w:rPr>
            </w:pPr>
            <w:r w:rsidRPr="00992414">
              <w:t>1.</w:t>
            </w:r>
            <w:r w:rsidRPr="00992414">
              <w:tab/>
              <w:t xml:space="preserve">V prípade, že príslušné orgány zistia, že </w:t>
            </w:r>
            <w:r w:rsidRPr="00992414">
              <w:rPr>
                <w:b/>
                <w:i/>
              </w:rPr>
              <w:t>určitý prepravca</w:t>
            </w:r>
            <w:r w:rsidRPr="00992414">
              <w:t xml:space="preserve"> vstupuje do Únie, resp. Úniu opúšťa, so sumou peňažných prostriedkov v hotovosti pod hranicou uvedenou v článku 3, a ak </w:t>
            </w:r>
            <w:r w:rsidRPr="00992414">
              <w:rPr>
                <w:b/>
                <w:i/>
              </w:rPr>
              <w:t>existujú</w:t>
            </w:r>
            <w:r w:rsidRPr="00992414">
              <w:t xml:space="preserve"> náznaky, že tieto peňažné prostriedky v hotovosti súvisia s trestnou činnosťou, príslušné orgány zaznamenajú túto informáciu</w:t>
            </w:r>
            <w:r w:rsidRPr="00992414">
              <w:rPr>
                <w:b/>
                <w:i/>
              </w:rPr>
              <w:t xml:space="preserve"> aj podrobnosti stanovené v článku 3 ods. 2</w:t>
            </w:r>
            <w:r w:rsidRPr="00992414">
              <w:t>.</w:t>
            </w:r>
          </w:p>
        </w:tc>
      </w:tr>
    </w:tbl>
    <w:p w14:paraId="634E8A89" w14:textId="77777777" w:rsidR="00376950" w:rsidRPr="00992414" w:rsidRDefault="00376950" w:rsidP="00376950">
      <w:r w:rsidRPr="00992414">
        <w:rPr>
          <w:rStyle w:val="HideTWBExt"/>
          <w:noProof w:val="0"/>
        </w:rPr>
        <w:t>&lt;/Amend&gt;</w:t>
      </w:r>
    </w:p>
    <w:p w14:paraId="572596B7" w14:textId="39387D45"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63</w:t>
      </w:r>
      <w:r w:rsidRPr="00992414">
        <w:rPr>
          <w:rStyle w:val="HideTWBExt"/>
          <w:b w:val="0"/>
          <w:noProof w:val="0"/>
        </w:rPr>
        <w:t>&lt;/NumAm&gt;</w:t>
      </w:r>
    </w:p>
    <w:p w14:paraId="5813C85D"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09FA887B" w14:textId="77777777" w:rsidR="00376950" w:rsidRPr="00992414" w:rsidRDefault="00376950" w:rsidP="00376950">
      <w:pPr>
        <w:pStyle w:val="NormalBold"/>
      </w:pPr>
      <w:r w:rsidRPr="00992414">
        <w:rPr>
          <w:rStyle w:val="HideTWBExt"/>
          <w:b w:val="0"/>
          <w:noProof w:val="0"/>
        </w:rPr>
        <w:t>&lt;Article&gt;</w:t>
      </w:r>
      <w:r w:rsidRPr="00992414">
        <w:t>Článok 6 – odsek 2</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599F0C26" w14:textId="77777777" w:rsidTr="00376950">
        <w:trPr>
          <w:jc w:val="center"/>
        </w:trPr>
        <w:tc>
          <w:tcPr>
            <w:tcW w:w="9752" w:type="dxa"/>
            <w:gridSpan w:val="2"/>
          </w:tcPr>
          <w:p w14:paraId="6B52915A" w14:textId="77777777" w:rsidR="00376950" w:rsidRPr="00992414" w:rsidRDefault="00376950">
            <w:pPr>
              <w:keepNext/>
            </w:pPr>
          </w:p>
        </w:tc>
      </w:tr>
      <w:tr w:rsidR="00376950" w:rsidRPr="00992414" w14:paraId="7ECB305F" w14:textId="77777777" w:rsidTr="00376950">
        <w:trPr>
          <w:jc w:val="center"/>
        </w:trPr>
        <w:tc>
          <w:tcPr>
            <w:tcW w:w="4876" w:type="dxa"/>
            <w:hideMark/>
          </w:tcPr>
          <w:p w14:paraId="45A201B8" w14:textId="77777777" w:rsidR="00376950" w:rsidRPr="00992414" w:rsidRDefault="00376950">
            <w:pPr>
              <w:pStyle w:val="ColumnHeading"/>
              <w:keepNext/>
            </w:pPr>
            <w:r w:rsidRPr="00992414">
              <w:t>Text predložený Komisiou</w:t>
            </w:r>
          </w:p>
        </w:tc>
        <w:tc>
          <w:tcPr>
            <w:tcW w:w="4876" w:type="dxa"/>
            <w:hideMark/>
          </w:tcPr>
          <w:p w14:paraId="7328C99B" w14:textId="77777777" w:rsidR="00376950" w:rsidRPr="00992414" w:rsidRDefault="00376950">
            <w:pPr>
              <w:pStyle w:val="ColumnHeading"/>
              <w:keepNext/>
            </w:pPr>
            <w:r w:rsidRPr="00992414">
              <w:t>Pozmeňujúci návrh</w:t>
            </w:r>
          </w:p>
        </w:tc>
      </w:tr>
      <w:tr w:rsidR="00376950" w:rsidRPr="00992414" w14:paraId="6ACED1F5" w14:textId="77777777" w:rsidTr="00376950">
        <w:trPr>
          <w:jc w:val="center"/>
        </w:trPr>
        <w:tc>
          <w:tcPr>
            <w:tcW w:w="4876" w:type="dxa"/>
            <w:hideMark/>
          </w:tcPr>
          <w:p w14:paraId="540BB076" w14:textId="77777777" w:rsidR="00376950" w:rsidRPr="00992414" w:rsidRDefault="00376950">
            <w:pPr>
              <w:pStyle w:val="Normal6"/>
            </w:pPr>
            <w:r w:rsidRPr="00992414">
              <w:t>2.</w:t>
            </w:r>
            <w:r w:rsidRPr="00992414">
              <w:tab/>
              <w:t>V prípade, že príslušné orgány zistia, že určitá zásielka peňažných prostriedkov v hotovosti bez sprievodu v sume pod hranicou uvedenou v článku 4 vstupuje do Únie, resp. Úniu opúšťa</w:t>
            </w:r>
            <w:r w:rsidRPr="00992414">
              <w:rPr>
                <w:b/>
                <w:i/>
              </w:rPr>
              <w:t>,</w:t>
            </w:r>
            <w:r w:rsidRPr="00992414">
              <w:t xml:space="preserve"> a ak </w:t>
            </w:r>
            <w:r w:rsidRPr="00992414">
              <w:rPr>
                <w:b/>
                <w:i/>
              </w:rPr>
              <w:t>sú na základe analýzy rizika</w:t>
            </w:r>
            <w:r w:rsidRPr="00992414">
              <w:t xml:space="preserve"> náznaky, že tieto peňažné prostriedky v hotovosti súvisia s trestnou činnosťou, príslušné orgány zaznamenajú túto informáciu</w:t>
            </w:r>
            <w:r w:rsidRPr="00992414">
              <w:rPr>
                <w:b/>
                <w:i/>
              </w:rPr>
              <w:t>, celé meno, adresu, dátum a miesto narodenia a štátnu príslušnosť odosielateľa, zamýšľaného príjemcu, resp. ich zástupcu, ako</w:t>
            </w:r>
            <w:r w:rsidRPr="00992414">
              <w:t xml:space="preserve"> aj </w:t>
            </w:r>
            <w:r w:rsidRPr="00992414">
              <w:rPr>
                <w:b/>
                <w:i/>
              </w:rPr>
              <w:t>informáciu o tom, aký druh zásielky bol použitý</w:t>
            </w:r>
            <w:r w:rsidRPr="00992414">
              <w:t>.</w:t>
            </w:r>
          </w:p>
        </w:tc>
        <w:tc>
          <w:tcPr>
            <w:tcW w:w="4876" w:type="dxa"/>
            <w:hideMark/>
          </w:tcPr>
          <w:p w14:paraId="5F7D73C2" w14:textId="53E1A1B7" w:rsidR="00376950" w:rsidRPr="00992414" w:rsidRDefault="00376950" w:rsidP="007F113B">
            <w:pPr>
              <w:pStyle w:val="Normal6"/>
              <w:rPr>
                <w:szCs w:val="24"/>
              </w:rPr>
            </w:pPr>
            <w:r w:rsidRPr="00992414">
              <w:t>2.</w:t>
            </w:r>
            <w:r w:rsidRPr="00992414">
              <w:tab/>
              <w:t xml:space="preserve">V prípade, že príslušné orgány zistia, že určitá zásielka peňažných prostriedkov v hotovosti bez sprievodu v sume pod hranicou uvedenou v článku 4 vstupuje do Únie, resp. Úniu opúšťa a ak </w:t>
            </w:r>
            <w:r w:rsidRPr="00992414">
              <w:rPr>
                <w:b/>
                <w:i/>
              </w:rPr>
              <w:t>existujú</w:t>
            </w:r>
            <w:r w:rsidRPr="00992414">
              <w:t xml:space="preserve"> náznaky, že tieto peňažné prostriedky v hotovosti súvisia s trestnou činnosťou, príslušné orgány zaznamenajú túto informáciu aj </w:t>
            </w:r>
            <w:r w:rsidRPr="00992414">
              <w:rPr>
                <w:b/>
                <w:i/>
              </w:rPr>
              <w:t>podrobnosti uvedené v článku 4 ods. 2</w:t>
            </w:r>
            <w:r w:rsidRPr="00992414">
              <w:t>.</w:t>
            </w:r>
          </w:p>
        </w:tc>
      </w:tr>
    </w:tbl>
    <w:p w14:paraId="597051D4" w14:textId="77777777" w:rsidR="00376950" w:rsidRPr="00992414" w:rsidRDefault="00376950" w:rsidP="00376950">
      <w:r w:rsidRPr="00992414">
        <w:rPr>
          <w:rStyle w:val="HideTWBExt"/>
          <w:noProof w:val="0"/>
        </w:rPr>
        <w:t>&lt;/Amend&gt;</w:t>
      </w:r>
    </w:p>
    <w:p w14:paraId="450006FC" w14:textId="462044D1"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64</w:t>
      </w:r>
      <w:r w:rsidRPr="00992414">
        <w:rPr>
          <w:rStyle w:val="HideTWBExt"/>
          <w:b w:val="0"/>
          <w:noProof w:val="0"/>
        </w:rPr>
        <w:t>&lt;/NumAm&gt;</w:t>
      </w:r>
    </w:p>
    <w:p w14:paraId="2D18CAA3"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2B22A7EE" w14:textId="77777777" w:rsidR="00376950" w:rsidRPr="00992414" w:rsidRDefault="00376950" w:rsidP="00376950">
      <w:pPr>
        <w:pStyle w:val="NormalBold"/>
      </w:pPr>
      <w:r w:rsidRPr="00992414">
        <w:rPr>
          <w:rStyle w:val="HideTWBExt"/>
          <w:b w:val="0"/>
          <w:noProof w:val="0"/>
        </w:rPr>
        <w:t>&lt;Article&gt;</w:t>
      </w:r>
      <w:r w:rsidRPr="00992414">
        <w:t>Článok 7 – odsek 1 – písmeno b</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3C2C6A82" w14:textId="77777777" w:rsidTr="00376950">
        <w:trPr>
          <w:jc w:val="center"/>
        </w:trPr>
        <w:tc>
          <w:tcPr>
            <w:tcW w:w="9752" w:type="dxa"/>
            <w:gridSpan w:val="2"/>
          </w:tcPr>
          <w:p w14:paraId="6B9131B2" w14:textId="77777777" w:rsidR="00376950" w:rsidRPr="00992414" w:rsidRDefault="00376950">
            <w:pPr>
              <w:keepNext/>
            </w:pPr>
          </w:p>
        </w:tc>
      </w:tr>
      <w:tr w:rsidR="00376950" w:rsidRPr="00992414" w14:paraId="54ABA726" w14:textId="77777777" w:rsidTr="00376950">
        <w:trPr>
          <w:jc w:val="center"/>
        </w:trPr>
        <w:tc>
          <w:tcPr>
            <w:tcW w:w="4876" w:type="dxa"/>
            <w:hideMark/>
          </w:tcPr>
          <w:p w14:paraId="0EFEC5FC" w14:textId="77777777" w:rsidR="00376950" w:rsidRPr="00992414" w:rsidRDefault="00376950">
            <w:pPr>
              <w:pStyle w:val="ColumnHeading"/>
              <w:keepNext/>
            </w:pPr>
            <w:r w:rsidRPr="00992414">
              <w:t>Text predložený Komisiou</w:t>
            </w:r>
          </w:p>
        </w:tc>
        <w:tc>
          <w:tcPr>
            <w:tcW w:w="4876" w:type="dxa"/>
            <w:hideMark/>
          </w:tcPr>
          <w:p w14:paraId="5EFE1655" w14:textId="77777777" w:rsidR="00376950" w:rsidRPr="00992414" w:rsidRDefault="00376950">
            <w:pPr>
              <w:pStyle w:val="ColumnHeading"/>
              <w:keepNext/>
            </w:pPr>
            <w:r w:rsidRPr="00992414">
              <w:t>Pozmeňujúci návrh</w:t>
            </w:r>
          </w:p>
        </w:tc>
      </w:tr>
      <w:tr w:rsidR="00376950" w:rsidRPr="00992414" w14:paraId="68B3F513" w14:textId="77777777" w:rsidTr="00376950">
        <w:trPr>
          <w:jc w:val="center"/>
        </w:trPr>
        <w:tc>
          <w:tcPr>
            <w:tcW w:w="4876" w:type="dxa"/>
            <w:hideMark/>
          </w:tcPr>
          <w:p w14:paraId="583848B3" w14:textId="77777777" w:rsidR="00376950" w:rsidRPr="00992414" w:rsidRDefault="00376950">
            <w:pPr>
              <w:pStyle w:val="Normal6"/>
            </w:pPr>
            <w:r w:rsidRPr="00992414">
              <w:t>b)</w:t>
            </w:r>
            <w:r w:rsidRPr="00992414">
              <w:tab/>
              <w:t>sú náznaky, že peňažné prostriedky v hotovosti súvisia s trestnou činnosťou</w:t>
            </w:r>
            <w:r w:rsidRPr="00992414">
              <w:rPr>
                <w:b/>
                <w:i/>
              </w:rPr>
              <w:t>, bez ohľadu na to, či ich prepravuje fyzická osoba, resp. či ide o peňažné prostriedky v hotovosti bez sprievodu.</w:t>
            </w:r>
          </w:p>
        </w:tc>
        <w:tc>
          <w:tcPr>
            <w:tcW w:w="4876" w:type="dxa"/>
            <w:hideMark/>
          </w:tcPr>
          <w:p w14:paraId="0249EA73" w14:textId="77777777" w:rsidR="00376950" w:rsidRPr="00992414" w:rsidRDefault="00376950">
            <w:pPr>
              <w:pStyle w:val="Normal6"/>
              <w:rPr>
                <w:szCs w:val="24"/>
              </w:rPr>
            </w:pPr>
            <w:r w:rsidRPr="00992414">
              <w:t>b)</w:t>
            </w:r>
            <w:r w:rsidRPr="00992414">
              <w:tab/>
              <w:t>sú náznaky, že peňažné prostriedky v hotovosti súvisia s trestnou činnosťou</w:t>
            </w:r>
            <w:r w:rsidRPr="00992414">
              <w:rPr>
                <w:b/>
                <w:i/>
              </w:rPr>
              <w:t>;</w:t>
            </w:r>
          </w:p>
        </w:tc>
      </w:tr>
    </w:tbl>
    <w:p w14:paraId="20C02557" w14:textId="77777777" w:rsidR="00376950" w:rsidRPr="00992414" w:rsidRDefault="00376950" w:rsidP="00376950">
      <w:r w:rsidRPr="00992414">
        <w:rPr>
          <w:rStyle w:val="HideTWBExt"/>
          <w:noProof w:val="0"/>
        </w:rPr>
        <w:t>&lt;/Amend&gt;</w:t>
      </w:r>
    </w:p>
    <w:p w14:paraId="06652C83" w14:textId="28D8D494"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65</w:t>
      </w:r>
      <w:r w:rsidRPr="00992414">
        <w:rPr>
          <w:rStyle w:val="HideTWBExt"/>
          <w:b w:val="0"/>
          <w:noProof w:val="0"/>
        </w:rPr>
        <w:t>&lt;/NumAm&gt;</w:t>
      </w:r>
    </w:p>
    <w:p w14:paraId="72695004"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4D2F8CA8" w14:textId="77777777" w:rsidR="00376950" w:rsidRPr="00992414" w:rsidRDefault="00376950" w:rsidP="00376950">
      <w:pPr>
        <w:pStyle w:val="NormalBold"/>
      </w:pPr>
      <w:r w:rsidRPr="00992414">
        <w:rPr>
          <w:rStyle w:val="HideTWBExt"/>
          <w:b w:val="0"/>
          <w:noProof w:val="0"/>
        </w:rPr>
        <w:t>&lt;Article&gt;</w:t>
      </w:r>
      <w:r w:rsidRPr="00992414">
        <w:t>Článok 7 – odsek 2</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4867B618" w14:textId="77777777" w:rsidTr="00376950">
        <w:trPr>
          <w:jc w:val="center"/>
        </w:trPr>
        <w:tc>
          <w:tcPr>
            <w:tcW w:w="9752" w:type="dxa"/>
            <w:gridSpan w:val="2"/>
          </w:tcPr>
          <w:p w14:paraId="3433F5C1" w14:textId="77777777" w:rsidR="00376950" w:rsidRPr="00992414" w:rsidRDefault="00376950">
            <w:pPr>
              <w:keepNext/>
            </w:pPr>
          </w:p>
        </w:tc>
      </w:tr>
      <w:tr w:rsidR="00376950" w:rsidRPr="00992414" w14:paraId="58AC40BE" w14:textId="77777777" w:rsidTr="00376950">
        <w:trPr>
          <w:jc w:val="center"/>
        </w:trPr>
        <w:tc>
          <w:tcPr>
            <w:tcW w:w="4876" w:type="dxa"/>
            <w:hideMark/>
          </w:tcPr>
          <w:p w14:paraId="4DC18D69" w14:textId="77777777" w:rsidR="00376950" w:rsidRPr="00992414" w:rsidRDefault="00376950">
            <w:pPr>
              <w:pStyle w:val="ColumnHeading"/>
              <w:keepNext/>
            </w:pPr>
            <w:r w:rsidRPr="00992414">
              <w:t>Text predložený Komisiou</w:t>
            </w:r>
          </w:p>
        </w:tc>
        <w:tc>
          <w:tcPr>
            <w:tcW w:w="4876" w:type="dxa"/>
            <w:hideMark/>
          </w:tcPr>
          <w:p w14:paraId="155AD50E" w14:textId="77777777" w:rsidR="00376950" w:rsidRPr="00992414" w:rsidRDefault="00376950">
            <w:pPr>
              <w:pStyle w:val="ColumnHeading"/>
              <w:keepNext/>
            </w:pPr>
            <w:r w:rsidRPr="00992414">
              <w:t>Pozmeňujúci návrh</w:t>
            </w:r>
          </w:p>
        </w:tc>
      </w:tr>
      <w:tr w:rsidR="00376950" w:rsidRPr="00992414" w14:paraId="2F22D352" w14:textId="77777777" w:rsidTr="00376950">
        <w:trPr>
          <w:jc w:val="center"/>
        </w:trPr>
        <w:tc>
          <w:tcPr>
            <w:tcW w:w="4876" w:type="dxa"/>
            <w:hideMark/>
          </w:tcPr>
          <w:p w14:paraId="633C9DE0" w14:textId="77777777" w:rsidR="00376950" w:rsidRPr="00992414" w:rsidRDefault="00376950">
            <w:pPr>
              <w:pStyle w:val="Normal6"/>
            </w:pPr>
            <w:r w:rsidRPr="00992414">
              <w:t>2.</w:t>
            </w:r>
            <w:r w:rsidRPr="00992414">
              <w:tab/>
              <w:t xml:space="preserve">Správne rozhodnutie podľa odseku 1 </w:t>
            </w:r>
            <w:r w:rsidRPr="00992414">
              <w:rPr>
                <w:b/>
                <w:i/>
              </w:rPr>
              <w:t>bude sprevádzať uvedenie dôvodov</w:t>
            </w:r>
            <w:r w:rsidRPr="00992414">
              <w:t xml:space="preserve">, </w:t>
            </w:r>
            <w:r w:rsidRPr="00992414">
              <w:rPr>
                <w:b/>
                <w:i/>
              </w:rPr>
              <w:t>oznámi</w:t>
            </w:r>
            <w:r w:rsidRPr="00992414">
              <w:t xml:space="preserve"> sa</w:t>
            </w:r>
            <w:r w:rsidRPr="00992414">
              <w:rPr>
                <w:b/>
                <w:i/>
              </w:rPr>
              <w:t xml:space="preserve"> dotknutej osobe</w:t>
            </w:r>
            <w:r w:rsidRPr="00992414">
              <w:t xml:space="preserve"> v čase </w:t>
            </w:r>
            <w:r w:rsidRPr="00992414">
              <w:rPr>
                <w:b/>
                <w:i/>
              </w:rPr>
              <w:t xml:space="preserve">jeho </w:t>
            </w:r>
            <w:r w:rsidRPr="00992414">
              <w:t>vydania</w:t>
            </w:r>
            <w:r w:rsidRPr="00992414">
              <w:rPr>
                <w:b/>
                <w:i/>
              </w:rPr>
              <w:t>, a bude možné voči nemu uplatniť účinný prostriedok nápravy v súlade s postupmi stanovenými vo vnútroštátnych právnych predpisoch.</w:t>
            </w:r>
          </w:p>
        </w:tc>
        <w:tc>
          <w:tcPr>
            <w:tcW w:w="4876" w:type="dxa"/>
            <w:hideMark/>
          </w:tcPr>
          <w:p w14:paraId="278186F3" w14:textId="77777777" w:rsidR="00376950" w:rsidRPr="00992414" w:rsidRDefault="00376950">
            <w:pPr>
              <w:pStyle w:val="Normal6"/>
              <w:rPr>
                <w:szCs w:val="24"/>
              </w:rPr>
            </w:pPr>
            <w:r w:rsidRPr="00992414">
              <w:t>2.</w:t>
            </w:r>
            <w:r w:rsidRPr="00992414">
              <w:tab/>
              <w:t xml:space="preserve">Správne rozhodnutie podľa odseku 1 </w:t>
            </w:r>
            <w:r w:rsidRPr="00992414">
              <w:rPr>
                <w:b/>
                <w:i/>
              </w:rPr>
              <w:t>sprevádza zdôvodnenie</w:t>
            </w:r>
            <w:r w:rsidRPr="00992414">
              <w:t xml:space="preserve">, </w:t>
            </w:r>
            <w:r w:rsidRPr="00992414">
              <w:rPr>
                <w:b/>
                <w:i/>
              </w:rPr>
              <w:t>pričom</w:t>
            </w:r>
            <w:r w:rsidRPr="00992414">
              <w:t xml:space="preserve"> sa v čase vydania</w:t>
            </w:r>
            <w:r w:rsidRPr="00992414">
              <w:rPr>
                <w:b/>
                <w:i/>
              </w:rPr>
              <w:t xml:space="preserve"> oznámi:</w:t>
            </w:r>
          </w:p>
        </w:tc>
      </w:tr>
      <w:tr w:rsidR="000E54D6" w:rsidRPr="00992414" w14:paraId="7DE1F5ED" w14:textId="77777777" w:rsidTr="00376950">
        <w:trPr>
          <w:jc w:val="center"/>
        </w:trPr>
        <w:tc>
          <w:tcPr>
            <w:tcW w:w="4876" w:type="dxa"/>
          </w:tcPr>
          <w:p w14:paraId="6D1BFBCA" w14:textId="77777777" w:rsidR="000E54D6" w:rsidRPr="00992414" w:rsidRDefault="000E54D6">
            <w:pPr>
              <w:pStyle w:val="Normal6"/>
            </w:pPr>
          </w:p>
        </w:tc>
        <w:tc>
          <w:tcPr>
            <w:tcW w:w="4876" w:type="dxa"/>
          </w:tcPr>
          <w:p w14:paraId="65977149" w14:textId="13DD98CD" w:rsidR="000E54D6" w:rsidRPr="00992414" w:rsidRDefault="000E54D6">
            <w:pPr>
              <w:pStyle w:val="Normal6"/>
            </w:pPr>
            <w:r w:rsidRPr="00992414">
              <w:rPr>
                <w:b/>
                <w:i/>
              </w:rPr>
              <w:t>a)</w:t>
            </w:r>
            <w:r w:rsidRPr="00992414">
              <w:rPr>
                <w:b/>
                <w:i/>
              </w:rPr>
              <w:tab/>
              <w:t>osobe povinnej vykonať oznámenie v súlade s článkom 3 alebo povinné oznámenie v súlade s článkom 4; alebo</w:t>
            </w:r>
          </w:p>
        </w:tc>
      </w:tr>
      <w:tr w:rsidR="000E54D6" w:rsidRPr="00992414" w14:paraId="5EFBBDFC" w14:textId="77777777" w:rsidTr="00376950">
        <w:trPr>
          <w:jc w:val="center"/>
        </w:trPr>
        <w:tc>
          <w:tcPr>
            <w:tcW w:w="4876" w:type="dxa"/>
          </w:tcPr>
          <w:p w14:paraId="69BF3723" w14:textId="77777777" w:rsidR="000E54D6" w:rsidRPr="00992414" w:rsidRDefault="000E54D6">
            <w:pPr>
              <w:pStyle w:val="Normal6"/>
            </w:pPr>
          </w:p>
        </w:tc>
        <w:tc>
          <w:tcPr>
            <w:tcW w:w="4876" w:type="dxa"/>
          </w:tcPr>
          <w:p w14:paraId="67B32768" w14:textId="0BB3E6AA" w:rsidR="000E54D6" w:rsidRPr="00992414" w:rsidRDefault="000E54D6">
            <w:pPr>
              <w:pStyle w:val="Normal6"/>
              <w:rPr>
                <w:b/>
                <w:i/>
              </w:rPr>
            </w:pPr>
            <w:r w:rsidRPr="00992414">
              <w:rPr>
                <w:b/>
                <w:i/>
              </w:rPr>
              <w:t>b)</w:t>
            </w:r>
            <w:r w:rsidRPr="00992414">
              <w:rPr>
                <w:b/>
                <w:i/>
              </w:rPr>
              <w:tab/>
              <w:t>prepravcovi a vlastníkovi v situáciách uvedených v článku 6 ods. 1 alebo vlastníkovi, zamýšľanému príjemcovi a odosielateľovi v situáciách uvedených v článku 6 ods. 2.</w:t>
            </w:r>
          </w:p>
        </w:tc>
      </w:tr>
    </w:tbl>
    <w:p w14:paraId="545ACB5D" w14:textId="77777777" w:rsidR="00376950" w:rsidRPr="00992414" w:rsidRDefault="00376950" w:rsidP="00376950">
      <w:pPr>
        <w:rPr>
          <w:rStyle w:val="HideTWBExt"/>
          <w:noProof w:val="0"/>
        </w:rPr>
      </w:pPr>
      <w:r w:rsidRPr="00992414">
        <w:rPr>
          <w:rStyle w:val="HideTWBExt"/>
          <w:noProof w:val="0"/>
        </w:rPr>
        <w:t>&lt;/Amend&gt;</w:t>
      </w:r>
    </w:p>
    <w:p w14:paraId="52EF738A" w14:textId="35A809F1" w:rsidR="00287424" w:rsidRPr="00992414" w:rsidRDefault="00287424" w:rsidP="00287424">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66</w:t>
      </w:r>
      <w:r w:rsidRPr="00992414">
        <w:rPr>
          <w:rStyle w:val="HideTWBExt"/>
          <w:b w:val="0"/>
          <w:noProof w:val="0"/>
        </w:rPr>
        <w:t>&lt;/NumAm&gt;</w:t>
      </w:r>
    </w:p>
    <w:p w14:paraId="47304981" w14:textId="77777777" w:rsidR="00287424" w:rsidRPr="00992414" w:rsidRDefault="00287424" w:rsidP="00287424">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2280A192" w14:textId="77777777" w:rsidR="00287424" w:rsidRPr="00992414" w:rsidRDefault="00287424" w:rsidP="00287424">
      <w:pPr>
        <w:pStyle w:val="NormalBold"/>
      </w:pPr>
      <w:r w:rsidRPr="00992414">
        <w:rPr>
          <w:rStyle w:val="HideTWBExt"/>
          <w:b w:val="0"/>
          <w:noProof w:val="0"/>
        </w:rPr>
        <w:t>&lt;Article&gt;</w:t>
      </w:r>
      <w:r w:rsidRPr="00992414">
        <w:t>Článok 7 – odsek 2 a (nový)</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7424" w:rsidRPr="00992414" w14:paraId="4A496FA9" w14:textId="77777777" w:rsidTr="001108A3">
        <w:trPr>
          <w:jc w:val="center"/>
        </w:trPr>
        <w:tc>
          <w:tcPr>
            <w:tcW w:w="9752" w:type="dxa"/>
            <w:gridSpan w:val="2"/>
          </w:tcPr>
          <w:p w14:paraId="3BC3315C" w14:textId="77777777" w:rsidR="00287424" w:rsidRPr="00992414" w:rsidRDefault="00287424" w:rsidP="001108A3">
            <w:pPr>
              <w:keepNext/>
            </w:pPr>
          </w:p>
        </w:tc>
      </w:tr>
      <w:tr w:rsidR="00287424" w:rsidRPr="00992414" w14:paraId="3A27435D" w14:textId="77777777" w:rsidTr="001108A3">
        <w:trPr>
          <w:jc w:val="center"/>
        </w:trPr>
        <w:tc>
          <w:tcPr>
            <w:tcW w:w="4876" w:type="dxa"/>
            <w:hideMark/>
          </w:tcPr>
          <w:p w14:paraId="7E4D8D0B" w14:textId="77777777" w:rsidR="00287424" w:rsidRPr="00992414" w:rsidRDefault="00287424" w:rsidP="001108A3">
            <w:pPr>
              <w:pStyle w:val="ColumnHeading"/>
              <w:keepNext/>
            </w:pPr>
            <w:r w:rsidRPr="00992414">
              <w:t>Text predložený Komisiou</w:t>
            </w:r>
          </w:p>
        </w:tc>
        <w:tc>
          <w:tcPr>
            <w:tcW w:w="4876" w:type="dxa"/>
            <w:hideMark/>
          </w:tcPr>
          <w:p w14:paraId="0028D95C" w14:textId="77777777" w:rsidR="00287424" w:rsidRPr="00992414" w:rsidRDefault="00287424" w:rsidP="001108A3">
            <w:pPr>
              <w:pStyle w:val="ColumnHeading"/>
              <w:keepNext/>
            </w:pPr>
            <w:r w:rsidRPr="00992414">
              <w:t>Pozmeňujúci návrh</w:t>
            </w:r>
          </w:p>
        </w:tc>
      </w:tr>
      <w:tr w:rsidR="00287424" w:rsidRPr="00992414" w14:paraId="7BD2A4EC" w14:textId="77777777" w:rsidTr="001108A3">
        <w:trPr>
          <w:jc w:val="center"/>
        </w:trPr>
        <w:tc>
          <w:tcPr>
            <w:tcW w:w="4876" w:type="dxa"/>
          </w:tcPr>
          <w:p w14:paraId="0F500F52" w14:textId="77777777" w:rsidR="00287424" w:rsidRPr="00992414" w:rsidRDefault="00287424" w:rsidP="001108A3">
            <w:pPr>
              <w:pStyle w:val="Normal6"/>
            </w:pPr>
          </w:p>
        </w:tc>
        <w:tc>
          <w:tcPr>
            <w:tcW w:w="4876" w:type="dxa"/>
            <w:hideMark/>
          </w:tcPr>
          <w:p w14:paraId="0D687810" w14:textId="21A65101" w:rsidR="00287424" w:rsidRPr="00992414" w:rsidRDefault="00A72E51" w:rsidP="001108A3">
            <w:pPr>
              <w:pStyle w:val="Normal6"/>
              <w:rPr>
                <w:szCs w:val="24"/>
              </w:rPr>
            </w:pPr>
            <w:r w:rsidRPr="00992414">
              <w:rPr>
                <w:b/>
                <w:i/>
              </w:rPr>
              <w:t>2a.</w:t>
            </w:r>
            <w:r w:rsidRPr="00992414">
              <w:rPr>
                <w:b/>
                <w:i/>
              </w:rPr>
              <w:tab/>
              <w:t>Správne rozhodnutie uvedené v odseku 1 podlieha účinným prostriedkom nápravy v súlade s postupmi stanovenými vo vnútroštátnom práve.</w:t>
            </w:r>
          </w:p>
        </w:tc>
      </w:tr>
    </w:tbl>
    <w:p w14:paraId="3FF92217" w14:textId="77777777" w:rsidR="00287424" w:rsidRPr="00992414" w:rsidRDefault="00287424" w:rsidP="00287424">
      <w:pPr>
        <w:rPr>
          <w:szCs w:val="24"/>
        </w:rPr>
      </w:pPr>
      <w:r w:rsidRPr="00992414">
        <w:rPr>
          <w:rStyle w:val="HideTWBExt"/>
          <w:noProof w:val="0"/>
        </w:rPr>
        <w:t>&lt;/Amend&gt;</w:t>
      </w:r>
    </w:p>
    <w:p w14:paraId="539DB075" w14:textId="23B40193"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67</w:t>
      </w:r>
      <w:r w:rsidRPr="00992414">
        <w:rPr>
          <w:rStyle w:val="HideTWBExt"/>
          <w:b w:val="0"/>
          <w:noProof w:val="0"/>
        </w:rPr>
        <w:t>&lt;/NumAm&gt;</w:t>
      </w:r>
    </w:p>
    <w:p w14:paraId="63876C1E"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5D4B9F27" w14:textId="77777777" w:rsidR="00376950" w:rsidRPr="00992414" w:rsidRDefault="00376950" w:rsidP="00376950">
      <w:pPr>
        <w:pStyle w:val="NormalBold"/>
      </w:pPr>
      <w:r w:rsidRPr="00992414">
        <w:rPr>
          <w:rStyle w:val="HideTWBExt"/>
          <w:b w:val="0"/>
          <w:noProof w:val="0"/>
        </w:rPr>
        <w:t>&lt;Article&gt;</w:t>
      </w:r>
      <w:r w:rsidRPr="00992414">
        <w:t>Článok 7 – odsek 3</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6D3A5D11" w14:textId="77777777" w:rsidTr="00376950">
        <w:trPr>
          <w:jc w:val="center"/>
        </w:trPr>
        <w:tc>
          <w:tcPr>
            <w:tcW w:w="9752" w:type="dxa"/>
            <w:gridSpan w:val="2"/>
          </w:tcPr>
          <w:p w14:paraId="3925765B" w14:textId="77777777" w:rsidR="00376950" w:rsidRPr="00992414" w:rsidRDefault="00376950">
            <w:pPr>
              <w:keepNext/>
            </w:pPr>
          </w:p>
        </w:tc>
      </w:tr>
      <w:tr w:rsidR="00376950" w:rsidRPr="00992414" w14:paraId="228EA7EC" w14:textId="77777777" w:rsidTr="00376950">
        <w:trPr>
          <w:jc w:val="center"/>
        </w:trPr>
        <w:tc>
          <w:tcPr>
            <w:tcW w:w="4876" w:type="dxa"/>
            <w:hideMark/>
          </w:tcPr>
          <w:p w14:paraId="73115779" w14:textId="77777777" w:rsidR="00376950" w:rsidRPr="00992414" w:rsidRDefault="00376950">
            <w:pPr>
              <w:pStyle w:val="ColumnHeading"/>
              <w:keepNext/>
            </w:pPr>
            <w:r w:rsidRPr="00992414">
              <w:t>Text predložený Komisiou</w:t>
            </w:r>
          </w:p>
        </w:tc>
        <w:tc>
          <w:tcPr>
            <w:tcW w:w="4876" w:type="dxa"/>
            <w:hideMark/>
          </w:tcPr>
          <w:p w14:paraId="7B55B85C" w14:textId="77777777" w:rsidR="00376950" w:rsidRPr="00992414" w:rsidRDefault="00376950">
            <w:pPr>
              <w:pStyle w:val="ColumnHeading"/>
              <w:keepNext/>
            </w:pPr>
            <w:r w:rsidRPr="00992414">
              <w:t>Pozmeňujúci návrh</w:t>
            </w:r>
          </w:p>
        </w:tc>
      </w:tr>
      <w:tr w:rsidR="00376950" w:rsidRPr="00992414" w14:paraId="2B6C1EA6" w14:textId="77777777" w:rsidTr="00376950">
        <w:trPr>
          <w:jc w:val="center"/>
        </w:trPr>
        <w:tc>
          <w:tcPr>
            <w:tcW w:w="4876" w:type="dxa"/>
            <w:hideMark/>
          </w:tcPr>
          <w:p w14:paraId="55CCBE02" w14:textId="77777777" w:rsidR="00376950" w:rsidRPr="00992414" w:rsidRDefault="00376950">
            <w:pPr>
              <w:pStyle w:val="Normal6"/>
            </w:pPr>
            <w:r w:rsidRPr="00992414">
              <w:t>3.</w:t>
            </w:r>
            <w:r w:rsidRPr="00992414">
              <w:tab/>
            </w:r>
            <w:r w:rsidRPr="00992414">
              <w:rPr>
                <w:b/>
                <w:i/>
              </w:rPr>
              <w:t>Obdobie</w:t>
            </w:r>
            <w:r w:rsidRPr="00992414">
              <w:t xml:space="preserve"> dočasného zadržania musí výhradne trvať len po čas, ktorý je potrebný, na to, aby príslušné orgány určili, či si okolnosti daného prípadu vyžadujú ďalšie zadržiavanie. Maximálne trvanie dočasného zadržania sa stanoví vo vnútroštátnych právnych predpisoch, </w:t>
            </w:r>
            <w:r w:rsidRPr="00992414">
              <w:rPr>
                <w:b/>
                <w:i/>
              </w:rPr>
              <w:t>nesmie byť</w:t>
            </w:r>
            <w:r w:rsidRPr="00992414">
              <w:t xml:space="preserve"> však dlhšie ako 30 dní.  V prípade, že sa počas </w:t>
            </w:r>
            <w:r w:rsidRPr="00992414">
              <w:rPr>
                <w:b/>
                <w:i/>
              </w:rPr>
              <w:t>tohto obdobia</w:t>
            </w:r>
            <w:r w:rsidRPr="00992414">
              <w:t xml:space="preserve"> neurčí, či si okolnosti daného prípadu vyžadujú ďalšie zadržiavanie, resp. v prípade, že sa určilo, že si okolnosti daného prípadu nevyžadujú ďalšie zadržiavanie, zadržiavané peňažné prostriedky v hotovosti sa bezodkladne </w:t>
            </w:r>
            <w:r w:rsidRPr="00992414">
              <w:rPr>
                <w:b/>
                <w:i/>
              </w:rPr>
              <w:t>poskytnú deklarantovi.</w:t>
            </w:r>
          </w:p>
        </w:tc>
        <w:tc>
          <w:tcPr>
            <w:tcW w:w="4876" w:type="dxa"/>
            <w:hideMark/>
          </w:tcPr>
          <w:p w14:paraId="2AA23230" w14:textId="4BAD38D9" w:rsidR="00376950" w:rsidRPr="00992414" w:rsidRDefault="00376950" w:rsidP="00AB11F3">
            <w:pPr>
              <w:pStyle w:val="Normal6"/>
              <w:rPr>
                <w:szCs w:val="24"/>
              </w:rPr>
            </w:pPr>
            <w:r w:rsidRPr="00992414">
              <w:t>3.</w:t>
            </w:r>
            <w:r w:rsidRPr="00992414">
              <w:tab/>
            </w:r>
            <w:r w:rsidRPr="00992414">
              <w:rPr>
                <w:b/>
                <w:i/>
              </w:rPr>
              <w:t>Doba</w:t>
            </w:r>
            <w:r w:rsidRPr="00992414">
              <w:t xml:space="preserve"> dočasného zadržania musí výhradne trvať len po čas, ktorý je potrebný, na to, aby príslušné orgány určili, či si okolnosti daného prípadu vyžadujú ďalšie zadržiavanie. Maximálne trvanie dočasného zadržania sa stanoví vo vnútroštátnych právnych predpisoch, </w:t>
            </w:r>
            <w:r w:rsidRPr="00992414">
              <w:rPr>
                <w:b/>
                <w:i/>
              </w:rPr>
              <w:t>nie je</w:t>
            </w:r>
            <w:r w:rsidRPr="00992414">
              <w:t xml:space="preserve"> však dlhšie ako 30 dní.  V prípade, že sa počas </w:t>
            </w:r>
            <w:r w:rsidRPr="00992414">
              <w:rPr>
                <w:b/>
                <w:i/>
              </w:rPr>
              <w:t>tejto doby</w:t>
            </w:r>
            <w:r w:rsidRPr="00992414">
              <w:t xml:space="preserve"> neurčí, či si okolnosti daného prípadu vyžadujú ďalšie zadržiavanie, resp. v prípade, že sa určilo, že si okolnosti daného prípadu nevyžadujú ďalšie zadržiavanie, zadržiavané peňažné prostriedky v hotovosti sa bezodkladne </w:t>
            </w:r>
            <w:r w:rsidRPr="00992414">
              <w:rPr>
                <w:b/>
                <w:i/>
              </w:rPr>
              <w:t>sprístupnia:</w:t>
            </w:r>
          </w:p>
        </w:tc>
      </w:tr>
      <w:tr w:rsidR="000E54D6" w:rsidRPr="00992414" w14:paraId="0ED4AFA3" w14:textId="77777777" w:rsidTr="00376950">
        <w:trPr>
          <w:jc w:val="center"/>
        </w:trPr>
        <w:tc>
          <w:tcPr>
            <w:tcW w:w="4876" w:type="dxa"/>
          </w:tcPr>
          <w:p w14:paraId="694E562E" w14:textId="77777777" w:rsidR="000E54D6" w:rsidRPr="00992414" w:rsidRDefault="000E54D6">
            <w:pPr>
              <w:pStyle w:val="Normal6"/>
            </w:pPr>
          </w:p>
        </w:tc>
        <w:tc>
          <w:tcPr>
            <w:tcW w:w="4876" w:type="dxa"/>
          </w:tcPr>
          <w:p w14:paraId="7D4D0563" w14:textId="0FA4CB0C" w:rsidR="000E54D6" w:rsidRPr="00992414" w:rsidRDefault="000E54D6" w:rsidP="00AB11F3">
            <w:pPr>
              <w:pStyle w:val="Normal6"/>
            </w:pPr>
            <w:r w:rsidRPr="00992414">
              <w:rPr>
                <w:b/>
                <w:i/>
              </w:rPr>
              <w:t>a)</w:t>
            </w:r>
            <w:r w:rsidRPr="00992414">
              <w:rPr>
                <w:b/>
                <w:i/>
              </w:rPr>
              <w:tab/>
              <w:t>deklarantovi alebo prepravcovi v situáciách uvedených v článkoch 3 a 4; alebo</w:t>
            </w:r>
          </w:p>
        </w:tc>
      </w:tr>
      <w:tr w:rsidR="000E54D6" w:rsidRPr="00992414" w14:paraId="425BD43E" w14:textId="77777777" w:rsidTr="00376950">
        <w:trPr>
          <w:jc w:val="center"/>
        </w:trPr>
        <w:tc>
          <w:tcPr>
            <w:tcW w:w="4876" w:type="dxa"/>
          </w:tcPr>
          <w:p w14:paraId="040E7E5B" w14:textId="77777777" w:rsidR="000E54D6" w:rsidRPr="00992414" w:rsidRDefault="000E54D6">
            <w:pPr>
              <w:pStyle w:val="Normal6"/>
            </w:pPr>
          </w:p>
        </w:tc>
        <w:tc>
          <w:tcPr>
            <w:tcW w:w="4876" w:type="dxa"/>
          </w:tcPr>
          <w:p w14:paraId="3B122680" w14:textId="400E432E" w:rsidR="000E54D6" w:rsidRPr="00992414" w:rsidRDefault="000E54D6" w:rsidP="00AB11F3">
            <w:pPr>
              <w:pStyle w:val="Normal6"/>
            </w:pPr>
            <w:r w:rsidRPr="00992414">
              <w:rPr>
                <w:b/>
                <w:i/>
              </w:rPr>
              <w:t>b)</w:t>
            </w:r>
            <w:r w:rsidRPr="00992414">
              <w:rPr>
                <w:b/>
                <w:i/>
              </w:rPr>
              <w:tab/>
              <w:t>prepravcovi alebo vlastníkovi v situáciách uvedených v článku 6 ods. 1 alebo vlastníkovi, zamýšľanému príjemcovi alebo odosielateľovi v situáciách uvedených v článku 6 ods. 2.</w:t>
            </w:r>
          </w:p>
        </w:tc>
      </w:tr>
    </w:tbl>
    <w:p w14:paraId="5D07E1A3" w14:textId="77777777" w:rsidR="00376950" w:rsidRPr="00992414" w:rsidRDefault="00376950" w:rsidP="00376950">
      <w:r w:rsidRPr="00992414">
        <w:rPr>
          <w:rStyle w:val="HideTWBExt"/>
          <w:noProof w:val="0"/>
        </w:rPr>
        <w:t>&lt;/Amend&gt;</w:t>
      </w:r>
    </w:p>
    <w:p w14:paraId="33CAB32C" w14:textId="72C390E5" w:rsidR="009D4489" w:rsidRPr="00992414" w:rsidRDefault="009D4489" w:rsidP="009D4489">
      <w:pPr>
        <w:pStyle w:val="AMNumberTabs"/>
        <w:keepNext/>
      </w:pPr>
      <w:r w:rsidRPr="00992414">
        <w:rPr>
          <w:rStyle w:val="HideTWBExt"/>
          <w:b w:val="0"/>
          <w:noProof w:val="0"/>
        </w:rPr>
        <w:t>&lt;AmendB&gt;</w:t>
      </w:r>
      <w:r w:rsidRPr="00992414">
        <w:t>Pozmeňujúci návrh</w:t>
      </w:r>
      <w:r w:rsidRPr="00992414">
        <w:tab/>
      </w:r>
      <w:r w:rsidRPr="00992414">
        <w:tab/>
      </w:r>
      <w:r w:rsidRPr="00992414">
        <w:rPr>
          <w:rStyle w:val="HideTWBExt"/>
          <w:b w:val="0"/>
          <w:noProof w:val="0"/>
        </w:rPr>
        <w:t>&lt;NumAmB&gt;</w:t>
      </w:r>
      <w:r w:rsidRPr="00992414">
        <w:t>68</w:t>
      </w:r>
      <w:r w:rsidRPr="00992414">
        <w:rPr>
          <w:rStyle w:val="HideTWBExt"/>
          <w:b w:val="0"/>
          <w:noProof w:val="0"/>
        </w:rPr>
        <w:t>&lt;/NumAmB&gt;</w:t>
      </w:r>
    </w:p>
    <w:p w14:paraId="024868DE" w14:textId="77777777" w:rsidR="009D4489" w:rsidRPr="00992414" w:rsidRDefault="009D4489" w:rsidP="009D4489">
      <w:pPr>
        <w:pStyle w:val="NormalBold12b"/>
      </w:pPr>
      <w:r w:rsidRPr="00992414">
        <w:rPr>
          <w:rStyle w:val="HideTWBExt"/>
          <w:b w:val="0"/>
          <w:noProof w:val="0"/>
        </w:rPr>
        <w:t>&lt;DocAmend&gt;</w:t>
      </w:r>
      <w:r w:rsidRPr="00992414">
        <w:t>Návrh nariadenia</w:t>
      </w:r>
      <w:r w:rsidRPr="00992414">
        <w:rPr>
          <w:rStyle w:val="HideTWBExt"/>
          <w:b w:val="0"/>
          <w:noProof w:val="0"/>
        </w:rPr>
        <w:t>&lt;/DocAmend&gt;</w:t>
      </w:r>
    </w:p>
    <w:p w14:paraId="2EEBC3DF" w14:textId="77777777" w:rsidR="009D4489" w:rsidRPr="00992414" w:rsidRDefault="009D4489" w:rsidP="009D4489">
      <w:pPr>
        <w:pStyle w:val="NormalBold"/>
      </w:pPr>
      <w:r w:rsidRPr="00992414">
        <w:rPr>
          <w:rStyle w:val="HideTWBExt"/>
          <w:b w:val="0"/>
          <w:noProof w:val="0"/>
        </w:rPr>
        <w:t>&lt;Article&gt;</w:t>
      </w:r>
      <w:r w:rsidRPr="00992414">
        <w:t>Článok 8 – odsek 1</w:t>
      </w:r>
      <w:r w:rsidRPr="0099241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D4489" w:rsidRPr="00992414" w14:paraId="3B66CB89" w14:textId="77777777" w:rsidTr="00B90B9E">
        <w:trPr>
          <w:jc w:val="center"/>
        </w:trPr>
        <w:tc>
          <w:tcPr>
            <w:tcW w:w="9752" w:type="dxa"/>
            <w:gridSpan w:val="2"/>
          </w:tcPr>
          <w:p w14:paraId="25C616D6" w14:textId="77777777" w:rsidR="009D4489" w:rsidRPr="00992414" w:rsidRDefault="009D4489" w:rsidP="00B90B9E">
            <w:pPr>
              <w:keepNext/>
            </w:pPr>
          </w:p>
        </w:tc>
      </w:tr>
      <w:tr w:rsidR="009D4489" w:rsidRPr="00992414" w14:paraId="3CF19234" w14:textId="77777777" w:rsidTr="00B90B9E">
        <w:trPr>
          <w:jc w:val="center"/>
        </w:trPr>
        <w:tc>
          <w:tcPr>
            <w:tcW w:w="4876" w:type="dxa"/>
          </w:tcPr>
          <w:p w14:paraId="719B1EA8" w14:textId="77777777" w:rsidR="009D4489" w:rsidRPr="00992414" w:rsidRDefault="009D4489" w:rsidP="00B90B9E">
            <w:pPr>
              <w:pStyle w:val="ColumnHeading"/>
              <w:keepNext/>
            </w:pPr>
            <w:r w:rsidRPr="00992414">
              <w:t>Text predložený Komisiou</w:t>
            </w:r>
          </w:p>
        </w:tc>
        <w:tc>
          <w:tcPr>
            <w:tcW w:w="4876" w:type="dxa"/>
          </w:tcPr>
          <w:p w14:paraId="66F415B4" w14:textId="77777777" w:rsidR="009D4489" w:rsidRPr="00992414" w:rsidRDefault="009D4489" w:rsidP="00B90B9E">
            <w:pPr>
              <w:pStyle w:val="ColumnHeading"/>
              <w:keepNext/>
            </w:pPr>
            <w:r w:rsidRPr="00992414">
              <w:t>Pozmeňujúci návrh</w:t>
            </w:r>
          </w:p>
        </w:tc>
      </w:tr>
      <w:tr w:rsidR="009D4489" w:rsidRPr="00992414" w14:paraId="6190E9DB" w14:textId="77777777" w:rsidTr="00B90B9E">
        <w:trPr>
          <w:jc w:val="center"/>
        </w:trPr>
        <w:tc>
          <w:tcPr>
            <w:tcW w:w="4876" w:type="dxa"/>
          </w:tcPr>
          <w:p w14:paraId="1A829961" w14:textId="77777777" w:rsidR="009D4489" w:rsidRPr="00992414" w:rsidRDefault="009D4489" w:rsidP="00B90B9E">
            <w:pPr>
              <w:pStyle w:val="Normal6"/>
            </w:pPr>
            <w:r w:rsidRPr="00992414">
              <w:t>1.</w:t>
            </w:r>
            <w:r w:rsidRPr="00992414">
              <w:tab/>
              <w:t>Príslušné orgány zaznamenajú informácie získané podľa článku 3, článku 4, článku 5 ods. 3 alebo článku 6 a</w:t>
            </w:r>
            <w:r w:rsidRPr="00992414">
              <w:rPr>
                <w:b/>
                <w:i/>
              </w:rPr>
              <w:t xml:space="preserve"> </w:t>
            </w:r>
            <w:r w:rsidRPr="00992414">
              <w:t>poskytnú ich finančnej spravodajskej jednotke členského štátu, v</w:t>
            </w:r>
            <w:r w:rsidRPr="00992414">
              <w:rPr>
                <w:b/>
                <w:i/>
              </w:rPr>
              <w:t xml:space="preserve"> </w:t>
            </w:r>
            <w:r w:rsidRPr="00992414">
              <w:t xml:space="preserve">ktorom boli získané, </w:t>
            </w:r>
            <w:r w:rsidRPr="00992414">
              <w:rPr>
                <w:b/>
                <w:i/>
              </w:rPr>
              <w:t xml:space="preserve">a </w:t>
            </w:r>
            <w:r w:rsidRPr="00992414">
              <w:t>to v</w:t>
            </w:r>
            <w:r w:rsidRPr="00992414">
              <w:rPr>
                <w:b/>
                <w:i/>
              </w:rPr>
              <w:t xml:space="preserve"> </w:t>
            </w:r>
            <w:r w:rsidRPr="00992414">
              <w:t>súlade s</w:t>
            </w:r>
            <w:r w:rsidRPr="00992414">
              <w:rPr>
                <w:b/>
                <w:i/>
              </w:rPr>
              <w:t xml:space="preserve"> </w:t>
            </w:r>
            <w:r w:rsidRPr="00992414">
              <w:t>technickými pravidlami stanovenými podľa článku 15 písm. c).</w:t>
            </w:r>
          </w:p>
        </w:tc>
        <w:tc>
          <w:tcPr>
            <w:tcW w:w="4876" w:type="dxa"/>
          </w:tcPr>
          <w:p w14:paraId="1F42D277" w14:textId="77777777" w:rsidR="009D4489" w:rsidRPr="00992414" w:rsidRDefault="009D4489" w:rsidP="00B90B9E">
            <w:pPr>
              <w:pStyle w:val="Normal6"/>
              <w:rPr>
                <w:szCs w:val="24"/>
              </w:rPr>
            </w:pPr>
            <w:r w:rsidRPr="00992414">
              <w:t>1.</w:t>
            </w:r>
            <w:r w:rsidRPr="00992414">
              <w:tab/>
              <w:t>Príslušné orgány zaznamenajú informácie získané podľa článku 3, článku 4, článku 5 ods. 3 alebo článku 6 a</w:t>
            </w:r>
            <w:r w:rsidRPr="00992414">
              <w:rPr>
                <w:b/>
                <w:i/>
              </w:rPr>
              <w:t> </w:t>
            </w:r>
            <w:r w:rsidRPr="00992414">
              <w:t>poskytnú ich finančnej spravodajskej jednotke členského štátu, v</w:t>
            </w:r>
            <w:r w:rsidRPr="00992414">
              <w:rPr>
                <w:b/>
                <w:i/>
              </w:rPr>
              <w:t> </w:t>
            </w:r>
            <w:r w:rsidRPr="00992414">
              <w:t xml:space="preserve">ktorom boli získané, </w:t>
            </w:r>
            <w:r w:rsidRPr="00992414">
              <w:rPr>
                <w:b/>
                <w:i/>
              </w:rPr>
              <w:t>ktorá ich urýchlene sprístupní finančným spravodajským jednotkám iných členských štátov, a </w:t>
            </w:r>
            <w:r w:rsidRPr="00992414">
              <w:t>to v</w:t>
            </w:r>
            <w:r w:rsidRPr="00992414">
              <w:rPr>
                <w:b/>
                <w:i/>
              </w:rPr>
              <w:t> </w:t>
            </w:r>
            <w:r w:rsidRPr="00992414">
              <w:t>súlade s</w:t>
            </w:r>
            <w:r w:rsidRPr="00992414">
              <w:rPr>
                <w:b/>
                <w:i/>
              </w:rPr>
              <w:t> </w:t>
            </w:r>
            <w:r w:rsidRPr="00992414">
              <w:t>technickými pravidlami stanovenými podľa článku 15 písm. c).</w:t>
            </w:r>
          </w:p>
        </w:tc>
      </w:tr>
    </w:tbl>
    <w:p w14:paraId="5ED7AD7F" w14:textId="77777777" w:rsidR="00B14706" w:rsidRPr="00992414" w:rsidRDefault="009D4489" w:rsidP="00B14706">
      <w:r w:rsidRPr="00992414">
        <w:rPr>
          <w:rStyle w:val="HideTWBExt"/>
          <w:noProof w:val="0"/>
        </w:rPr>
        <w:t>&lt;/AmendB&gt;</w:t>
      </w:r>
    </w:p>
    <w:p w14:paraId="525A2616" w14:textId="6F53A43F" w:rsidR="00B14706" w:rsidRPr="00992414" w:rsidRDefault="00B14706" w:rsidP="00B14706">
      <w:pPr>
        <w:pStyle w:val="AMNumberTabs"/>
        <w:keepNext/>
      </w:pPr>
      <w:r w:rsidRPr="00992414">
        <w:rPr>
          <w:rStyle w:val="HideTWBExt"/>
          <w:b w:val="0"/>
          <w:noProof w:val="0"/>
        </w:rPr>
        <w:t>&lt;AmendB&gt;</w:t>
      </w:r>
      <w:r w:rsidRPr="00992414">
        <w:t>Pozmeňujúci návrh</w:t>
      </w:r>
      <w:r w:rsidRPr="00992414">
        <w:tab/>
      </w:r>
      <w:r w:rsidRPr="00992414">
        <w:tab/>
      </w:r>
      <w:r w:rsidRPr="00992414">
        <w:rPr>
          <w:rStyle w:val="HideTWBExt"/>
          <w:b w:val="0"/>
          <w:noProof w:val="0"/>
        </w:rPr>
        <w:t>&lt;NumAmB&gt;</w:t>
      </w:r>
      <w:r w:rsidRPr="00992414">
        <w:t>69</w:t>
      </w:r>
      <w:r w:rsidRPr="00992414">
        <w:rPr>
          <w:rStyle w:val="HideTWBExt"/>
          <w:b w:val="0"/>
          <w:noProof w:val="0"/>
        </w:rPr>
        <w:t>&lt;/NumAmB&gt;</w:t>
      </w:r>
    </w:p>
    <w:p w14:paraId="6773EEBC" w14:textId="77777777" w:rsidR="00B14706" w:rsidRPr="00992414" w:rsidRDefault="00B14706" w:rsidP="00B14706">
      <w:pPr>
        <w:pStyle w:val="NormalBold12b"/>
      </w:pPr>
      <w:r w:rsidRPr="00992414">
        <w:rPr>
          <w:rStyle w:val="HideTWBExt"/>
          <w:b w:val="0"/>
          <w:noProof w:val="0"/>
        </w:rPr>
        <w:t>&lt;DocAmend&gt;</w:t>
      </w:r>
      <w:r w:rsidRPr="00992414">
        <w:t>Návrh nariadenia</w:t>
      </w:r>
      <w:r w:rsidRPr="00992414">
        <w:rPr>
          <w:rStyle w:val="HideTWBExt"/>
          <w:b w:val="0"/>
          <w:noProof w:val="0"/>
        </w:rPr>
        <w:t>&lt;/DocAmend&gt;</w:t>
      </w:r>
    </w:p>
    <w:p w14:paraId="659A8CD8" w14:textId="77777777" w:rsidR="00B14706" w:rsidRPr="00992414" w:rsidRDefault="00B14706" w:rsidP="00B14706">
      <w:pPr>
        <w:pStyle w:val="NormalBold"/>
      </w:pPr>
      <w:r w:rsidRPr="00992414">
        <w:rPr>
          <w:rStyle w:val="HideTWBExt"/>
          <w:b w:val="0"/>
          <w:noProof w:val="0"/>
        </w:rPr>
        <w:t>&lt;Article&gt;</w:t>
      </w:r>
      <w:r w:rsidRPr="00992414">
        <w:t>Článok 8 – odsek 1 a (nový)</w:t>
      </w:r>
      <w:r w:rsidRPr="00992414">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4706" w:rsidRPr="00992414" w14:paraId="063918FA" w14:textId="77777777" w:rsidTr="00C26406">
        <w:trPr>
          <w:jc w:val="center"/>
        </w:trPr>
        <w:tc>
          <w:tcPr>
            <w:tcW w:w="9752" w:type="dxa"/>
            <w:gridSpan w:val="2"/>
          </w:tcPr>
          <w:p w14:paraId="751A1F8B" w14:textId="77777777" w:rsidR="00B14706" w:rsidRPr="00992414" w:rsidRDefault="00B14706" w:rsidP="00B90B9E">
            <w:pPr>
              <w:keepNext/>
            </w:pPr>
          </w:p>
        </w:tc>
      </w:tr>
      <w:tr w:rsidR="00B14706" w:rsidRPr="00992414" w14:paraId="3468DD8B" w14:textId="77777777" w:rsidTr="00C26406">
        <w:trPr>
          <w:jc w:val="center"/>
        </w:trPr>
        <w:tc>
          <w:tcPr>
            <w:tcW w:w="4876" w:type="dxa"/>
          </w:tcPr>
          <w:p w14:paraId="577FDD80" w14:textId="77777777" w:rsidR="00B14706" w:rsidRPr="00992414" w:rsidRDefault="00B14706" w:rsidP="00B90B9E">
            <w:pPr>
              <w:pStyle w:val="ColumnHeading"/>
              <w:keepNext/>
            </w:pPr>
            <w:r w:rsidRPr="00992414">
              <w:t>Text predložený Komisiou</w:t>
            </w:r>
          </w:p>
        </w:tc>
        <w:tc>
          <w:tcPr>
            <w:tcW w:w="4876" w:type="dxa"/>
          </w:tcPr>
          <w:p w14:paraId="5F61578E" w14:textId="77777777" w:rsidR="00B14706" w:rsidRPr="00992414" w:rsidRDefault="00B14706" w:rsidP="00B90B9E">
            <w:pPr>
              <w:pStyle w:val="ColumnHeading"/>
              <w:keepNext/>
            </w:pPr>
            <w:r w:rsidRPr="00992414">
              <w:t>Pozmeňujúci návrh</w:t>
            </w:r>
          </w:p>
        </w:tc>
      </w:tr>
      <w:tr w:rsidR="00B14706" w:rsidRPr="00992414" w14:paraId="4B078B5A" w14:textId="77777777" w:rsidTr="00C26406">
        <w:trPr>
          <w:jc w:val="center"/>
        </w:trPr>
        <w:tc>
          <w:tcPr>
            <w:tcW w:w="4876" w:type="dxa"/>
          </w:tcPr>
          <w:p w14:paraId="3607FA1C" w14:textId="77777777" w:rsidR="00B14706" w:rsidRPr="00992414" w:rsidRDefault="00B14706" w:rsidP="00B90B9E">
            <w:pPr>
              <w:pStyle w:val="Normal6"/>
            </w:pPr>
          </w:p>
        </w:tc>
        <w:tc>
          <w:tcPr>
            <w:tcW w:w="4876" w:type="dxa"/>
          </w:tcPr>
          <w:p w14:paraId="6B12CB20" w14:textId="0F7917AA" w:rsidR="00B14706" w:rsidRPr="00992414" w:rsidRDefault="00B14706" w:rsidP="00333105">
            <w:pPr>
              <w:pStyle w:val="Normal6"/>
              <w:rPr>
                <w:szCs w:val="24"/>
              </w:rPr>
            </w:pPr>
            <w:r w:rsidRPr="00992414">
              <w:rPr>
                <w:b/>
                <w:i/>
              </w:rPr>
              <w:t>1a.</w:t>
            </w:r>
            <w:r w:rsidRPr="00992414">
              <w:rPr>
                <w:b/>
                <w:i/>
              </w:rPr>
              <w:tab/>
              <w:t>Na účely tohto nariadenia a bez toho, aby boli dotknuté pravidlá ochrany údajov Únie, najmä pokiaľ ide o zásadu obmedzenia účelu a práva prístupu, sa zriadi prepojenie medzi systémom, ktorý na výmenu informácií používajú príslušné orgány podľa nariadenia Rady (ES) č. 515/97</w:t>
            </w:r>
            <w:r w:rsidRPr="00992414">
              <w:rPr>
                <w:b/>
                <w:i/>
                <w:vertAlign w:val="superscript"/>
              </w:rPr>
              <w:t>1a</w:t>
            </w:r>
            <w:r w:rsidRPr="00992414">
              <w:rPr>
                <w:b/>
                <w:i/>
              </w:rPr>
              <w:t>, a systémom, ktorý na výmenu informácií používajú finančné spravodajské jednotky podľa rozhodnutia Rady 2000/642/SVV</w:t>
            </w:r>
            <w:r w:rsidRPr="00992414">
              <w:rPr>
                <w:b/>
                <w:i/>
                <w:vertAlign w:val="superscript"/>
              </w:rPr>
              <w:t>1b</w:t>
            </w:r>
            <w:r w:rsidRPr="00992414">
              <w:rPr>
                <w:b/>
                <w:i/>
              </w:rPr>
              <w:t>, a to v súlade s technickými pravidlami stanovenými Komisiou podľa článku 15 písm. c).</w:t>
            </w:r>
          </w:p>
        </w:tc>
      </w:tr>
      <w:tr w:rsidR="000E54D6" w:rsidRPr="00992414" w14:paraId="42EEDDF5" w14:textId="77777777" w:rsidTr="00C26406">
        <w:trPr>
          <w:jc w:val="center"/>
        </w:trPr>
        <w:tc>
          <w:tcPr>
            <w:tcW w:w="4876" w:type="dxa"/>
          </w:tcPr>
          <w:p w14:paraId="077C8060" w14:textId="77777777" w:rsidR="000E54D6" w:rsidRPr="00992414" w:rsidRDefault="000E54D6" w:rsidP="00B90B9E">
            <w:pPr>
              <w:pStyle w:val="Normal6"/>
            </w:pPr>
          </w:p>
        </w:tc>
        <w:tc>
          <w:tcPr>
            <w:tcW w:w="4876" w:type="dxa"/>
          </w:tcPr>
          <w:p w14:paraId="4E558C29" w14:textId="67076B3F" w:rsidR="000E54D6" w:rsidRPr="00992414" w:rsidRDefault="000E54D6">
            <w:pPr>
              <w:pStyle w:val="Normal6"/>
              <w:rPr>
                <w:b/>
                <w:i/>
              </w:rPr>
            </w:pPr>
            <w:r w:rsidRPr="00992414">
              <w:rPr>
                <w:b/>
                <w:i/>
              </w:rPr>
              <w:t>_______________</w:t>
            </w:r>
          </w:p>
        </w:tc>
      </w:tr>
      <w:tr w:rsidR="00F319CE" w:rsidRPr="00992414" w14:paraId="205FDCFC" w14:textId="77777777" w:rsidTr="00C26406">
        <w:trPr>
          <w:jc w:val="center"/>
        </w:trPr>
        <w:tc>
          <w:tcPr>
            <w:tcW w:w="4876" w:type="dxa"/>
          </w:tcPr>
          <w:p w14:paraId="095235A7" w14:textId="77777777" w:rsidR="00F319CE" w:rsidRPr="00992414" w:rsidRDefault="00F319CE" w:rsidP="00B90B9E">
            <w:pPr>
              <w:pStyle w:val="Normal6"/>
            </w:pPr>
          </w:p>
        </w:tc>
        <w:tc>
          <w:tcPr>
            <w:tcW w:w="4876" w:type="dxa"/>
          </w:tcPr>
          <w:p w14:paraId="31E103E9" w14:textId="338D8C35" w:rsidR="00F319CE" w:rsidRPr="00992414" w:rsidRDefault="00F319CE" w:rsidP="00E55298">
            <w:pPr>
              <w:pStyle w:val="Normal6"/>
              <w:rPr>
                <w:b/>
                <w:i/>
              </w:rPr>
            </w:pPr>
            <w:r w:rsidRPr="00992414">
              <w:rPr>
                <w:b/>
                <w:i/>
                <w:vertAlign w:val="superscript"/>
              </w:rPr>
              <w:t>1a</w:t>
            </w:r>
            <w:r w:rsidRPr="00992414">
              <w:rPr>
                <w:b/>
                <w:i/>
              </w:rPr>
              <w:t xml:space="preserve"> Nariadenie Rady (ES) č. 515/97 z 13. marca 1997 o vzájomnej pomoci medzi správnymi orgánmi členských štátov a o spolupráci medzi správnymi orgánmi členských štátov a Komisiou pri zabezpečovaní riadneho uplatňovania predpisov o colných a poľnohospodárskych záležitostiach, Ú. v. ES L 82, 22.3.1997, s. 1, naposledy pozmenené nariadením Európskeho parlamentu a Rady (EÚ) 2015/1525 z 9. septembra 2015, Ú. v. EÚ L 243, 18.9.2015, s. 1. </w:t>
            </w:r>
          </w:p>
        </w:tc>
      </w:tr>
      <w:tr w:rsidR="00E55298" w:rsidRPr="00992414" w14:paraId="5FBEABC5" w14:textId="77777777" w:rsidTr="00C26406">
        <w:trPr>
          <w:jc w:val="center"/>
        </w:trPr>
        <w:tc>
          <w:tcPr>
            <w:tcW w:w="4876" w:type="dxa"/>
          </w:tcPr>
          <w:p w14:paraId="13819912" w14:textId="77777777" w:rsidR="00E55298" w:rsidRPr="00992414" w:rsidRDefault="00E55298" w:rsidP="00B90B9E">
            <w:pPr>
              <w:pStyle w:val="Normal6"/>
            </w:pPr>
          </w:p>
        </w:tc>
        <w:tc>
          <w:tcPr>
            <w:tcW w:w="4876" w:type="dxa"/>
          </w:tcPr>
          <w:p w14:paraId="6DDA0354" w14:textId="5848909D" w:rsidR="00E55298" w:rsidRPr="00992414" w:rsidDel="00F319CE" w:rsidRDefault="00E55298">
            <w:pPr>
              <w:pStyle w:val="Normal6"/>
              <w:rPr>
                <w:b/>
                <w:i/>
              </w:rPr>
            </w:pPr>
            <w:r w:rsidRPr="00992414">
              <w:rPr>
                <w:b/>
                <w:i/>
                <w:vertAlign w:val="superscript"/>
              </w:rPr>
              <w:t>1b</w:t>
            </w:r>
            <w:r w:rsidRPr="00992414">
              <w:rPr>
                <w:b/>
                <w:i/>
              </w:rPr>
              <w:t xml:space="preserve"> Rozhodnutie 2000/642/SVV zo 17. októbra 2000 upravujúce spoluprácu pri výmene informácií medzi finančnými informačnými jednotkami členských štátov. Ú. v. ES L 271, 24.10.2000, s. 4.</w:t>
            </w:r>
          </w:p>
        </w:tc>
      </w:tr>
    </w:tbl>
    <w:p w14:paraId="7B79D7EE" w14:textId="77777777" w:rsidR="00B14706" w:rsidRPr="00992414" w:rsidRDefault="00B14706" w:rsidP="00B14706">
      <w:r w:rsidRPr="00992414">
        <w:rPr>
          <w:rStyle w:val="HideTWBExt"/>
          <w:noProof w:val="0"/>
        </w:rPr>
        <w:t>&lt;/AmendB&gt;</w:t>
      </w:r>
    </w:p>
    <w:p w14:paraId="0D6F71E6" w14:textId="32A05F85"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70</w:t>
      </w:r>
      <w:r w:rsidRPr="00992414">
        <w:rPr>
          <w:rStyle w:val="HideTWBExt"/>
          <w:b w:val="0"/>
          <w:noProof w:val="0"/>
        </w:rPr>
        <w:t>&lt;/NumAm&gt;</w:t>
      </w:r>
    </w:p>
    <w:p w14:paraId="077131D1"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1C90C751" w14:textId="77777777" w:rsidR="00376950" w:rsidRPr="00992414" w:rsidRDefault="00376950" w:rsidP="00376950">
      <w:pPr>
        <w:pStyle w:val="NormalBold"/>
      </w:pPr>
      <w:r w:rsidRPr="00992414">
        <w:rPr>
          <w:rStyle w:val="HideTWBExt"/>
          <w:b w:val="0"/>
          <w:noProof w:val="0"/>
        </w:rPr>
        <w:t>&lt;Article&gt;</w:t>
      </w:r>
      <w:r w:rsidRPr="00992414">
        <w:t>Článok 8 – odsek 2</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6C0392ED" w14:textId="77777777" w:rsidTr="00376950">
        <w:trPr>
          <w:jc w:val="center"/>
        </w:trPr>
        <w:tc>
          <w:tcPr>
            <w:tcW w:w="9752" w:type="dxa"/>
            <w:gridSpan w:val="2"/>
          </w:tcPr>
          <w:p w14:paraId="793B1E3A" w14:textId="77777777" w:rsidR="00376950" w:rsidRPr="00992414" w:rsidRDefault="00376950">
            <w:pPr>
              <w:keepNext/>
            </w:pPr>
          </w:p>
        </w:tc>
      </w:tr>
      <w:tr w:rsidR="00376950" w:rsidRPr="00992414" w14:paraId="661EFDF7" w14:textId="77777777" w:rsidTr="00376950">
        <w:trPr>
          <w:jc w:val="center"/>
        </w:trPr>
        <w:tc>
          <w:tcPr>
            <w:tcW w:w="4876" w:type="dxa"/>
            <w:hideMark/>
          </w:tcPr>
          <w:p w14:paraId="602871AD" w14:textId="77777777" w:rsidR="00376950" w:rsidRPr="00992414" w:rsidRDefault="00376950">
            <w:pPr>
              <w:pStyle w:val="ColumnHeading"/>
              <w:keepNext/>
            </w:pPr>
            <w:r w:rsidRPr="00992414">
              <w:t>Text predložený Komisiou</w:t>
            </w:r>
          </w:p>
        </w:tc>
        <w:tc>
          <w:tcPr>
            <w:tcW w:w="4876" w:type="dxa"/>
            <w:hideMark/>
          </w:tcPr>
          <w:p w14:paraId="0A9DE320" w14:textId="77777777" w:rsidR="00376950" w:rsidRPr="00992414" w:rsidRDefault="00376950">
            <w:pPr>
              <w:pStyle w:val="ColumnHeading"/>
              <w:keepNext/>
            </w:pPr>
            <w:r w:rsidRPr="00992414">
              <w:t>Pozmeňujúci návrh</w:t>
            </w:r>
          </w:p>
        </w:tc>
      </w:tr>
      <w:tr w:rsidR="00376950" w:rsidRPr="00992414" w14:paraId="6EC73F65" w14:textId="77777777" w:rsidTr="00376950">
        <w:trPr>
          <w:jc w:val="center"/>
        </w:trPr>
        <w:tc>
          <w:tcPr>
            <w:tcW w:w="4876" w:type="dxa"/>
            <w:hideMark/>
          </w:tcPr>
          <w:p w14:paraId="4E01E78A" w14:textId="77777777" w:rsidR="00376950" w:rsidRPr="00992414" w:rsidRDefault="00376950">
            <w:pPr>
              <w:pStyle w:val="Normal6"/>
            </w:pPr>
            <w:r w:rsidRPr="00992414">
              <w:t>2.</w:t>
            </w:r>
            <w:r w:rsidRPr="00992414">
              <w:tab/>
              <w:t>Informácie uvedené v</w:t>
            </w:r>
            <w:r w:rsidRPr="00992414">
              <w:rPr>
                <w:b/>
                <w:i/>
              </w:rPr>
              <w:t xml:space="preserve"> </w:t>
            </w:r>
            <w:r w:rsidRPr="00992414">
              <w:t xml:space="preserve">odseku 1 sa oznámia čo najskôr, najneskôr však do </w:t>
            </w:r>
            <w:r w:rsidRPr="00992414">
              <w:rPr>
                <w:b/>
                <w:i/>
              </w:rPr>
              <w:t>jedného mesiaca</w:t>
            </w:r>
            <w:r w:rsidRPr="00992414">
              <w:t xml:space="preserve"> odo dňa, keď boli zhromaždené.</w:t>
            </w:r>
          </w:p>
        </w:tc>
        <w:tc>
          <w:tcPr>
            <w:tcW w:w="4876" w:type="dxa"/>
            <w:hideMark/>
          </w:tcPr>
          <w:p w14:paraId="3A1C67CF" w14:textId="4D7D4250" w:rsidR="00376950" w:rsidRPr="00992414" w:rsidRDefault="00376950" w:rsidP="00AB11F3">
            <w:pPr>
              <w:pStyle w:val="Normal6"/>
              <w:rPr>
                <w:szCs w:val="24"/>
              </w:rPr>
            </w:pPr>
            <w:r w:rsidRPr="00992414">
              <w:t>2.</w:t>
            </w:r>
            <w:r w:rsidRPr="00992414">
              <w:tab/>
              <w:t>Informácie uvedené v</w:t>
            </w:r>
            <w:r w:rsidRPr="00992414">
              <w:rPr>
                <w:b/>
                <w:i/>
              </w:rPr>
              <w:t> </w:t>
            </w:r>
            <w:r w:rsidRPr="00992414">
              <w:t xml:space="preserve">odseku 1 sa oznámia čo najskôr, najneskôr však do </w:t>
            </w:r>
            <w:r w:rsidRPr="00992414">
              <w:rPr>
                <w:b/>
                <w:i/>
              </w:rPr>
              <w:t>štyroch pracovných dní</w:t>
            </w:r>
            <w:r w:rsidRPr="00992414">
              <w:t xml:space="preserve"> odo dňa, keď boli zhromaždené.</w:t>
            </w:r>
          </w:p>
        </w:tc>
      </w:tr>
    </w:tbl>
    <w:p w14:paraId="365E5441" w14:textId="77777777" w:rsidR="00376950" w:rsidRPr="00992414" w:rsidRDefault="00376950" w:rsidP="00376950">
      <w:r w:rsidRPr="00992414">
        <w:rPr>
          <w:rStyle w:val="HideTWBExt"/>
          <w:noProof w:val="0"/>
        </w:rPr>
        <w:t>&lt;/Amend&gt;</w:t>
      </w:r>
    </w:p>
    <w:p w14:paraId="5BD30114" w14:textId="3414482F"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71</w:t>
      </w:r>
      <w:r w:rsidRPr="00992414">
        <w:rPr>
          <w:rStyle w:val="HideTWBExt"/>
          <w:b w:val="0"/>
          <w:noProof w:val="0"/>
        </w:rPr>
        <w:t>&lt;/NumAm&gt;</w:t>
      </w:r>
    </w:p>
    <w:p w14:paraId="48DD3056"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68942570" w14:textId="77777777" w:rsidR="00376950" w:rsidRPr="00992414" w:rsidRDefault="00376950" w:rsidP="00376950">
      <w:pPr>
        <w:pStyle w:val="NormalBold"/>
      </w:pPr>
      <w:r w:rsidRPr="00992414">
        <w:rPr>
          <w:rStyle w:val="HideTWBExt"/>
          <w:b w:val="0"/>
          <w:noProof w:val="0"/>
        </w:rPr>
        <w:t>&lt;Article&gt;</w:t>
      </w:r>
      <w:r w:rsidRPr="00992414">
        <w:t>Článok 8 – odsek 2 a (nový)</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73114283" w14:textId="77777777" w:rsidTr="00376950">
        <w:trPr>
          <w:jc w:val="center"/>
        </w:trPr>
        <w:tc>
          <w:tcPr>
            <w:tcW w:w="9752" w:type="dxa"/>
            <w:gridSpan w:val="2"/>
          </w:tcPr>
          <w:p w14:paraId="166D1D7F" w14:textId="77777777" w:rsidR="00376950" w:rsidRPr="00992414" w:rsidRDefault="00376950">
            <w:pPr>
              <w:keepNext/>
            </w:pPr>
          </w:p>
        </w:tc>
      </w:tr>
      <w:tr w:rsidR="00376950" w:rsidRPr="00992414" w14:paraId="203234CF" w14:textId="77777777" w:rsidTr="00376950">
        <w:trPr>
          <w:jc w:val="center"/>
        </w:trPr>
        <w:tc>
          <w:tcPr>
            <w:tcW w:w="4876" w:type="dxa"/>
            <w:hideMark/>
          </w:tcPr>
          <w:p w14:paraId="78319053" w14:textId="77777777" w:rsidR="00376950" w:rsidRPr="00992414" w:rsidRDefault="00376950">
            <w:pPr>
              <w:pStyle w:val="ColumnHeading"/>
              <w:keepNext/>
            </w:pPr>
            <w:r w:rsidRPr="00992414">
              <w:t>Text predložený Komisiou</w:t>
            </w:r>
          </w:p>
        </w:tc>
        <w:tc>
          <w:tcPr>
            <w:tcW w:w="4876" w:type="dxa"/>
            <w:hideMark/>
          </w:tcPr>
          <w:p w14:paraId="207AC05B" w14:textId="77777777" w:rsidR="00376950" w:rsidRPr="00992414" w:rsidRDefault="00376950">
            <w:pPr>
              <w:pStyle w:val="ColumnHeading"/>
              <w:keepNext/>
            </w:pPr>
            <w:r w:rsidRPr="00992414">
              <w:t>Pozmeňujúci návrh</w:t>
            </w:r>
          </w:p>
        </w:tc>
      </w:tr>
      <w:tr w:rsidR="00376950" w:rsidRPr="00992414" w14:paraId="4C1C4631" w14:textId="77777777" w:rsidTr="00376950">
        <w:trPr>
          <w:jc w:val="center"/>
        </w:trPr>
        <w:tc>
          <w:tcPr>
            <w:tcW w:w="4876" w:type="dxa"/>
          </w:tcPr>
          <w:p w14:paraId="4120A332" w14:textId="77777777" w:rsidR="00376950" w:rsidRPr="00992414" w:rsidRDefault="00376950">
            <w:pPr>
              <w:pStyle w:val="Normal6"/>
            </w:pPr>
          </w:p>
        </w:tc>
        <w:tc>
          <w:tcPr>
            <w:tcW w:w="4876" w:type="dxa"/>
            <w:hideMark/>
          </w:tcPr>
          <w:p w14:paraId="1C217F45" w14:textId="235B2D6C" w:rsidR="00376950" w:rsidRPr="00992414" w:rsidRDefault="00376950" w:rsidP="00D84242">
            <w:pPr>
              <w:pStyle w:val="Normal6"/>
              <w:rPr>
                <w:szCs w:val="24"/>
              </w:rPr>
            </w:pPr>
            <w:r w:rsidRPr="00992414">
              <w:rPr>
                <w:b/>
                <w:i/>
              </w:rPr>
              <w:t>2a.</w:t>
            </w:r>
            <w:r w:rsidRPr="00992414">
              <w:rPr>
                <w:b/>
                <w:i/>
              </w:rPr>
              <w:tab/>
              <w:t>Komisia do 1. januára 2019 posúdi vhodnosť vytvorenia finančnej spravodajskej jednotky Únie a ak to bude vhodné, predloží legislatívny návrh.</w:t>
            </w:r>
          </w:p>
        </w:tc>
      </w:tr>
    </w:tbl>
    <w:p w14:paraId="4FC7040A" w14:textId="77777777" w:rsidR="00376950" w:rsidRPr="00992414" w:rsidRDefault="00376950" w:rsidP="00376950">
      <w:r w:rsidRPr="00992414">
        <w:rPr>
          <w:rStyle w:val="HideTWBExt"/>
          <w:noProof w:val="0"/>
        </w:rPr>
        <w:t>&lt;/Amend&gt;</w:t>
      </w:r>
    </w:p>
    <w:p w14:paraId="20F2CA2D" w14:textId="77B87CCF"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72</w:t>
      </w:r>
      <w:r w:rsidRPr="00992414">
        <w:rPr>
          <w:rStyle w:val="HideTWBExt"/>
          <w:b w:val="0"/>
          <w:noProof w:val="0"/>
        </w:rPr>
        <w:t>&lt;/NumAm&gt;</w:t>
      </w:r>
    </w:p>
    <w:p w14:paraId="1D42F252"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2C5702B1" w14:textId="77777777" w:rsidR="00376950" w:rsidRPr="00992414" w:rsidRDefault="00376950" w:rsidP="00376950">
      <w:pPr>
        <w:pStyle w:val="NormalBold"/>
      </w:pPr>
      <w:r w:rsidRPr="00992414">
        <w:rPr>
          <w:rStyle w:val="HideTWBExt"/>
          <w:b w:val="0"/>
          <w:noProof w:val="0"/>
        </w:rPr>
        <w:t>&lt;Article&gt;</w:t>
      </w:r>
      <w:r w:rsidRPr="00992414">
        <w:t>Článok 9 – odsek 2</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5734B93F" w14:textId="77777777" w:rsidTr="00376950">
        <w:trPr>
          <w:jc w:val="center"/>
        </w:trPr>
        <w:tc>
          <w:tcPr>
            <w:tcW w:w="9752" w:type="dxa"/>
            <w:gridSpan w:val="2"/>
          </w:tcPr>
          <w:p w14:paraId="210EFE0B" w14:textId="77777777" w:rsidR="00376950" w:rsidRPr="00992414" w:rsidRDefault="00376950">
            <w:pPr>
              <w:keepNext/>
            </w:pPr>
          </w:p>
        </w:tc>
      </w:tr>
      <w:tr w:rsidR="00376950" w:rsidRPr="00992414" w14:paraId="3211A6B7" w14:textId="77777777" w:rsidTr="00376950">
        <w:trPr>
          <w:jc w:val="center"/>
        </w:trPr>
        <w:tc>
          <w:tcPr>
            <w:tcW w:w="4876" w:type="dxa"/>
            <w:hideMark/>
          </w:tcPr>
          <w:p w14:paraId="1CB38A25" w14:textId="77777777" w:rsidR="00376950" w:rsidRPr="00992414" w:rsidRDefault="00376950">
            <w:pPr>
              <w:pStyle w:val="ColumnHeading"/>
              <w:keepNext/>
            </w:pPr>
            <w:r w:rsidRPr="00992414">
              <w:t>Text predložený Komisiou</w:t>
            </w:r>
          </w:p>
        </w:tc>
        <w:tc>
          <w:tcPr>
            <w:tcW w:w="4876" w:type="dxa"/>
            <w:hideMark/>
          </w:tcPr>
          <w:p w14:paraId="2EC76244" w14:textId="77777777" w:rsidR="00376950" w:rsidRPr="00992414" w:rsidRDefault="00376950">
            <w:pPr>
              <w:pStyle w:val="ColumnHeading"/>
              <w:keepNext/>
            </w:pPr>
            <w:r w:rsidRPr="00992414">
              <w:t>Pozmeňujúci návrh</w:t>
            </w:r>
          </w:p>
        </w:tc>
      </w:tr>
      <w:tr w:rsidR="00376950" w:rsidRPr="00992414" w14:paraId="1B482033" w14:textId="77777777" w:rsidTr="00376950">
        <w:trPr>
          <w:jc w:val="center"/>
        </w:trPr>
        <w:tc>
          <w:tcPr>
            <w:tcW w:w="4876" w:type="dxa"/>
            <w:hideMark/>
          </w:tcPr>
          <w:p w14:paraId="6A35966A" w14:textId="77777777" w:rsidR="00376950" w:rsidRPr="00992414" w:rsidRDefault="00376950">
            <w:pPr>
              <w:pStyle w:val="Normal6"/>
            </w:pPr>
            <w:r w:rsidRPr="00992414">
              <w:t>2.</w:t>
            </w:r>
            <w:r w:rsidRPr="00992414">
              <w:tab/>
              <w:t>V prípade, že sú náznaky, že peňažné prostriedky v</w:t>
            </w:r>
            <w:r w:rsidRPr="00992414">
              <w:rPr>
                <w:b/>
                <w:i/>
              </w:rPr>
              <w:t xml:space="preserve"> </w:t>
            </w:r>
            <w:r w:rsidRPr="00992414">
              <w:t>hotovosti súvisia s</w:t>
            </w:r>
            <w:r w:rsidRPr="00992414">
              <w:rPr>
                <w:b/>
                <w:i/>
              </w:rPr>
              <w:t xml:space="preserve"> </w:t>
            </w:r>
            <w:r w:rsidRPr="00992414">
              <w:t>trestnou činnosťou, ktorá by mohla mať nepriaznivý vplyv na finančné záujmy Únie, poskytnú sa informácie uvedené v</w:t>
            </w:r>
            <w:r w:rsidRPr="00992414">
              <w:rPr>
                <w:b/>
                <w:i/>
              </w:rPr>
              <w:t xml:space="preserve"> </w:t>
            </w:r>
            <w:r w:rsidRPr="00992414">
              <w:t>odseku 1 aj Komisii.</w:t>
            </w:r>
          </w:p>
        </w:tc>
        <w:tc>
          <w:tcPr>
            <w:tcW w:w="4876" w:type="dxa"/>
            <w:hideMark/>
          </w:tcPr>
          <w:p w14:paraId="24D85BD7" w14:textId="3A574CED" w:rsidR="00376950" w:rsidRPr="00992414" w:rsidRDefault="00376950" w:rsidP="00AB11F3">
            <w:pPr>
              <w:pStyle w:val="Normal6"/>
              <w:rPr>
                <w:szCs w:val="24"/>
              </w:rPr>
            </w:pPr>
            <w:r w:rsidRPr="00992414">
              <w:t>2.</w:t>
            </w:r>
            <w:r w:rsidRPr="00992414">
              <w:tab/>
              <w:t>V prípade, že sú náznaky, že peňažné prostriedky v</w:t>
            </w:r>
            <w:r w:rsidRPr="00992414">
              <w:rPr>
                <w:b/>
                <w:i/>
              </w:rPr>
              <w:t> </w:t>
            </w:r>
            <w:r w:rsidRPr="00992414">
              <w:t>hotovosti súvisia s</w:t>
            </w:r>
            <w:r w:rsidRPr="00992414">
              <w:rPr>
                <w:b/>
                <w:i/>
              </w:rPr>
              <w:t> </w:t>
            </w:r>
            <w:r w:rsidRPr="00992414">
              <w:t>trestnou činnosťou, ktorá by mohla mať nepriaznivý vplyv na finančné záujmy Únie, poskytnú sa informácie uvedené v</w:t>
            </w:r>
            <w:r w:rsidRPr="00992414">
              <w:rPr>
                <w:b/>
                <w:i/>
              </w:rPr>
              <w:t> </w:t>
            </w:r>
            <w:r w:rsidRPr="00992414">
              <w:t>odseku 1 aj Komisii</w:t>
            </w:r>
            <w:r w:rsidRPr="00992414">
              <w:rPr>
                <w:b/>
                <w:i/>
              </w:rPr>
              <w:t>, Európskej prokuratúre, Eurojustu a Europolu. Komisia vykoná štatistickú analýzu získaných informácií a sprístupní ju verejnosti</w:t>
            </w:r>
            <w:r w:rsidRPr="00992414">
              <w:t>.</w:t>
            </w:r>
          </w:p>
        </w:tc>
      </w:tr>
    </w:tbl>
    <w:p w14:paraId="496DDB7D" w14:textId="77777777" w:rsidR="00FA4C1A" w:rsidRPr="00992414" w:rsidRDefault="00376950" w:rsidP="00FA4C1A">
      <w:r w:rsidRPr="00992414">
        <w:rPr>
          <w:rStyle w:val="HideTWBExt"/>
          <w:noProof w:val="0"/>
        </w:rPr>
        <w:t>&lt;/Amend&gt;</w:t>
      </w:r>
    </w:p>
    <w:p w14:paraId="7B8607AB" w14:textId="1F59BC4F" w:rsidR="00FA4C1A" w:rsidRPr="00992414" w:rsidRDefault="00FA4C1A" w:rsidP="00FA4C1A">
      <w:pPr>
        <w:pStyle w:val="AMNumberTabs"/>
        <w:keepNext/>
      </w:pPr>
      <w:r w:rsidRPr="00992414">
        <w:rPr>
          <w:rStyle w:val="HideTWBExt"/>
          <w:b w:val="0"/>
          <w:noProof w:val="0"/>
        </w:rPr>
        <w:t>&lt;AmendB&gt;</w:t>
      </w:r>
      <w:r w:rsidRPr="00992414">
        <w:t>Pozmeňujúci návrh</w:t>
      </w:r>
      <w:r w:rsidRPr="00992414">
        <w:tab/>
      </w:r>
      <w:r w:rsidRPr="00992414">
        <w:tab/>
      </w:r>
      <w:r w:rsidRPr="00992414">
        <w:rPr>
          <w:rStyle w:val="HideTWBExt"/>
          <w:b w:val="0"/>
          <w:noProof w:val="0"/>
        </w:rPr>
        <w:t>&lt;NumAmB&gt;</w:t>
      </w:r>
      <w:r w:rsidRPr="00992414">
        <w:t>73</w:t>
      </w:r>
      <w:r w:rsidRPr="00992414">
        <w:rPr>
          <w:rStyle w:val="HideTWBExt"/>
          <w:b w:val="0"/>
          <w:noProof w:val="0"/>
        </w:rPr>
        <w:t>&lt;/NumAmB&gt;</w:t>
      </w:r>
    </w:p>
    <w:p w14:paraId="5FE1336A" w14:textId="77777777" w:rsidR="00FA4C1A" w:rsidRPr="00992414" w:rsidRDefault="00FA4C1A" w:rsidP="00FA4C1A">
      <w:pPr>
        <w:pStyle w:val="NormalBold12b"/>
      </w:pPr>
      <w:r w:rsidRPr="00992414">
        <w:rPr>
          <w:rStyle w:val="HideTWBExt"/>
          <w:b w:val="0"/>
          <w:noProof w:val="0"/>
        </w:rPr>
        <w:t>&lt;DocAmend&gt;</w:t>
      </w:r>
      <w:r w:rsidRPr="00992414">
        <w:t>Návrh nariadenia</w:t>
      </w:r>
      <w:r w:rsidRPr="00992414">
        <w:rPr>
          <w:rStyle w:val="HideTWBExt"/>
          <w:b w:val="0"/>
          <w:noProof w:val="0"/>
        </w:rPr>
        <w:t>&lt;/DocAmend&gt;</w:t>
      </w:r>
    </w:p>
    <w:p w14:paraId="5D7E52EE" w14:textId="77777777" w:rsidR="00FA4C1A" w:rsidRPr="00992414" w:rsidRDefault="00FA4C1A" w:rsidP="00FA4C1A">
      <w:pPr>
        <w:pStyle w:val="NormalBold"/>
      </w:pPr>
      <w:r w:rsidRPr="00992414">
        <w:rPr>
          <w:rStyle w:val="HideTWBExt"/>
          <w:b w:val="0"/>
          <w:noProof w:val="0"/>
        </w:rPr>
        <w:t>&lt;Article&gt;</w:t>
      </w:r>
      <w:r w:rsidRPr="00992414">
        <w:t>Článok 9 – odsek 3</w:t>
      </w:r>
      <w:r w:rsidRPr="0099241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A4C1A" w:rsidRPr="00992414" w14:paraId="0B4D2C04" w14:textId="77777777" w:rsidTr="00245FBF">
        <w:trPr>
          <w:jc w:val="center"/>
        </w:trPr>
        <w:tc>
          <w:tcPr>
            <w:tcW w:w="9752" w:type="dxa"/>
            <w:gridSpan w:val="2"/>
          </w:tcPr>
          <w:p w14:paraId="5240641A" w14:textId="77777777" w:rsidR="00FA4C1A" w:rsidRPr="00992414" w:rsidRDefault="00FA4C1A" w:rsidP="00245FBF">
            <w:pPr>
              <w:keepNext/>
            </w:pPr>
          </w:p>
        </w:tc>
      </w:tr>
      <w:tr w:rsidR="00FA4C1A" w:rsidRPr="00992414" w14:paraId="574A06F0" w14:textId="77777777" w:rsidTr="00245FBF">
        <w:trPr>
          <w:jc w:val="center"/>
        </w:trPr>
        <w:tc>
          <w:tcPr>
            <w:tcW w:w="4876" w:type="dxa"/>
          </w:tcPr>
          <w:p w14:paraId="2A9E3E84" w14:textId="77777777" w:rsidR="00FA4C1A" w:rsidRPr="00992414" w:rsidRDefault="00FA4C1A" w:rsidP="00245FBF">
            <w:pPr>
              <w:pStyle w:val="ColumnHeading"/>
              <w:keepNext/>
            </w:pPr>
            <w:r w:rsidRPr="00992414">
              <w:t>Text predložený Komisiou</w:t>
            </w:r>
          </w:p>
        </w:tc>
        <w:tc>
          <w:tcPr>
            <w:tcW w:w="4876" w:type="dxa"/>
          </w:tcPr>
          <w:p w14:paraId="13D1161D" w14:textId="77777777" w:rsidR="00FA4C1A" w:rsidRPr="00992414" w:rsidRDefault="00FA4C1A" w:rsidP="00245FBF">
            <w:pPr>
              <w:pStyle w:val="ColumnHeading"/>
              <w:keepNext/>
            </w:pPr>
            <w:r w:rsidRPr="00992414">
              <w:t>Pozmeňujúci návrh</w:t>
            </w:r>
          </w:p>
        </w:tc>
      </w:tr>
      <w:tr w:rsidR="00FA4C1A" w:rsidRPr="00992414" w14:paraId="3FB1ED58" w14:textId="77777777" w:rsidTr="00245FBF">
        <w:trPr>
          <w:jc w:val="center"/>
        </w:trPr>
        <w:tc>
          <w:tcPr>
            <w:tcW w:w="4876" w:type="dxa"/>
          </w:tcPr>
          <w:p w14:paraId="4DF90C10" w14:textId="77777777" w:rsidR="00FA4C1A" w:rsidRPr="00992414" w:rsidRDefault="00FA4C1A" w:rsidP="00245FBF">
            <w:pPr>
              <w:pStyle w:val="Normal6"/>
            </w:pPr>
            <w:r w:rsidRPr="00992414">
              <w:t>3.</w:t>
            </w:r>
            <w:r w:rsidRPr="00992414">
              <w:tab/>
              <w:t>Príslušný orgán oznámi informácie uvedené v</w:t>
            </w:r>
            <w:r w:rsidRPr="00992414">
              <w:rPr>
                <w:b/>
                <w:i/>
              </w:rPr>
              <w:t xml:space="preserve"> </w:t>
            </w:r>
            <w:r w:rsidRPr="00992414">
              <w:t>odsekoch 1 a</w:t>
            </w:r>
            <w:r w:rsidRPr="00992414">
              <w:rPr>
                <w:b/>
                <w:i/>
              </w:rPr>
              <w:t xml:space="preserve"> </w:t>
            </w:r>
            <w:r w:rsidRPr="00992414">
              <w:t>2 v</w:t>
            </w:r>
            <w:r w:rsidRPr="00992414">
              <w:rPr>
                <w:b/>
                <w:i/>
              </w:rPr>
              <w:t xml:space="preserve"> </w:t>
            </w:r>
            <w:r w:rsidRPr="00992414">
              <w:t>súlade s</w:t>
            </w:r>
            <w:r w:rsidRPr="00992414">
              <w:rPr>
                <w:b/>
                <w:i/>
              </w:rPr>
              <w:t xml:space="preserve"> </w:t>
            </w:r>
            <w:r w:rsidRPr="00992414">
              <w:t xml:space="preserve">technickými pravidlami stanovenými podľa článku 15 písm. </w:t>
            </w:r>
            <w:r w:rsidRPr="00992414">
              <w:rPr>
                <w:b/>
                <w:i/>
              </w:rPr>
              <w:t>c</w:t>
            </w:r>
            <w:r w:rsidRPr="00992414">
              <w:t>), pričom použije formulár stanovený podľa článku 15 písm. d).</w:t>
            </w:r>
          </w:p>
        </w:tc>
        <w:tc>
          <w:tcPr>
            <w:tcW w:w="4876" w:type="dxa"/>
          </w:tcPr>
          <w:p w14:paraId="6650AAB6" w14:textId="77777777" w:rsidR="00FA4C1A" w:rsidRPr="00992414" w:rsidRDefault="00FA4C1A" w:rsidP="00245FBF">
            <w:pPr>
              <w:pStyle w:val="Normal6"/>
              <w:rPr>
                <w:szCs w:val="24"/>
              </w:rPr>
            </w:pPr>
            <w:r w:rsidRPr="00992414">
              <w:t>3.</w:t>
            </w:r>
            <w:r w:rsidRPr="00992414">
              <w:tab/>
              <w:t>Príslušný orgán oznámi informácie uvedené v</w:t>
            </w:r>
            <w:r w:rsidRPr="00992414">
              <w:rPr>
                <w:b/>
                <w:i/>
              </w:rPr>
              <w:t> </w:t>
            </w:r>
            <w:r w:rsidRPr="00992414">
              <w:t>odsekoch 1 a</w:t>
            </w:r>
            <w:r w:rsidRPr="00992414">
              <w:rPr>
                <w:b/>
                <w:i/>
              </w:rPr>
              <w:t> </w:t>
            </w:r>
            <w:r w:rsidRPr="00992414">
              <w:t>2 v</w:t>
            </w:r>
            <w:r w:rsidRPr="00992414">
              <w:rPr>
                <w:b/>
                <w:i/>
              </w:rPr>
              <w:t> </w:t>
            </w:r>
            <w:r w:rsidRPr="00992414">
              <w:t>súlade s</w:t>
            </w:r>
            <w:r w:rsidRPr="00992414">
              <w:rPr>
                <w:b/>
                <w:i/>
              </w:rPr>
              <w:t> </w:t>
            </w:r>
            <w:r w:rsidRPr="00992414">
              <w:t xml:space="preserve">technickými pravidlami stanovenými podľa článku 15 písm. </w:t>
            </w:r>
            <w:r w:rsidRPr="00992414">
              <w:rPr>
                <w:b/>
                <w:i/>
              </w:rPr>
              <w:t>ca</w:t>
            </w:r>
            <w:r w:rsidRPr="00992414">
              <w:t>), pričom použije formulár stanovený podľa článku 15 písm. d).</w:t>
            </w:r>
          </w:p>
        </w:tc>
      </w:tr>
    </w:tbl>
    <w:p w14:paraId="27EB3205" w14:textId="77777777" w:rsidR="00FA4C1A" w:rsidRPr="00992414" w:rsidRDefault="00FA4C1A" w:rsidP="00FA4C1A">
      <w:r w:rsidRPr="00992414">
        <w:rPr>
          <w:rStyle w:val="HideTWBExt"/>
          <w:noProof w:val="0"/>
        </w:rPr>
        <w:t>&lt;/AmendB&gt;</w:t>
      </w:r>
    </w:p>
    <w:p w14:paraId="16CDCE4D" w14:textId="3CBF5FB9"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74</w:t>
      </w:r>
      <w:r w:rsidRPr="00992414">
        <w:rPr>
          <w:rStyle w:val="HideTWBExt"/>
          <w:b w:val="0"/>
          <w:noProof w:val="0"/>
        </w:rPr>
        <w:t>&lt;/NumAm&gt;</w:t>
      </w:r>
    </w:p>
    <w:p w14:paraId="70702894"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19D19B7C" w14:textId="77777777" w:rsidR="00376950" w:rsidRPr="00992414" w:rsidRDefault="00376950" w:rsidP="00376950">
      <w:pPr>
        <w:pStyle w:val="NormalBold"/>
      </w:pPr>
      <w:r w:rsidRPr="00992414">
        <w:rPr>
          <w:rStyle w:val="HideTWBExt"/>
          <w:b w:val="0"/>
          <w:noProof w:val="0"/>
        </w:rPr>
        <w:t>&lt;Article&gt;</w:t>
      </w:r>
      <w:r w:rsidRPr="00992414">
        <w:t>Článok 9 – odsek 4</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44A2BC2E" w14:textId="77777777" w:rsidTr="00376950">
        <w:trPr>
          <w:jc w:val="center"/>
        </w:trPr>
        <w:tc>
          <w:tcPr>
            <w:tcW w:w="9752" w:type="dxa"/>
            <w:gridSpan w:val="2"/>
          </w:tcPr>
          <w:p w14:paraId="19469A86" w14:textId="77777777" w:rsidR="00376950" w:rsidRPr="00992414" w:rsidRDefault="00376950">
            <w:pPr>
              <w:keepNext/>
            </w:pPr>
          </w:p>
        </w:tc>
      </w:tr>
      <w:tr w:rsidR="00376950" w:rsidRPr="00992414" w14:paraId="76CE93DA" w14:textId="77777777" w:rsidTr="00376950">
        <w:trPr>
          <w:jc w:val="center"/>
        </w:trPr>
        <w:tc>
          <w:tcPr>
            <w:tcW w:w="4876" w:type="dxa"/>
            <w:hideMark/>
          </w:tcPr>
          <w:p w14:paraId="3219FEB6" w14:textId="77777777" w:rsidR="00376950" w:rsidRPr="00992414" w:rsidRDefault="00376950">
            <w:pPr>
              <w:pStyle w:val="ColumnHeading"/>
              <w:keepNext/>
            </w:pPr>
            <w:r w:rsidRPr="00992414">
              <w:t>Text predložený Komisiou</w:t>
            </w:r>
          </w:p>
        </w:tc>
        <w:tc>
          <w:tcPr>
            <w:tcW w:w="4876" w:type="dxa"/>
            <w:hideMark/>
          </w:tcPr>
          <w:p w14:paraId="2A4D6954" w14:textId="77777777" w:rsidR="00376950" w:rsidRPr="00992414" w:rsidRDefault="00376950">
            <w:pPr>
              <w:pStyle w:val="ColumnHeading"/>
              <w:keepNext/>
            </w:pPr>
            <w:r w:rsidRPr="00992414">
              <w:t>Pozmeňujúci návrh</w:t>
            </w:r>
          </w:p>
        </w:tc>
      </w:tr>
      <w:tr w:rsidR="00376950" w:rsidRPr="00992414" w14:paraId="28F5BA24" w14:textId="77777777" w:rsidTr="00376950">
        <w:trPr>
          <w:jc w:val="center"/>
        </w:trPr>
        <w:tc>
          <w:tcPr>
            <w:tcW w:w="4876" w:type="dxa"/>
            <w:hideMark/>
          </w:tcPr>
          <w:p w14:paraId="6E0B1851" w14:textId="77777777" w:rsidR="00376950" w:rsidRPr="00992414" w:rsidRDefault="00376950">
            <w:pPr>
              <w:pStyle w:val="Normal6"/>
            </w:pPr>
            <w:r w:rsidRPr="00992414">
              <w:t>4.</w:t>
            </w:r>
            <w:r w:rsidRPr="00992414">
              <w:tab/>
              <w:t xml:space="preserve">Informácie uvedené v </w:t>
            </w:r>
            <w:r w:rsidRPr="00992414">
              <w:rPr>
                <w:b/>
                <w:i/>
              </w:rPr>
              <w:t>odsekoch</w:t>
            </w:r>
            <w:r w:rsidRPr="00992414">
              <w:t xml:space="preserve"> 1 a 2 sa oznámia čo najskôr, najneskôr však do </w:t>
            </w:r>
            <w:r w:rsidRPr="00992414">
              <w:rPr>
                <w:b/>
                <w:i/>
              </w:rPr>
              <w:t>jedného mesiaca</w:t>
            </w:r>
            <w:r w:rsidRPr="00992414">
              <w:t xml:space="preserve"> odo dňa, keď boli zhromaždené</w:t>
            </w:r>
            <w:r w:rsidRPr="00992414">
              <w:rPr>
                <w:b/>
                <w:i/>
              </w:rPr>
              <w:t>.</w:t>
            </w:r>
          </w:p>
        </w:tc>
        <w:tc>
          <w:tcPr>
            <w:tcW w:w="4876" w:type="dxa"/>
            <w:hideMark/>
          </w:tcPr>
          <w:p w14:paraId="3AB0BAA9" w14:textId="14C80411" w:rsidR="00376950" w:rsidRPr="00992414" w:rsidRDefault="00376950" w:rsidP="00AB11F3">
            <w:pPr>
              <w:pStyle w:val="Normal6"/>
              <w:rPr>
                <w:szCs w:val="24"/>
              </w:rPr>
            </w:pPr>
            <w:r w:rsidRPr="00992414">
              <w:t>4.</w:t>
            </w:r>
            <w:r w:rsidRPr="00992414">
              <w:tab/>
              <w:t xml:space="preserve">Informácie uvedené v </w:t>
            </w:r>
            <w:r w:rsidRPr="00992414">
              <w:rPr>
                <w:b/>
                <w:i/>
              </w:rPr>
              <w:t>odseku</w:t>
            </w:r>
            <w:r w:rsidRPr="00992414">
              <w:t xml:space="preserve"> 1 </w:t>
            </w:r>
            <w:r w:rsidRPr="00992414">
              <w:rPr>
                <w:b/>
                <w:i/>
              </w:rPr>
              <w:t xml:space="preserve">písm. </w:t>
            </w:r>
            <w:r w:rsidRPr="00992414">
              <w:t>a</w:t>
            </w:r>
            <w:r w:rsidRPr="00992414">
              <w:rPr>
                <w:b/>
                <w:i/>
              </w:rPr>
              <w:t>), b) a c) a v odseku</w:t>
            </w:r>
            <w:r w:rsidRPr="00992414">
              <w:t xml:space="preserve"> 2 sa oznámia čo najskôr, najneskôr však do </w:t>
            </w:r>
            <w:r w:rsidRPr="00992414">
              <w:rPr>
                <w:b/>
                <w:i/>
              </w:rPr>
              <w:t>štyroch pracovných dní</w:t>
            </w:r>
            <w:r w:rsidRPr="00992414">
              <w:t xml:space="preserve"> odo dňa, keď boli zhromaždené</w:t>
            </w:r>
            <w:r w:rsidRPr="00992414">
              <w:rPr>
                <w:b/>
                <w:i/>
              </w:rPr>
              <w:t>;</w:t>
            </w:r>
          </w:p>
        </w:tc>
      </w:tr>
    </w:tbl>
    <w:p w14:paraId="7C06DE6A" w14:textId="77777777" w:rsidR="00376950" w:rsidRPr="00992414" w:rsidRDefault="00376950" w:rsidP="00376950">
      <w:r w:rsidRPr="00992414">
        <w:rPr>
          <w:rStyle w:val="HideTWBExt"/>
          <w:noProof w:val="0"/>
        </w:rPr>
        <w:t>&lt;/Amend&gt;</w:t>
      </w:r>
    </w:p>
    <w:p w14:paraId="2E8F8A0F" w14:textId="2C25728A"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75</w:t>
      </w:r>
      <w:r w:rsidRPr="00992414">
        <w:rPr>
          <w:rStyle w:val="HideTWBExt"/>
          <w:b w:val="0"/>
          <w:noProof w:val="0"/>
        </w:rPr>
        <w:t>&lt;/NumAm&gt;</w:t>
      </w:r>
    </w:p>
    <w:p w14:paraId="53B03D89"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2B3593AD" w14:textId="77777777" w:rsidR="00376950" w:rsidRPr="00992414" w:rsidRDefault="00376950" w:rsidP="00376950">
      <w:pPr>
        <w:pStyle w:val="NormalBold"/>
      </w:pPr>
      <w:r w:rsidRPr="00992414">
        <w:rPr>
          <w:rStyle w:val="HideTWBExt"/>
          <w:b w:val="0"/>
          <w:noProof w:val="0"/>
        </w:rPr>
        <w:t>&lt;Article&gt;</w:t>
      </w:r>
      <w:r w:rsidRPr="00992414">
        <w:t>Článok 9 – odsek 4 a (nový)</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5FDF9A20" w14:textId="77777777" w:rsidTr="00376950">
        <w:trPr>
          <w:jc w:val="center"/>
        </w:trPr>
        <w:tc>
          <w:tcPr>
            <w:tcW w:w="9752" w:type="dxa"/>
            <w:gridSpan w:val="2"/>
          </w:tcPr>
          <w:p w14:paraId="416F24B2" w14:textId="77777777" w:rsidR="00376950" w:rsidRPr="00992414" w:rsidRDefault="00376950">
            <w:pPr>
              <w:keepNext/>
            </w:pPr>
          </w:p>
        </w:tc>
      </w:tr>
      <w:tr w:rsidR="00376950" w:rsidRPr="00992414" w14:paraId="3A15771B" w14:textId="77777777" w:rsidTr="00376950">
        <w:trPr>
          <w:jc w:val="center"/>
        </w:trPr>
        <w:tc>
          <w:tcPr>
            <w:tcW w:w="4876" w:type="dxa"/>
            <w:hideMark/>
          </w:tcPr>
          <w:p w14:paraId="2028B92F" w14:textId="77777777" w:rsidR="00376950" w:rsidRPr="00992414" w:rsidRDefault="00376950">
            <w:pPr>
              <w:pStyle w:val="ColumnHeading"/>
              <w:keepNext/>
            </w:pPr>
            <w:r w:rsidRPr="00992414">
              <w:t>Text predložený Komisiou</w:t>
            </w:r>
          </w:p>
        </w:tc>
        <w:tc>
          <w:tcPr>
            <w:tcW w:w="4876" w:type="dxa"/>
            <w:hideMark/>
          </w:tcPr>
          <w:p w14:paraId="555507B4" w14:textId="77777777" w:rsidR="00376950" w:rsidRPr="00992414" w:rsidRDefault="00376950">
            <w:pPr>
              <w:pStyle w:val="ColumnHeading"/>
              <w:keepNext/>
            </w:pPr>
            <w:r w:rsidRPr="00992414">
              <w:t>Pozmeňujúci návrh</w:t>
            </w:r>
          </w:p>
        </w:tc>
      </w:tr>
      <w:tr w:rsidR="00376950" w:rsidRPr="00992414" w14:paraId="5FCF2E12" w14:textId="77777777" w:rsidTr="00376950">
        <w:trPr>
          <w:jc w:val="center"/>
        </w:trPr>
        <w:tc>
          <w:tcPr>
            <w:tcW w:w="4876" w:type="dxa"/>
          </w:tcPr>
          <w:p w14:paraId="6487242B" w14:textId="77777777" w:rsidR="00376950" w:rsidRPr="00992414" w:rsidRDefault="00376950">
            <w:pPr>
              <w:pStyle w:val="Normal6"/>
            </w:pPr>
          </w:p>
        </w:tc>
        <w:tc>
          <w:tcPr>
            <w:tcW w:w="4876" w:type="dxa"/>
            <w:hideMark/>
          </w:tcPr>
          <w:p w14:paraId="2F836BE6" w14:textId="08E88C77" w:rsidR="00376950" w:rsidRPr="00992414" w:rsidRDefault="00376950" w:rsidP="009C04AE">
            <w:pPr>
              <w:pStyle w:val="Normal6"/>
              <w:rPr>
                <w:szCs w:val="24"/>
              </w:rPr>
            </w:pPr>
            <w:r w:rsidRPr="00992414">
              <w:rPr>
                <w:b/>
                <w:i/>
              </w:rPr>
              <w:t>4a.</w:t>
            </w:r>
            <w:r w:rsidRPr="00992414">
              <w:rPr>
                <w:b/>
                <w:i/>
              </w:rPr>
              <w:tab/>
              <w:t>informácie a výsledky uvedené v odseku 1 písm. d) sa oznámia každých šesť mesiacov alebo na požiadanie všetkým členským štátom a Komisii.</w:t>
            </w:r>
          </w:p>
        </w:tc>
      </w:tr>
    </w:tbl>
    <w:p w14:paraId="40104A90" w14:textId="77777777" w:rsidR="00376950" w:rsidRPr="00992414" w:rsidRDefault="00376950" w:rsidP="00376950">
      <w:r w:rsidRPr="00992414">
        <w:rPr>
          <w:rStyle w:val="HideTWBExt"/>
          <w:noProof w:val="0"/>
        </w:rPr>
        <w:t>&lt;/Amend&gt;</w:t>
      </w:r>
    </w:p>
    <w:p w14:paraId="4C095F49" w14:textId="494339EF"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76</w:t>
      </w:r>
      <w:r w:rsidRPr="00992414">
        <w:rPr>
          <w:rStyle w:val="HideTWBExt"/>
          <w:b w:val="0"/>
          <w:noProof w:val="0"/>
        </w:rPr>
        <w:t>&lt;/NumAm&gt;</w:t>
      </w:r>
    </w:p>
    <w:p w14:paraId="1E995FB8"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7CF9D468" w14:textId="77777777" w:rsidR="00376950" w:rsidRPr="00992414" w:rsidRDefault="00376950" w:rsidP="00376950">
      <w:pPr>
        <w:pStyle w:val="NormalBold"/>
      </w:pPr>
      <w:r w:rsidRPr="00992414">
        <w:rPr>
          <w:rStyle w:val="HideTWBExt"/>
          <w:b w:val="0"/>
          <w:noProof w:val="0"/>
        </w:rPr>
        <w:t>&lt;Article&gt;</w:t>
      </w:r>
      <w:r w:rsidRPr="00992414">
        <w:t>Článok 10 – odsek 1 – úvodná časť</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6E786039" w14:textId="77777777" w:rsidTr="00376950">
        <w:trPr>
          <w:jc w:val="center"/>
        </w:trPr>
        <w:tc>
          <w:tcPr>
            <w:tcW w:w="9752" w:type="dxa"/>
            <w:gridSpan w:val="2"/>
          </w:tcPr>
          <w:p w14:paraId="17568D53" w14:textId="77777777" w:rsidR="00376950" w:rsidRPr="00992414" w:rsidRDefault="00376950">
            <w:pPr>
              <w:keepNext/>
            </w:pPr>
          </w:p>
        </w:tc>
      </w:tr>
      <w:tr w:rsidR="00376950" w:rsidRPr="00992414" w14:paraId="09EC9C39" w14:textId="77777777" w:rsidTr="00376950">
        <w:trPr>
          <w:jc w:val="center"/>
        </w:trPr>
        <w:tc>
          <w:tcPr>
            <w:tcW w:w="4876" w:type="dxa"/>
            <w:hideMark/>
          </w:tcPr>
          <w:p w14:paraId="1B1057F4" w14:textId="77777777" w:rsidR="00376950" w:rsidRPr="00992414" w:rsidRDefault="00376950">
            <w:pPr>
              <w:pStyle w:val="ColumnHeading"/>
              <w:keepNext/>
            </w:pPr>
            <w:r w:rsidRPr="00992414">
              <w:t>Text predložený Komisiou</w:t>
            </w:r>
          </w:p>
        </w:tc>
        <w:tc>
          <w:tcPr>
            <w:tcW w:w="4876" w:type="dxa"/>
            <w:hideMark/>
          </w:tcPr>
          <w:p w14:paraId="5D0AFF2F" w14:textId="77777777" w:rsidR="00376950" w:rsidRPr="00992414" w:rsidRDefault="00376950">
            <w:pPr>
              <w:pStyle w:val="ColumnHeading"/>
              <w:keepNext/>
            </w:pPr>
            <w:r w:rsidRPr="00992414">
              <w:t>Pozmeňujúci návrh</w:t>
            </w:r>
          </w:p>
        </w:tc>
      </w:tr>
      <w:tr w:rsidR="00376950" w:rsidRPr="00992414" w14:paraId="4DA19A1F" w14:textId="77777777" w:rsidTr="00376950">
        <w:trPr>
          <w:jc w:val="center"/>
        </w:trPr>
        <w:tc>
          <w:tcPr>
            <w:tcW w:w="4876" w:type="dxa"/>
            <w:hideMark/>
          </w:tcPr>
          <w:p w14:paraId="5531EAA2" w14:textId="77777777" w:rsidR="00376950" w:rsidRPr="00992414" w:rsidRDefault="00376950">
            <w:pPr>
              <w:pStyle w:val="Normal6"/>
            </w:pPr>
            <w:r w:rsidRPr="00992414">
              <w:t>1.</w:t>
            </w:r>
            <w:r w:rsidRPr="00992414">
              <w:tab/>
              <w:t xml:space="preserve">Členské štáty alebo Komisia môžu v rámci vzájomnej administratívnej pomoci oznámiť tretej krajine ďalej uvedené informácie, pod podmienkou, že na to udelí súhlas príslušný orgán, ktorý tieto informácie od </w:t>
            </w:r>
            <w:r w:rsidRPr="00992414">
              <w:rPr>
                <w:b/>
                <w:i/>
              </w:rPr>
              <w:t>deklaranta</w:t>
            </w:r>
            <w:r w:rsidRPr="00992414">
              <w:t xml:space="preserve"> alebo </w:t>
            </w:r>
            <w:r w:rsidRPr="00992414">
              <w:rPr>
                <w:b/>
                <w:i/>
              </w:rPr>
              <w:t>jeho zástupcu</w:t>
            </w:r>
            <w:r w:rsidRPr="00992414">
              <w:t xml:space="preserve"> získal, a pod podmienkou, že takéto oznámenie je v súlade s príslušnými vnútroštátnymi ustanoveniami a ustanoveniami Únie o prenose osobných údajov do tretích krajín:</w:t>
            </w:r>
          </w:p>
        </w:tc>
        <w:tc>
          <w:tcPr>
            <w:tcW w:w="4876" w:type="dxa"/>
            <w:hideMark/>
          </w:tcPr>
          <w:p w14:paraId="77031DF8" w14:textId="77777777" w:rsidR="00376950" w:rsidRPr="00992414" w:rsidRDefault="00376950">
            <w:pPr>
              <w:pStyle w:val="Normal6"/>
              <w:rPr>
                <w:szCs w:val="24"/>
              </w:rPr>
            </w:pPr>
            <w:r w:rsidRPr="00992414">
              <w:t>1.</w:t>
            </w:r>
            <w:r w:rsidRPr="00992414">
              <w:tab/>
              <w:t xml:space="preserve">Členské štáty alebo Komisia môžu v rámci vzájomnej administratívnej pomoci oznámiť tretej krajine ďalej uvedené informácie, pod podmienkou, že na to udelí súhlas príslušný orgán, ktorý tieto informácie od </w:t>
            </w:r>
            <w:r w:rsidRPr="00992414">
              <w:rPr>
                <w:b/>
                <w:i/>
              </w:rPr>
              <w:t>prepravcu</w:t>
            </w:r>
            <w:r w:rsidRPr="00992414">
              <w:t xml:space="preserve"> alebo </w:t>
            </w:r>
            <w:r w:rsidRPr="00992414">
              <w:rPr>
                <w:b/>
                <w:i/>
              </w:rPr>
              <w:t>deklaranta</w:t>
            </w:r>
            <w:r w:rsidRPr="00992414">
              <w:t xml:space="preserve"> získal, a pod podmienkou, že takéto oznámenie je v súlade s príslušnými vnútroštátnymi ustanoveniami a ustanoveniami Únie o prenose osobných údajov do tretích krajín:</w:t>
            </w:r>
          </w:p>
        </w:tc>
      </w:tr>
    </w:tbl>
    <w:p w14:paraId="30755428" w14:textId="77777777" w:rsidR="00376950" w:rsidRPr="00992414" w:rsidRDefault="00376950" w:rsidP="00376950">
      <w:r w:rsidRPr="00992414">
        <w:rPr>
          <w:rStyle w:val="HideTWBExt"/>
          <w:noProof w:val="0"/>
        </w:rPr>
        <w:t>&lt;/Amend&gt;</w:t>
      </w:r>
    </w:p>
    <w:p w14:paraId="202A41D9" w14:textId="660ECA59"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77</w:t>
      </w:r>
      <w:r w:rsidRPr="00992414">
        <w:rPr>
          <w:rStyle w:val="HideTWBExt"/>
          <w:b w:val="0"/>
          <w:noProof w:val="0"/>
        </w:rPr>
        <w:t>&lt;/NumAm&gt;</w:t>
      </w:r>
    </w:p>
    <w:p w14:paraId="102CE7F8"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25CBC92C" w14:textId="77777777" w:rsidR="00376950" w:rsidRPr="00992414" w:rsidRDefault="00376950" w:rsidP="00376950">
      <w:pPr>
        <w:pStyle w:val="NormalBold"/>
      </w:pPr>
      <w:r w:rsidRPr="00992414">
        <w:rPr>
          <w:rStyle w:val="HideTWBExt"/>
          <w:b w:val="0"/>
          <w:noProof w:val="0"/>
        </w:rPr>
        <w:t>&lt;Article&gt;</w:t>
      </w:r>
      <w:r w:rsidRPr="00992414">
        <w:t>Článok 10 – odsek 2</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670A20A1" w14:textId="77777777" w:rsidTr="00376950">
        <w:trPr>
          <w:jc w:val="center"/>
        </w:trPr>
        <w:tc>
          <w:tcPr>
            <w:tcW w:w="9752" w:type="dxa"/>
            <w:gridSpan w:val="2"/>
          </w:tcPr>
          <w:p w14:paraId="15F159AE" w14:textId="77777777" w:rsidR="00376950" w:rsidRPr="00992414" w:rsidRDefault="00376950">
            <w:pPr>
              <w:keepNext/>
            </w:pPr>
          </w:p>
        </w:tc>
      </w:tr>
      <w:tr w:rsidR="00376950" w:rsidRPr="00992414" w14:paraId="2ABDF36C" w14:textId="77777777" w:rsidTr="00376950">
        <w:trPr>
          <w:jc w:val="center"/>
        </w:trPr>
        <w:tc>
          <w:tcPr>
            <w:tcW w:w="4876" w:type="dxa"/>
            <w:hideMark/>
          </w:tcPr>
          <w:p w14:paraId="0A92B814" w14:textId="77777777" w:rsidR="00376950" w:rsidRPr="00992414" w:rsidRDefault="00376950">
            <w:pPr>
              <w:pStyle w:val="ColumnHeading"/>
              <w:keepNext/>
            </w:pPr>
            <w:r w:rsidRPr="00992414">
              <w:t>Text predložený Komisiou</w:t>
            </w:r>
          </w:p>
        </w:tc>
        <w:tc>
          <w:tcPr>
            <w:tcW w:w="4876" w:type="dxa"/>
            <w:hideMark/>
          </w:tcPr>
          <w:p w14:paraId="39AC86D9" w14:textId="77777777" w:rsidR="00376950" w:rsidRPr="00992414" w:rsidRDefault="00376950">
            <w:pPr>
              <w:pStyle w:val="ColumnHeading"/>
              <w:keepNext/>
            </w:pPr>
            <w:r w:rsidRPr="00992414">
              <w:t>Pozmeňujúci návrh</w:t>
            </w:r>
          </w:p>
        </w:tc>
      </w:tr>
      <w:tr w:rsidR="00376950" w:rsidRPr="00992414" w14:paraId="501846A0" w14:textId="77777777" w:rsidTr="00376950">
        <w:trPr>
          <w:jc w:val="center"/>
        </w:trPr>
        <w:tc>
          <w:tcPr>
            <w:tcW w:w="4876" w:type="dxa"/>
            <w:hideMark/>
          </w:tcPr>
          <w:p w14:paraId="54303FBD" w14:textId="77777777" w:rsidR="00376950" w:rsidRPr="00992414" w:rsidRDefault="00376950">
            <w:pPr>
              <w:pStyle w:val="Normal6"/>
            </w:pPr>
            <w:r w:rsidRPr="00992414">
              <w:t>2.</w:t>
            </w:r>
            <w:r w:rsidRPr="00992414">
              <w:tab/>
              <w:t>Členské štáty akékoľvek poskytnutie informácií podľa odseku 1 oznamujú Komisii.</w:t>
            </w:r>
          </w:p>
        </w:tc>
        <w:tc>
          <w:tcPr>
            <w:tcW w:w="4876" w:type="dxa"/>
            <w:hideMark/>
          </w:tcPr>
          <w:p w14:paraId="5A0A16C4" w14:textId="5C61671A" w:rsidR="00376950" w:rsidRPr="00992414" w:rsidRDefault="00376950" w:rsidP="007F113B">
            <w:pPr>
              <w:pStyle w:val="Normal6"/>
              <w:rPr>
                <w:szCs w:val="24"/>
              </w:rPr>
            </w:pPr>
            <w:r w:rsidRPr="00992414">
              <w:t>2.</w:t>
            </w:r>
            <w:r w:rsidRPr="00992414">
              <w:tab/>
              <w:t>Členské štáty akékoľvek poskytnutie informácií podľa odseku 1 oznamujú Komisii</w:t>
            </w:r>
            <w:r w:rsidRPr="00992414">
              <w:rPr>
                <w:b/>
                <w:i/>
              </w:rPr>
              <w:t xml:space="preserve"> a Komisia každoročne podáva správu o týchto informáciách Európskemu parlamentu</w:t>
            </w:r>
            <w:r w:rsidRPr="00992414">
              <w:t>.</w:t>
            </w:r>
          </w:p>
        </w:tc>
      </w:tr>
    </w:tbl>
    <w:p w14:paraId="7AE5ECC4" w14:textId="77777777" w:rsidR="00376950" w:rsidRPr="00992414" w:rsidRDefault="00376950" w:rsidP="00376950">
      <w:r w:rsidRPr="00992414">
        <w:rPr>
          <w:rStyle w:val="HideTWBExt"/>
          <w:noProof w:val="0"/>
        </w:rPr>
        <w:t>&lt;/Amend&gt;</w:t>
      </w:r>
    </w:p>
    <w:p w14:paraId="61B910FD" w14:textId="198F527F"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78</w:t>
      </w:r>
      <w:r w:rsidRPr="00992414">
        <w:rPr>
          <w:rStyle w:val="HideTWBExt"/>
          <w:b w:val="0"/>
          <w:noProof w:val="0"/>
        </w:rPr>
        <w:t>&lt;/NumAm&gt;</w:t>
      </w:r>
    </w:p>
    <w:p w14:paraId="13CDA86F"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53C35ABA" w14:textId="77777777" w:rsidR="00376950" w:rsidRPr="00992414" w:rsidRDefault="00376950" w:rsidP="00376950">
      <w:pPr>
        <w:pStyle w:val="NormalBold"/>
      </w:pPr>
      <w:r w:rsidRPr="00992414">
        <w:rPr>
          <w:rStyle w:val="HideTWBExt"/>
          <w:b w:val="0"/>
          <w:noProof w:val="0"/>
        </w:rPr>
        <w:t>&lt;Article&gt;</w:t>
      </w:r>
      <w:r w:rsidRPr="00992414">
        <w:t>Článok 12 – odsek 1</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2A259651" w14:textId="77777777" w:rsidTr="00376950">
        <w:trPr>
          <w:jc w:val="center"/>
        </w:trPr>
        <w:tc>
          <w:tcPr>
            <w:tcW w:w="9752" w:type="dxa"/>
            <w:gridSpan w:val="2"/>
          </w:tcPr>
          <w:p w14:paraId="087C7873" w14:textId="77777777" w:rsidR="00376950" w:rsidRPr="00992414" w:rsidRDefault="00376950">
            <w:pPr>
              <w:keepNext/>
            </w:pPr>
          </w:p>
        </w:tc>
      </w:tr>
      <w:tr w:rsidR="00376950" w:rsidRPr="00992414" w14:paraId="1811A0C7" w14:textId="77777777" w:rsidTr="00376950">
        <w:trPr>
          <w:jc w:val="center"/>
        </w:trPr>
        <w:tc>
          <w:tcPr>
            <w:tcW w:w="4876" w:type="dxa"/>
            <w:hideMark/>
          </w:tcPr>
          <w:p w14:paraId="7F046049" w14:textId="77777777" w:rsidR="00376950" w:rsidRPr="00992414" w:rsidRDefault="00376950">
            <w:pPr>
              <w:pStyle w:val="ColumnHeading"/>
              <w:keepNext/>
            </w:pPr>
            <w:r w:rsidRPr="00992414">
              <w:t>Text predložený Komisiou</w:t>
            </w:r>
          </w:p>
        </w:tc>
        <w:tc>
          <w:tcPr>
            <w:tcW w:w="4876" w:type="dxa"/>
            <w:hideMark/>
          </w:tcPr>
          <w:p w14:paraId="65EEDFEE" w14:textId="77777777" w:rsidR="00376950" w:rsidRPr="00992414" w:rsidRDefault="00376950">
            <w:pPr>
              <w:pStyle w:val="ColumnHeading"/>
              <w:keepNext/>
            </w:pPr>
            <w:r w:rsidRPr="00992414">
              <w:t>Pozmeňujúci návrh</w:t>
            </w:r>
          </w:p>
        </w:tc>
      </w:tr>
      <w:tr w:rsidR="00376950" w:rsidRPr="00992414" w14:paraId="020A8D20" w14:textId="77777777" w:rsidTr="00376950">
        <w:trPr>
          <w:jc w:val="center"/>
        </w:trPr>
        <w:tc>
          <w:tcPr>
            <w:tcW w:w="4876" w:type="dxa"/>
            <w:hideMark/>
          </w:tcPr>
          <w:p w14:paraId="7751BAAC" w14:textId="77777777" w:rsidR="00376950" w:rsidRPr="00992414" w:rsidRDefault="00376950">
            <w:pPr>
              <w:pStyle w:val="Normal6"/>
            </w:pPr>
            <w:r w:rsidRPr="00992414">
              <w:t>1.</w:t>
            </w:r>
            <w:r w:rsidRPr="00992414">
              <w:tab/>
              <w:t>Príslušné orgány konajú ako prevádzkovatelia osobných údajov, ktoré získali v</w:t>
            </w:r>
            <w:r w:rsidRPr="00992414">
              <w:rPr>
                <w:b/>
                <w:i/>
              </w:rPr>
              <w:t xml:space="preserve"> </w:t>
            </w:r>
            <w:r w:rsidRPr="00992414">
              <w:t>súlade s</w:t>
            </w:r>
            <w:r w:rsidRPr="00992414">
              <w:rPr>
                <w:b/>
                <w:i/>
              </w:rPr>
              <w:t xml:space="preserve"> </w:t>
            </w:r>
            <w:r w:rsidRPr="00992414">
              <w:t>článkami 3, 4 a 6.</w:t>
            </w:r>
          </w:p>
        </w:tc>
        <w:tc>
          <w:tcPr>
            <w:tcW w:w="4876" w:type="dxa"/>
            <w:hideMark/>
          </w:tcPr>
          <w:p w14:paraId="15734429" w14:textId="77777777" w:rsidR="00376950" w:rsidRPr="00992414" w:rsidRDefault="00376950">
            <w:pPr>
              <w:pStyle w:val="Normal6"/>
              <w:rPr>
                <w:szCs w:val="24"/>
              </w:rPr>
            </w:pPr>
            <w:r w:rsidRPr="00992414">
              <w:t>1.</w:t>
            </w:r>
            <w:r w:rsidRPr="00992414">
              <w:tab/>
              <w:t>Príslušné orgány konajú ako prevádzkovatelia osobných údajov, ktoré získali v</w:t>
            </w:r>
            <w:r w:rsidRPr="00992414">
              <w:rPr>
                <w:b/>
                <w:i/>
              </w:rPr>
              <w:t> </w:t>
            </w:r>
            <w:r w:rsidRPr="00992414">
              <w:t>súlade s</w:t>
            </w:r>
            <w:r w:rsidRPr="00992414">
              <w:rPr>
                <w:b/>
                <w:i/>
              </w:rPr>
              <w:t> </w:t>
            </w:r>
            <w:r w:rsidRPr="00992414">
              <w:t>článkami 3, 4</w:t>
            </w:r>
            <w:r w:rsidRPr="00992414">
              <w:rPr>
                <w:b/>
                <w:i/>
              </w:rPr>
              <w:t>, 5 ods. 3</w:t>
            </w:r>
            <w:r w:rsidRPr="00992414">
              <w:t xml:space="preserve"> a</w:t>
            </w:r>
            <w:r w:rsidRPr="00992414">
              <w:rPr>
                <w:b/>
                <w:i/>
              </w:rPr>
              <w:t> článkom</w:t>
            </w:r>
            <w:r w:rsidRPr="00992414">
              <w:t xml:space="preserve"> 6.</w:t>
            </w:r>
          </w:p>
        </w:tc>
      </w:tr>
    </w:tbl>
    <w:p w14:paraId="1E600960" w14:textId="77777777" w:rsidR="00376950" w:rsidRPr="00992414" w:rsidRDefault="00376950" w:rsidP="00376950">
      <w:r w:rsidRPr="00992414">
        <w:rPr>
          <w:rStyle w:val="HideTWBExt"/>
          <w:noProof w:val="0"/>
        </w:rPr>
        <w:t>&lt;/Amend&gt;</w:t>
      </w:r>
    </w:p>
    <w:p w14:paraId="7CDEC93D" w14:textId="752301BC" w:rsidR="00C83623" w:rsidRPr="00992414" w:rsidRDefault="00C83623" w:rsidP="00C83623">
      <w:pPr>
        <w:pStyle w:val="AMNumberTabs"/>
        <w:keepNext/>
      </w:pPr>
      <w:r w:rsidRPr="00992414">
        <w:rPr>
          <w:rStyle w:val="HideTWBExt"/>
          <w:b w:val="0"/>
          <w:noProof w:val="0"/>
        </w:rPr>
        <w:t>&lt;AmendB&gt;</w:t>
      </w:r>
      <w:r w:rsidRPr="00992414">
        <w:t>Pozmeňujúci návrh</w:t>
      </w:r>
      <w:r w:rsidRPr="00992414">
        <w:tab/>
      </w:r>
      <w:r w:rsidRPr="00992414">
        <w:tab/>
      </w:r>
      <w:r w:rsidRPr="00992414">
        <w:rPr>
          <w:rStyle w:val="HideTWBExt"/>
          <w:b w:val="0"/>
          <w:noProof w:val="0"/>
        </w:rPr>
        <w:t>&lt;NumAmB&gt;</w:t>
      </w:r>
      <w:r w:rsidRPr="00992414">
        <w:t>79</w:t>
      </w:r>
      <w:r w:rsidRPr="00992414">
        <w:rPr>
          <w:rStyle w:val="HideTWBExt"/>
          <w:b w:val="0"/>
          <w:noProof w:val="0"/>
        </w:rPr>
        <w:t>&lt;/NumAmB&gt;</w:t>
      </w:r>
    </w:p>
    <w:p w14:paraId="09DB1FB3" w14:textId="77777777" w:rsidR="00C83623" w:rsidRPr="00992414" w:rsidRDefault="00C83623" w:rsidP="00C83623">
      <w:pPr>
        <w:pStyle w:val="NormalBold12b"/>
      </w:pPr>
      <w:r w:rsidRPr="00992414">
        <w:rPr>
          <w:rStyle w:val="HideTWBExt"/>
          <w:b w:val="0"/>
          <w:noProof w:val="0"/>
        </w:rPr>
        <w:t>&lt;DocAmend&gt;</w:t>
      </w:r>
      <w:r w:rsidRPr="00992414">
        <w:t>Návrh nariadenia</w:t>
      </w:r>
      <w:r w:rsidRPr="00992414">
        <w:rPr>
          <w:rStyle w:val="HideTWBExt"/>
          <w:b w:val="0"/>
          <w:noProof w:val="0"/>
        </w:rPr>
        <w:t>&lt;/DocAmend&gt;</w:t>
      </w:r>
    </w:p>
    <w:p w14:paraId="365BD74A" w14:textId="77777777" w:rsidR="00C83623" w:rsidRPr="00992414" w:rsidRDefault="00C83623" w:rsidP="00C83623">
      <w:pPr>
        <w:pStyle w:val="NormalBold"/>
      </w:pPr>
      <w:r w:rsidRPr="00992414">
        <w:rPr>
          <w:rStyle w:val="HideTWBExt"/>
          <w:b w:val="0"/>
          <w:noProof w:val="0"/>
        </w:rPr>
        <w:t>&lt;Article&gt;</w:t>
      </w:r>
      <w:r w:rsidRPr="00992414">
        <w:t>Článok 12 – odsek 2</w:t>
      </w:r>
      <w:r w:rsidRPr="0099241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3623" w:rsidRPr="00992414" w14:paraId="66851C0A" w14:textId="77777777" w:rsidTr="00245FBF">
        <w:trPr>
          <w:jc w:val="center"/>
        </w:trPr>
        <w:tc>
          <w:tcPr>
            <w:tcW w:w="9752" w:type="dxa"/>
            <w:gridSpan w:val="2"/>
          </w:tcPr>
          <w:p w14:paraId="7C5F13BC" w14:textId="77777777" w:rsidR="00C83623" w:rsidRPr="00992414" w:rsidRDefault="00C83623" w:rsidP="00245FBF">
            <w:pPr>
              <w:keepNext/>
            </w:pPr>
          </w:p>
        </w:tc>
      </w:tr>
      <w:tr w:rsidR="00C83623" w:rsidRPr="00992414" w14:paraId="46C4BE1B" w14:textId="77777777" w:rsidTr="00245FBF">
        <w:trPr>
          <w:jc w:val="center"/>
        </w:trPr>
        <w:tc>
          <w:tcPr>
            <w:tcW w:w="4876" w:type="dxa"/>
          </w:tcPr>
          <w:p w14:paraId="1B919882" w14:textId="77777777" w:rsidR="00C83623" w:rsidRPr="00992414" w:rsidRDefault="00C83623" w:rsidP="00245FBF">
            <w:pPr>
              <w:pStyle w:val="ColumnHeading"/>
              <w:keepNext/>
            </w:pPr>
            <w:r w:rsidRPr="00992414">
              <w:t>Text predložený Komisiou</w:t>
            </w:r>
          </w:p>
        </w:tc>
        <w:tc>
          <w:tcPr>
            <w:tcW w:w="4876" w:type="dxa"/>
          </w:tcPr>
          <w:p w14:paraId="3B9463C8" w14:textId="77777777" w:rsidR="00C83623" w:rsidRPr="00992414" w:rsidRDefault="00C83623" w:rsidP="00245FBF">
            <w:pPr>
              <w:pStyle w:val="ColumnHeading"/>
              <w:keepNext/>
            </w:pPr>
            <w:r w:rsidRPr="00992414">
              <w:t>Pozmeňujúci návrh</w:t>
            </w:r>
          </w:p>
        </w:tc>
      </w:tr>
      <w:tr w:rsidR="00C83623" w:rsidRPr="00992414" w14:paraId="07CDC444" w14:textId="77777777" w:rsidTr="00245FBF">
        <w:trPr>
          <w:jc w:val="center"/>
        </w:trPr>
        <w:tc>
          <w:tcPr>
            <w:tcW w:w="4876" w:type="dxa"/>
          </w:tcPr>
          <w:p w14:paraId="04BDF278" w14:textId="77777777" w:rsidR="00C83623" w:rsidRPr="00992414" w:rsidRDefault="00C83623" w:rsidP="00245FBF">
            <w:pPr>
              <w:pStyle w:val="Normal6"/>
            </w:pPr>
            <w:r w:rsidRPr="00992414">
              <w:t>2.</w:t>
            </w:r>
            <w:r w:rsidRPr="00992414">
              <w:tab/>
              <w:t xml:space="preserve">Spracovanie osobných údajov na základe tohto nariadenia sa uskutočňuje len na účely predchádzania </w:t>
            </w:r>
            <w:r w:rsidRPr="00992414">
              <w:rPr>
                <w:b/>
                <w:i/>
              </w:rPr>
              <w:t>trestnej činnosti a boja proti nej</w:t>
            </w:r>
            <w:r w:rsidRPr="00992414">
              <w:t>. .</w:t>
            </w:r>
          </w:p>
        </w:tc>
        <w:tc>
          <w:tcPr>
            <w:tcW w:w="4876" w:type="dxa"/>
          </w:tcPr>
          <w:p w14:paraId="060BA536" w14:textId="2462CA6C" w:rsidR="00ED1AD3" w:rsidRPr="00992414" w:rsidRDefault="00C83623" w:rsidP="0068488D">
            <w:pPr>
              <w:pStyle w:val="Normal6"/>
              <w:rPr>
                <w:szCs w:val="24"/>
              </w:rPr>
            </w:pPr>
            <w:r w:rsidRPr="00992414">
              <w:t>2.</w:t>
            </w:r>
            <w:r w:rsidRPr="00992414">
              <w:tab/>
              <w:t xml:space="preserve">Spracovanie osobných údajov na základe tohto nariadenia sa uskutočňuje len na účely predchádzania </w:t>
            </w:r>
            <w:r w:rsidRPr="00992414">
              <w:rPr>
                <w:b/>
                <w:i/>
              </w:rPr>
              <w:t>trestným činom, ich vyšetrovania, odhaľovania alebo stíhania alebo na účely výkonu trestných sankcií</w:t>
            </w:r>
            <w:r w:rsidRPr="00992414">
              <w:t>.</w:t>
            </w:r>
            <w:r w:rsidRPr="00992414">
              <w:rPr>
                <w:b/>
                <w:i/>
              </w:rPr>
              <w:t xml:space="preserve"> Toto spracovanie patrí do rozsahu pôsobnosti smernice Európskeho parlamentu a Rady (EÚ) 2016/680</w:t>
            </w:r>
            <w:r w:rsidRPr="00992414">
              <w:rPr>
                <w:b/>
                <w:i/>
                <w:vertAlign w:val="superscript"/>
              </w:rPr>
              <w:t>1a</w:t>
            </w:r>
            <w:r w:rsidRPr="00992414">
              <w:rPr>
                <w:b/>
                <w:i/>
              </w:rPr>
              <w:t>.</w:t>
            </w:r>
          </w:p>
        </w:tc>
      </w:tr>
      <w:tr w:rsidR="0068488D" w:rsidRPr="00992414" w14:paraId="27D969E2" w14:textId="77777777" w:rsidTr="00245FBF">
        <w:trPr>
          <w:jc w:val="center"/>
        </w:trPr>
        <w:tc>
          <w:tcPr>
            <w:tcW w:w="4876" w:type="dxa"/>
          </w:tcPr>
          <w:p w14:paraId="53933EE9" w14:textId="77777777" w:rsidR="0068488D" w:rsidRPr="00992414" w:rsidRDefault="0068488D" w:rsidP="00245FBF">
            <w:pPr>
              <w:pStyle w:val="Normal6"/>
            </w:pPr>
          </w:p>
        </w:tc>
        <w:tc>
          <w:tcPr>
            <w:tcW w:w="4876" w:type="dxa"/>
          </w:tcPr>
          <w:p w14:paraId="52E149CF" w14:textId="3B96E536" w:rsidR="0068488D" w:rsidRPr="00992414" w:rsidRDefault="0068488D" w:rsidP="00ED1AD3">
            <w:pPr>
              <w:pStyle w:val="Normal6"/>
            </w:pPr>
            <w:r w:rsidRPr="00992414">
              <w:rPr>
                <w:b/>
                <w:i/>
              </w:rPr>
              <w:t>___________________</w:t>
            </w:r>
          </w:p>
        </w:tc>
      </w:tr>
      <w:tr w:rsidR="0068488D" w:rsidRPr="00992414" w14:paraId="7F094CF6" w14:textId="77777777" w:rsidTr="00245FBF">
        <w:trPr>
          <w:jc w:val="center"/>
        </w:trPr>
        <w:tc>
          <w:tcPr>
            <w:tcW w:w="4876" w:type="dxa"/>
          </w:tcPr>
          <w:p w14:paraId="61126F9C" w14:textId="77777777" w:rsidR="0068488D" w:rsidRPr="00992414" w:rsidRDefault="0068488D" w:rsidP="00245FBF">
            <w:pPr>
              <w:pStyle w:val="Normal6"/>
            </w:pPr>
          </w:p>
        </w:tc>
        <w:tc>
          <w:tcPr>
            <w:tcW w:w="4876" w:type="dxa"/>
          </w:tcPr>
          <w:p w14:paraId="1B509FA5" w14:textId="03087F65" w:rsidR="0068488D" w:rsidRPr="00992414" w:rsidRDefault="0068488D" w:rsidP="00ED1AD3">
            <w:pPr>
              <w:pStyle w:val="Normal6"/>
            </w:pPr>
            <w:r w:rsidRPr="00992414">
              <w:rPr>
                <w:b/>
                <w:i/>
                <w:vertAlign w:val="superscript"/>
              </w:rPr>
              <w:t>1a</w:t>
            </w:r>
            <w:r w:rsidRPr="00992414">
              <w:rPr>
                <w:b/>
                <w:i/>
              </w:rPr>
              <w:t xml:space="preserve"> Smernica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Ú. v. EÚ L 119, 4.5.2016, s. 89.</w:t>
            </w:r>
          </w:p>
        </w:tc>
      </w:tr>
    </w:tbl>
    <w:p w14:paraId="7BEF084A" w14:textId="77777777" w:rsidR="00C83623" w:rsidRPr="00992414" w:rsidRDefault="00C83623" w:rsidP="00C83623">
      <w:pPr>
        <w:pStyle w:val="JustificationTitle"/>
      </w:pPr>
      <w:r w:rsidRPr="00992414">
        <w:rPr>
          <w:rStyle w:val="HideTWBExt"/>
          <w:i w:val="0"/>
          <w:noProof w:val="0"/>
        </w:rPr>
        <w:t>&lt;TitreJust&gt;</w:t>
      </w:r>
      <w:r w:rsidRPr="00992414">
        <w:t>Odôvodnenie</w:t>
      </w:r>
      <w:r w:rsidRPr="00992414">
        <w:rPr>
          <w:rStyle w:val="HideTWBExt"/>
          <w:i w:val="0"/>
          <w:noProof w:val="0"/>
        </w:rPr>
        <w:t>&lt;/TitreJust&gt;</w:t>
      </w:r>
    </w:p>
    <w:p w14:paraId="1C1E09CD" w14:textId="77777777" w:rsidR="00C83623" w:rsidRPr="00992414" w:rsidRDefault="00C83623" w:rsidP="00C83623">
      <w:pPr>
        <w:pStyle w:val="Normal12Italic"/>
      </w:pPr>
      <w:r w:rsidRPr="00992414">
        <w:t>Zosúladenie znenia so smernicou 2016/680 o ochrane údajov.</w:t>
      </w:r>
    </w:p>
    <w:p w14:paraId="476ACE52" w14:textId="77777777" w:rsidR="00C83623" w:rsidRPr="00992414" w:rsidRDefault="00C83623" w:rsidP="00C83623">
      <w:r w:rsidRPr="00992414">
        <w:rPr>
          <w:rStyle w:val="HideTWBExt"/>
          <w:noProof w:val="0"/>
        </w:rPr>
        <w:t>&lt;/AmendB&gt;</w:t>
      </w:r>
    </w:p>
    <w:p w14:paraId="77B76B27" w14:textId="7CFC569D" w:rsidR="000E54D6" w:rsidRPr="00992414" w:rsidRDefault="000E54D6" w:rsidP="000E54D6">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80</w:t>
      </w:r>
      <w:r w:rsidRPr="00992414">
        <w:rPr>
          <w:rStyle w:val="HideTWBExt"/>
          <w:b w:val="0"/>
          <w:noProof w:val="0"/>
        </w:rPr>
        <w:t>&lt;/NumAm&gt;</w:t>
      </w:r>
    </w:p>
    <w:p w14:paraId="5296BB91" w14:textId="77777777" w:rsidR="000E54D6" w:rsidRPr="00992414" w:rsidRDefault="000E54D6" w:rsidP="000E54D6">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7BA68203" w14:textId="77777777" w:rsidR="000E54D6" w:rsidRPr="00992414" w:rsidRDefault="000E54D6" w:rsidP="000E54D6">
      <w:pPr>
        <w:pStyle w:val="NormalBold"/>
      </w:pPr>
      <w:r w:rsidRPr="00992414">
        <w:rPr>
          <w:rStyle w:val="HideTWBExt"/>
          <w:b w:val="0"/>
          <w:noProof w:val="0"/>
        </w:rPr>
        <w:t>&lt;Article&gt;</w:t>
      </w:r>
      <w:r w:rsidRPr="00992414">
        <w:t>Článok 12 – odsek 3</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4D6" w:rsidRPr="00992414" w14:paraId="70A5FDD9" w14:textId="77777777" w:rsidTr="002912B5">
        <w:trPr>
          <w:jc w:val="center"/>
        </w:trPr>
        <w:tc>
          <w:tcPr>
            <w:tcW w:w="9752" w:type="dxa"/>
            <w:gridSpan w:val="2"/>
          </w:tcPr>
          <w:p w14:paraId="3DD6B336" w14:textId="77777777" w:rsidR="000E54D6" w:rsidRPr="00992414" w:rsidRDefault="000E54D6" w:rsidP="002912B5">
            <w:pPr>
              <w:keepNext/>
            </w:pPr>
          </w:p>
        </w:tc>
      </w:tr>
      <w:tr w:rsidR="000E54D6" w:rsidRPr="00992414" w14:paraId="6571CC39" w14:textId="77777777" w:rsidTr="002912B5">
        <w:trPr>
          <w:jc w:val="center"/>
        </w:trPr>
        <w:tc>
          <w:tcPr>
            <w:tcW w:w="4876" w:type="dxa"/>
            <w:hideMark/>
          </w:tcPr>
          <w:p w14:paraId="2B0868DE" w14:textId="77777777" w:rsidR="000E54D6" w:rsidRPr="00992414" w:rsidRDefault="000E54D6" w:rsidP="002912B5">
            <w:pPr>
              <w:pStyle w:val="ColumnHeading"/>
              <w:keepNext/>
            </w:pPr>
            <w:r w:rsidRPr="00992414">
              <w:t>Text predložený Komisiou</w:t>
            </w:r>
          </w:p>
        </w:tc>
        <w:tc>
          <w:tcPr>
            <w:tcW w:w="4876" w:type="dxa"/>
            <w:hideMark/>
          </w:tcPr>
          <w:p w14:paraId="7CABCA03" w14:textId="77777777" w:rsidR="000E54D6" w:rsidRPr="00992414" w:rsidRDefault="000E54D6" w:rsidP="002912B5">
            <w:pPr>
              <w:pStyle w:val="ColumnHeading"/>
              <w:keepNext/>
            </w:pPr>
            <w:r w:rsidRPr="00992414">
              <w:t>Pozmeňujúci návrh</w:t>
            </w:r>
          </w:p>
        </w:tc>
      </w:tr>
      <w:tr w:rsidR="000E54D6" w:rsidRPr="00992414" w14:paraId="5E54E94F" w14:textId="77777777" w:rsidTr="002912B5">
        <w:trPr>
          <w:jc w:val="center"/>
        </w:trPr>
        <w:tc>
          <w:tcPr>
            <w:tcW w:w="4876" w:type="dxa"/>
            <w:hideMark/>
          </w:tcPr>
          <w:p w14:paraId="59B49FB7" w14:textId="77777777" w:rsidR="000E54D6" w:rsidRPr="00992414" w:rsidRDefault="000E54D6" w:rsidP="002912B5">
            <w:pPr>
              <w:pStyle w:val="Normal6"/>
            </w:pPr>
            <w:r w:rsidRPr="00992414">
              <w:t>3.</w:t>
            </w:r>
            <w:r w:rsidRPr="00992414">
              <w:tab/>
              <w:t xml:space="preserve">Prístup k osobným údajom získaným v súlade s </w:t>
            </w:r>
            <w:r w:rsidRPr="00992414">
              <w:rPr>
                <w:b/>
                <w:i/>
              </w:rPr>
              <w:t>odsekmi</w:t>
            </w:r>
            <w:r w:rsidRPr="00992414">
              <w:t xml:space="preserve"> 3, 4 a 6 budú mať len riadne oprávnení zamestnanci príslušných orgánov a tieto údaje budú náležite zabezpečené pred neoprávneným prístupom alebo poskytnutím. Pokiaľ sa v článkoch 8, 9 a 10 nestanovuje inak, predmetné informácie nemožno sprístupniť ani poskytnúť bez výslovného súhlasu príslušného orgánu, ktorý ich pôvodne získal. Tento súhlas však nie je potrebný, keď sú príslušné orgány povinné predmetné informácie sprístupniť alebo poskytnúť podľa právnych predpisov platných v dotknutom členskom štáte, a to najmä v súvislosti so súdnym konaním.</w:t>
            </w:r>
          </w:p>
        </w:tc>
        <w:tc>
          <w:tcPr>
            <w:tcW w:w="4876" w:type="dxa"/>
            <w:hideMark/>
          </w:tcPr>
          <w:p w14:paraId="016016BC" w14:textId="77777777" w:rsidR="000E54D6" w:rsidRPr="00992414" w:rsidRDefault="000E54D6" w:rsidP="002912B5">
            <w:pPr>
              <w:pStyle w:val="Normal6"/>
              <w:rPr>
                <w:szCs w:val="24"/>
              </w:rPr>
            </w:pPr>
            <w:r w:rsidRPr="00992414">
              <w:t>3.</w:t>
            </w:r>
            <w:r w:rsidRPr="00992414">
              <w:tab/>
              <w:t xml:space="preserve">Prístup k osobným údajom získaným v súlade s </w:t>
            </w:r>
            <w:r w:rsidRPr="00992414">
              <w:rPr>
                <w:b/>
                <w:i/>
              </w:rPr>
              <w:t>článkami</w:t>
            </w:r>
            <w:r w:rsidRPr="00992414">
              <w:t xml:space="preserve"> 3, 4</w:t>
            </w:r>
            <w:r w:rsidRPr="00992414">
              <w:rPr>
                <w:b/>
                <w:i/>
              </w:rPr>
              <w:t>, 5 ods. 3</w:t>
            </w:r>
            <w:r w:rsidRPr="00992414">
              <w:t xml:space="preserve"> a</w:t>
            </w:r>
            <w:r w:rsidRPr="00992414">
              <w:rPr>
                <w:b/>
                <w:i/>
              </w:rPr>
              <w:t xml:space="preserve"> článkom</w:t>
            </w:r>
            <w:r w:rsidRPr="00992414">
              <w:t xml:space="preserve"> 6 budú mať len riadne oprávnení zamestnanci príslušných orgánov a tieto údaje budú náležite zabezpečené pred neoprávneným prístupom alebo poskytnutím. Pokiaľ sa v článkoch 8, 9 a 10 nestanovuje inak, predmetné informácie nemožno sprístupniť ani poskytnúť bez výslovného súhlasu príslušného orgánu, ktorý ich pôvodne získal. Tento súhlas však nie je potrebný, keď sú príslušné orgány povinné predmetné informácie sprístupniť alebo poskytnúť podľa právnych predpisov platných v dotknutom členskom štáte, a to najmä v súvislosti so súdnym konaním.</w:t>
            </w:r>
          </w:p>
        </w:tc>
      </w:tr>
    </w:tbl>
    <w:p w14:paraId="7A8772AF" w14:textId="77777777" w:rsidR="000E54D6" w:rsidRPr="00992414" w:rsidRDefault="000E54D6" w:rsidP="000E54D6">
      <w:r w:rsidRPr="00992414">
        <w:rPr>
          <w:rStyle w:val="HideTWBExt"/>
          <w:noProof w:val="0"/>
        </w:rPr>
        <w:t>&lt;/Amend&gt;</w:t>
      </w:r>
    </w:p>
    <w:p w14:paraId="0CB094DA" w14:textId="7C27B9B6"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81</w:t>
      </w:r>
      <w:r w:rsidRPr="00992414">
        <w:rPr>
          <w:rStyle w:val="HideTWBExt"/>
          <w:b w:val="0"/>
          <w:noProof w:val="0"/>
        </w:rPr>
        <w:t>&lt;/NumAm&gt;</w:t>
      </w:r>
    </w:p>
    <w:p w14:paraId="6D4B1FE6"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7613A271" w14:textId="77777777" w:rsidR="00376950" w:rsidRPr="00992414" w:rsidRDefault="00376950" w:rsidP="00376950">
      <w:pPr>
        <w:pStyle w:val="NormalBold"/>
      </w:pPr>
      <w:r w:rsidRPr="00992414">
        <w:rPr>
          <w:rStyle w:val="HideTWBExt"/>
          <w:b w:val="0"/>
          <w:noProof w:val="0"/>
        </w:rPr>
        <w:t>&lt;Article&gt;</w:t>
      </w:r>
      <w:r w:rsidRPr="00992414">
        <w:t>Článok 12 – odsek 4</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74B47F8D" w14:textId="77777777" w:rsidTr="00376950">
        <w:trPr>
          <w:jc w:val="center"/>
        </w:trPr>
        <w:tc>
          <w:tcPr>
            <w:tcW w:w="9752" w:type="dxa"/>
            <w:gridSpan w:val="2"/>
          </w:tcPr>
          <w:p w14:paraId="6A4BB03A" w14:textId="77777777" w:rsidR="00376950" w:rsidRPr="00992414" w:rsidRDefault="00376950">
            <w:pPr>
              <w:keepNext/>
            </w:pPr>
          </w:p>
        </w:tc>
      </w:tr>
      <w:tr w:rsidR="00376950" w:rsidRPr="00992414" w14:paraId="244016B9" w14:textId="77777777" w:rsidTr="00376950">
        <w:trPr>
          <w:jc w:val="center"/>
        </w:trPr>
        <w:tc>
          <w:tcPr>
            <w:tcW w:w="4876" w:type="dxa"/>
            <w:hideMark/>
          </w:tcPr>
          <w:p w14:paraId="4B8E464C" w14:textId="77777777" w:rsidR="00376950" w:rsidRPr="00992414" w:rsidRDefault="00376950">
            <w:pPr>
              <w:pStyle w:val="ColumnHeading"/>
              <w:keepNext/>
            </w:pPr>
            <w:r w:rsidRPr="00992414">
              <w:t>Text predložený Komisiou</w:t>
            </w:r>
          </w:p>
        </w:tc>
        <w:tc>
          <w:tcPr>
            <w:tcW w:w="4876" w:type="dxa"/>
            <w:hideMark/>
          </w:tcPr>
          <w:p w14:paraId="2C2BB80A" w14:textId="77777777" w:rsidR="00376950" w:rsidRPr="00992414" w:rsidRDefault="00376950">
            <w:pPr>
              <w:pStyle w:val="ColumnHeading"/>
              <w:keepNext/>
            </w:pPr>
            <w:r w:rsidRPr="00992414">
              <w:t>Pozmeňujúci návrh</w:t>
            </w:r>
          </w:p>
        </w:tc>
      </w:tr>
      <w:tr w:rsidR="00376950" w:rsidRPr="00992414" w14:paraId="0B63E294" w14:textId="77777777" w:rsidTr="00376950">
        <w:trPr>
          <w:jc w:val="center"/>
        </w:trPr>
        <w:tc>
          <w:tcPr>
            <w:tcW w:w="4876" w:type="dxa"/>
            <w:hideMark/>
          </w:tcPr>
          <w:p w14:paraId="49B48ECC" w14:textId="77777777" w:rsidR="00376950" w:rsidRPr="00992414" w:rsidRDefault="00376950">
            <w:pPr>
              <w:pStyle w:val="Normal6"/>
            </w:pPr>
            <w:r w:rsidRPr="00992414">
              <w:t>4.</w:t>
            </w:r>
            <w:r w:rsidRPr="00992414">
              <w:tab/>
              <w:t xml:space="preserve">Príslušné orgány a finančná spravodajská jednotka uchovávajú osobné údaje získané v súlade s článkami 3, 4 a 6 počas </w:t>
            </w:r>
            <w:r w:rsidRPr="00992414">
              <w:rPr>
                <w:b/>
                <w:i/>
              </w:rPr>
              <w:t>piatich</w:t>
            </w:r>
            <w:r w:rsidRPr="00992414">
              <w:t xml:space="preserve"> rokov odo dňa ich zhromaždenia.</w:t>
            </w:r>
            <w:r w:rsidRPr="00992414">
              <w:rPr>
                <w:b/>
                <w:i/>
              </w:rPr>
              <w:t xml:space="preserve"> Po uplynutí tohto obdobia sa tieto</w:t>
            </w:r>
            <w:r w:rsidRPr="00992414">
              <w:t xml:space="preserve"> údaje </w:t>
            </w:r>
            <w:r w:rsidRPr="00992414">
              <w:rPr>
                <w:b/>
                <w:i/>
              </w:rPr>
              <w:t>vymažú alebo zanonymizujú</w:t>
            </w:r>
            <w:r w:rsidRPr="00992414">
              <w:t>.</w:t>
            </w:r>
          </w:p>
        </w:tc>
        <w:tc>
          <w:tcPr>
            <w:tcW w:w="4876" w:type="dxa"/>
            <w:hideMark/>
          </w:tcPr>
          <w:p w14:paraId="2ED70EEA" w14:textId="58C7EF25" w:rsidR="00376950" w:rsidRPr="00992414" w:rsidRDefault="00376950" w:rsidP="00333105">
            <w:pPr>
              <w:pStyle w:val="Normal6"/>
              <w:rPr>
                <w:b/>
                <w:i/>
                <w:szCs w:val="24"/>
              </w:rPr>
            </w:pPr>
            <w:r w:rsidRPr="00992414">
              <w:t>4.</w:t>
            </w:r>
            <w:r w:rsidRPr="00992414">
              <w:tab/>
              <w:t>Príslušné orgány a finančná spravodajská jednotka uchovávajú osobné údaje získané v súlade s článkami 3, 4</w:t>
            </w:r>
            <w:r w:rsidRPr="00992414">
              <w:rPr>
                <w:b/>
                <w:i/>
              </w:rPr>
              <w:t>, 5 ods. 3</w:t>
            </w:r>
            <w:r w:rsidRPr="00992414">
              <w:t xml:space="preserve"> a</w:t>
            </w:r>
            <w:r w:rsidRPr="00992414">
              <w:rPr>
                <w:b/>
                <w:i/>
              </w:rPr>
              <w:t> článkom</w:t>
            </w:r>
            <w:r w:rsidRPr="00992414">
              <w:t xml:space="preserve"> 6 </w:t>
            </w:r>
            <w:r w:rsidRPr="00992414">
              <w:rPr>
                <w:b/>
                <w:i/>
              </w:rPr>
              <w:t xml:space="preserve">iba tak dlho, ako je nutné a primerané na účely, na ktoré sa údaje spracúvajú, najviac však </w:t>
            </w:r>
            <w:r w:rsidRPr="00992414">
              <w:t xml:space="preserve">počas </w:t>
            </w:r>
            <w:r w:rsidRPr="00992414">
              <w:rPr>
                <w:b/>
                <w:i/>
              </w:rPr>
              <w:t>troch</w:t>
            </w:r>
            <w:r w:rsidRPr="00992414">
              <w:t xml:space="preserve"> rokov odo dňa ich zhromaždenia. </w:t>
            </w:r>
            <w:r w:rsidRPr="00992414">
              <w:rPr>
                <w:b/>
                <w:i/>
              </w:rPr>
              <w:t>Ak existujú náznaky, že peňažné prostriedky v hotovosti súvisia s trestnou činnosťou, príslušné orgány a finančná spravodajská jednotka uchovávajú osobné údaje získané v súlade s článkami 3, 4, 5 ods. 3 a článkom 6 maximálne päť rokov. V tom prípade je nutné toto dlhšie uchovávanie odôvodniť a dôvody zaznamenať. Ak sa neprijme žiadne rozhodnutie o pokračovaní uchovávania, údaje sa po troch rokoch automaticky vymažú</w:t>
            </w:r>
          </w:p>
        </w:tc>
      </w:tr>
    </w:tbl>
    <w:p w14:paraId="73C1506C" w14:textId="77777777" w:rsidR="00376950" w:rsidRPr="00992414" w:rsidRDefault="00376950" w:rsidP="00376950">
      <w:r w:rsidRPr="00992414">
        <w:rPr>
          <w:rStyle w:val="HideTWBExt"/>
          <w:noProof w:val="0"/>
        </w:rPr>
        <w:t>&lt;/Amend&gt;</w:t>
      </w:r>
    </w:p>
    <w:p w14:paraId="19C4CEF7" w14:textId="77526A10" w:rsidR="001F57F0" w:rsidRPr="00992414" w:rsidRDefault="001F57F0" w:rsidP="001F57F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82</w:t>
      </w:r>
      <w:r w:rsidRPr="00992414">
        <w:rPr>
          <w:rStyle w:val="HideTWBExt"/>
          <w:b w:val="0"/>
          <w:noProof w:val="0"/>
        </w:rPr>
        <w:t>&lt;/NumAm&gt;</w:t>
      </w:r>
    </w:p>
    <w:p w14:paraId="2E44AB7B" w14:textId="77777777" w:rsidR="001F57F0" w:rsidRPr="00992414" w:rsidRDefault="001F57F0" w:rsidP="001F57F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1B7347AE" w14:textId="77777777" w:rsidR="001F57F0" w:rsidRPr="00992414" w:rsidRDefault="001F57F0" w:rsidP="001F57F0">
      <w:pPr>
        <w:pStyle w:val="NormalBold"/>
      </w:pPr>
      <w:r w:rsidRPr="00992414">
        <w:rPr>
          <w:rStyle w:val="HideTWBExt"/>
          <w:b w:val="0"/>
          <w:noProof w:val="0"/>
        </w:rPr>
        <w:t>&lt;Article&gt;</w:t>
      </w:r>
      <w:r w:rsidRPr="00992414">
        <w:t>Článok 13 – odsek 1</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57F0" w:rsidRPr="00992414" w14:paraId="5EF2F78D" w14:textId="77777777" w:rsidTr="00B90B9E">
        <w:trPr>
          <w:jc w:val="center"/>
        </w:trPr>
        <w:tc>
          <w:tcPr>
            <w:tcW w:w="9752" w:type="dxa"/>
            <w:gridSpan w:val="2"/>
          </w:tcPr>
          <w:p w14:paraId="3091A851" w14:textId="77777777" w:rsidR="001F57F0" w:rsidRPr="00992414" w:rsidRDefault="001F57F0" w:rsidP="00B90B9E">
            <w:pPr>
              <w:keepNext/>
            </w:pPr>
          </w:p>
        </w:tc>
      </w:tr>
      <w:tr w:rsidR="001F57F0" w:rsidRPr="00992414" w14:paraId="388820D3" w14:textId="77777777" w:rsidTr="00B90B9E">
        <w:trPr>
          <w:jc w:val="center"/>
        </w:trPr>
        <w:tc>
          <w:tcPr>
            <w:tcW w:w="4876" w:type="dxa"/>
            <w:hideMark/>
          </w:tcPr>
          <w:p w14:paraId="2A0FCB0B" w14:textId="77777777" w:rsidR="001F57F0" w:rsidRPr="00992414" w:rsidRDefault="001F57F0" w:rsidP="00B90B9E">
            <w:pPr>
              <w:pStyle w:val="ColumnHeading"/>
              <w:keepNext/>
            </w:pPr>
            <w:r w:rsidRPr="00992414">
              <w:t>Text predložený Komisiou</w:t>
            </w:r>
          </w:p>
        </w:tc>
        <w:tc>
          <w:tcPr>
            <w:tcW w:w="4876" w:type="dxa"/>
            <w:hideMark/>
          </w:tcPr>
          <w:p w14:paraId="3AED3146" w14:textId="77777777" w:rsidR="001F57F0" w:rsidRPr="00992414" w:rsidRDefault="001F57F0" w:rsidP="00B90B9E">
            <w:pPr>
              <w:pStyle w:val="ColumnHeading"/>
              <w:keepNext/>
            </w:pPr>
            <w:r w:rsidRPr="00992414">
              <w:t>Pozmeňujúci návrh</w:t>
            </w:r>
          </w:p>
        </w:tc>
      </w:tr>
      <w:tr w:rsidR="001F57F0" w:rsidRPr="00992414" w14:paraId="56546F9F" w14:textId="77777777" w:rsidTr="00B90B9E">
        <w:trPr>
          <w:jc w:val="center"/>
        </w:trPr>
        <w:tc>
          <w:tcPr>
            <w:tcW w:w="4876" w:type="dxa"/>
            <w:hideMark/>
          </w:tcPr>
          <w:p w14:paraId="596002B0" w14:textId="77777777" w:rsidR="001F57F0" w:rsidRPr="00992414" w:rsidRDefault="001F57F0" w:rsidP="00B90B9E">
            <w:pPr>
              <w:pStyle w:val="Normal6"/>
            </w:pPr>
            <w:r w:rsidRPr="00992414">
              <w:t>Každý členský štát zavedie sankcie, ktoré sa uplatnia v prípadoch nesplnenia povinností oznamovania stanovených v článkoch 3 a 4. Takéto sankcie musia byť účinné, primerané a odrádzajúce.</w:t>
            </w:r>
          </w:p>
        </w:tc>
        <w:tc>
          <w:tcPr>
            <w:tcW w:w="4876" w:type="dxa"/>
            <w:hideMark/>
          </w:tcPr>
          <w:p w14:paraId="5353F114" w14:textId="7A6245FB" w:rsidR="001F57F0" w:rsidRPr="00992414" w:rsidRDefault="001F57F0">
            <w:pPr>
              <w:pStyle w:val="Normal6"/>
              <w:rPr>
                <w:b/>
                <w:i/>
                <w:szCs w:val="24"/>
              </w:rPr>
            </w:pPr>
            <w:r w:rsidRPr="00992414">
              <w:t>Každý členský štát zavedie sankcie, ktoré sa uplatnia v prípadoch nesplnenia povinností oznamovania stanovených v článkoch 3 a 4. Takéto sankcie musia byť účinné, primerané a odrádzajúce.</w:t>
            </w:r>
            <w:r w:rsidRPr="00992414">
              <w:rPr>
                <w:b/>
                <w:i/>
              </w:rPr>
              <w:t xml:space="preserve"> Členské štáty sa budú snažiť zaviesť koordinovaný súbor sankcií v celej Únii. V záujme dosiahnutia tohto cieľa môže Komisia prípadne predložiť legislatívny návrh.</w:t>
            </w:r>
          </w:p>
        </w:tc>
      </w:tr>
    </w:tbl>
    <w:p w14:paraId="004AFB0F" w14:textId="77777777" w:rsidR="001F57F0" w:rsidRPr="00992414" w:rsidRDefault="001F57F0" w:rsidP="001F57F0">
      <w:r w:rsidRPr="00992414">
        <w:rPr>
          <w:rStyle w:val="HideTWBExt"/>
          <w:noProof w:val="0"/>
        </w:rPr>
        <w:t>&lt;/Amend&gt;</w:t>
      </w:r>
    </w:p>
    <w:p w14:paraId="521206F7" w14:textId="54A44B83"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83</w:t>
      </w:r>
      <w:r w:rsidRPr="00992414">
        <w:rPr>
          <w:rStyle w:val="HideTWBExt"/>
          <w:b w:val="0"/>
          <w:noProof w:val="0"/>
        </w:rPr>
        <w:t>&lt;/NumAm&gt;</w:t>
      </w:r>
    </w:p>
    <w:p w14:paraId="18A20EA5"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1C188C69" w14:textId="77777777" w:rsidR="00376950" w:rsidRPr="00992414" w:rsidRDefault="00376950" w:rsidP="00376950">
      <w:pPr>
        <w:pStyle w:val="NormalBold"/>
      </w:pPr>
      <w:r w:rsidRPr="00992414">
        <w:rPr>
          <w:rStyle w:val="HideTWBExt"/>
          <w:b w:val="0"/>
          <w:noProof w:val="0"/>
        </w:rPr>
        <w:t>&lt;Article&gt;</w:t>
      </w:r>
      <w:r w:rsidRPr="00992414">
        <w:t>Článok 14 – odsek 2</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52F05DC4" w14:textId="77777777" w:rsidTr="00376950">
        <w:trPr>
          <w:jc w:val="center"/>
        </w:trPr>
        <w:tc>
          <w:tcPr>
            <w:tcW w:w="9752" w:type="dxa"/>
            <w:gridSpan w:val="2"/>
          </w:tcPr>
          <w:p w14:paraId="74CF6205" w14:textId="77777777" w:rsidR="00376950" w:rsidRPr="00992414" w:rsidRDefault="00376950">
            <w:pPr>
              <w:keepNext/>
            </w:pPr>
          </w:p>
        </w:tc>
      </w:tr>
      <w:tr w:rsidR="00376950" w:rsidRPr="00992414" w14:paraId="3C7FF9BA" w14:textId="77777777" w:rsidTr="00376950">
        <w:trPr>
          <w:jc w:val="center"/>
        </w:trPr>
        <w:tc>
          <w:tcPr>
            <w:tcW w:w="4876" w:type="dxa"/>
            <w:hideMark/>
          </w:tcPr>
          <w:p w14:paraId="6A49FD18" w14:textId="77777777" w:rsidR="00376950" w:rsidRPr="00992414" w:rsidRDefault="00376950">
            <w:pPr>
              <w:pStyle w:val="ColumnHeading"/>
              <w:keepNext/>
            </w:pPr>
            <w:r w:rsidRPr="00992414">
              <w:t>Text predložený Komisiou</w:t>
            </w:r>
          </w:p>
        </w:tc>
        <w:tc>
          <w:tcPr>
            <w:tcW w:w="4876" w:type="dxa"/>
            <w:hideMark/>
          </w:tcPr>
          <w:p w14:paraId="337F7A34" w14:textId="77777777" w:rsidR="00376950" w:rsidRPr="00992414" w:rsidRDefault="00376950">
            <w:pPr>
              <w:pStyle w:val="ColumnHeading"/>
              <w:keepNext/>
            </w:pPr>
            <w:r w:rsidRPr="00992414">
              <w:t>Pozmeňujúci návrh</w:t>
            </w:r>
          </w:p>
        </w:tc>
      </w:tr>
      <w:tr w:rsidR="00376950" w:rsidRPr="00992414" w14:paraId="217CAD5E" w14:textId="77777777" w:rsidTr="00376950">
        <w:trPr>
          <w:jc w:val="center"/>
        </w:trPr>
        <w:tc>
          <w:tcPr>
            <w:tcW w:w="4876" w:type="dxa"/>
            <w:hideMark/>
          </w:tcPr>
          <w:p w14:paraId="149C306F" w14:textId="77777777" w:rsidR="00376950" w:rsidRPr="00992414" w:rsidRDefault="00376950">
            <w:pPr>
              <w:pStyle w:val="Normal6"/>
            </w:pPr>
            <w:r w:rsidRPr="00992414">
              <w:t>2</w:t>
            </w:r>
            <w:r w:rsidRPr="00992414">
              <w:tab/>
              <w:t>Právomoc prijímať delegované akty uvedené v</w:t>
            </w:r>
            <w:r w:rsidRPr="00992414">
              <w:rPr>
                <w:b/>
                <w:i/>
              </w:rPr>
              <w:t xml:space="preserve"> </w:t>
            </w:r>
            <w:r w:rsidRPr="00992414">
              <w:t>článku 2 ods. 2 sa Komisii udeľuje na dobu neurčitú od …</w:t>
            </w:r>
            <w:r w:rsidRPr="00992414">
              <w:rPr>
                <w:b/>
                <w:i/>
              </w:rPr>
              <w:t>.</w:t>
            </w:r>
            <w:r w:rsidRPr="00992414">
              <w:t>26</w:t>
            </w:r>
          </w:p>
        </w:tc>
        <w:tc>
          <w:tcPr>
            <w:tcW w:w="4876" w:type="dxa"/>
            <w:hideMark/>
          </w:tcPr>
          <w:p w14:paraId="46FAE053" w14:textId="77777777" w:rsidR="00376950" w:rsidRPr="00992414" w:rsidRDefault="00376950">
            <w:pPr>
              <w:pStyle w:val="Normal6"/>
              <w:rPr>
                <w:szCs w:val="24"/>
              </w:rPr>
            </w:pPr>
            <w:r w:rsidRPr="00992414">
              <w:t>2</w:t>
            </w:r>
            <w:r w:rsidRPr="00992414">
              <w:tab/>
              <w:t>Právomoc prijímať delegované akty uvedené v</w:t>
            </w:r>
            <w:r w:rsidRPr="00992414">
              <w:rPr>
                <w:b/>
                <w:i/>
              </w:rPr>
              <w:t> </w:t>
            </w:r>
            <w:r w:rsidRPr="00992414">
              <w:t xml:space="preserve">článku 2 ods. 2 </w:t>
            </w:r>
            <w:r w:rsidRPr="00992414">
              <w:rPr>
                <w:b/>
                <w:i/>
              </w:rPr>
              <w:t xml:space="preserve">a článku 5 ods. 4a </w:t>
            </w:r>
            <w:r w:rsidRPr="00992414">
              <w:t>sa Komisii udeľuje na dobu neurčitú od …</w:t>
            </w:r>
            <w:r w:rsidRPr="00992414">
              <w:rPr>
                <w:vertAlign w:val="superscript"/>
              </w:rPr>
              <w:t>26</w:t>
            </w:r>
          </w:p>
        </w:tc>
      </w:tr>
      <w:tr w:rsidR="00376950" w:rsidRPr="00992414" w14:paraId="7B2F16AF" w14:textId="77777777" w:rsidTr="00376950">
        <w:trPr>
          <w:jc w:val="center"/>
        </w:trPr>
        <w:tc>
          <w:tcPr>
            <w:tcW w:w="4876" w:type="dxa"/>
            <w:hideMark/>
          </w:tcPr>
          <w:p w14:paraId="4713A120" w14:textId="77777777" w:rsidR="00376950" w:rsidRPr="00992414" w:rsidRDefault="00376950">
            <w:pPr>
              <w:pStyle w:val="Normal6"/>
            </w:pPr>
            <w:r w:rsidRPr="00992414">
              <w:t>__________________</w:t>
            </w:r>
          </w:p>
        </w:tc>
        <w:tc>
          <w:tcPr>
            <w:tcW w:w="4876" w:type="dxa"/>
            <w:hideMark/>
          </w:tcPr>
          <w:p w14:paraId="57192862" w14:textId="77777777" w:rsidR="00376950" w:rsidRPr="00992414" w:rsidRDefault="00376950">
            <w:pPr>
              <w:pStyle w:val="Normal6"/>
              <w:rPr>
                <w:szCs w:val="24"/>
              </w:rPr>
            </w:pPr>
            <w:r w:rsidRPr="00992414">
              <w:t>__________________</w:t>
            </w:r>
          </w:p>
        </w:tc>
      </w:tr>
      <w:tr w:rsidR="00376950" w:rsidRPr="00992414" w14:paraId="16B9C901" w14:textId="77777777" w:rsidTr="00376950">
        <w:trPr>
          <w:jc w:val="center"/>
        </w:trPr>
        <w:tc>
          <w:tcPr>
            <w:tcW w:w="4876" w:type="dxa"/>
            <w:hideMark/>
          </w:tcPr>
          <w:p w14:paraId="588624AB" w14:textId="77777777" w:rsidR="00376950" w:rsidRPr="00992414" w:rsidRDefault="00376950">
            <w:pPr>
              <w:pStyle w:val="Normal6"/>
            </w:pPr>
            <w:r w:rsidRPr="00992414">
              <w:rPr>
                <w:vertAlign w:val="superscript"/>
              </w:rPr>
              <w:t>26</w:t>
            </w:r>
            <w:r w:rsidRPr="00992414">
              <w:t xml:space="preserve"> *Dátum nadobudnutia účinnosti základného právneho aktu alebo akýkoľvek iný dátum stanovený zákonodarcom.</w:t>
            </w:r>
          </w:p>
        </w:tc>
        <w:tc>
          <w:tcPr>
            <w:tcW w:w="4876" w:type="dxa"/>
            <w:hideMark/>
          </w:tcPr>
          <w:p w14:paraId="2D399FF2" w14:textId="77777777" w:rsidR="00376950" w:rsidRPr="00992414" w:rsidRDefault="00376950">
            <w:pPr>
              <w:pStyle w:val="Normal6"/>
              <w:rPr>
                <w:szCs w:val="24"/>
              </w:rPr>
            </w:pPr>
            <w:r w:rsidRPr="00992414">
              <w:rPr>
                <w:vertAlign w:val="superscript"/>
              </w:rPr>
              <w:t>26</w:t>
            </w:r>
            <w:r w:rsidRPr="00992414">
              <w:t xml:space="preserve"> *Dátum nadobudnutia účinnosti základného právneho aktu alebo akýkoľvek iný dátum stanovený zákonodarcom.</w:t>
            </w:r>
          </w:p>
        </w:tc>
      </w:tr>
    </w:tbl>
    <w:p w14:paraId="50826211" w14:textId="77777777" w:rsidR="00376950" w:rsidRPr="00992414" w:rsidRDefault="00376950" w:rsidP="00376950">
      <w:r w:rsidRPr="00992414">
        <w:rPr>
          <w:rStyle w:val="HideTWBExt"/>
          <w:noProof w:val="0"/>
        </w:rPr>
        <w:t>&lt;/Amend&gt;</w:t>
      </w:r>
    </w:p>
    <w:p w14:paraId="34F91718" w14:textId="7FA36772"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84</w:t>
      </w:r>
      <w:r w:rsidRPr="00992414">
        <w:rPr>
          <w:rStyle w:val="HideTWBExt"/>
          <w:b w:val="0"/>
          <w:noProof w:val="0"/>
        </w:rPr>
        <w:t>&lt;/NumAm&gt;</w:t>
      </w:r>
    </w:p>
    <w:p w14:paraId="52F7C34B"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060BEA58" w14:textId="77777777" w:rsidR="00376950" w:rsidRPr="00992414" w:rsidRDefault="00376950" w:rsidP="00376950">
      <w:pPr>
        <w:pStyle w:val="NormalBold"/>
      </w:pPr>
      <w:r w:rsidRPr="00992414">
        <w:rPr>
          <w:rStyle w:val="HideTWBExt"/>
          <w:b w:val="0"/>
          <w:noProof w:val="0"/>
        </w:rPr>
        <w:t>&lt;Article&gt;</w:t>
      </w:r>
      <w:r w:rsidRPr="00992414">
        <w:t>Článok 14 – odsek 3</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6AA20B9D" w14:textId="77777777" w:rsidTr="00376950">
        <w:trPr>
          <w:jc w:val="center"/>
        </w:trPr>
        <w:tc>
          <w:tcPr>
            <w:tcW w:w="9752" w:type="dxa"/>
            <w:gridSpan w:val="2"/>
          </w:tcPr>
          <w:p w14:paraId="1229DA22" w14:textId="77777777" w:rsidR="00376950" w:rsidRPr="00992414" w:rsidRDefault="00376950">
            <w:pPr>
              <w:keepNext/>
            </w:pPr>
          </w:p>
        </w:tc>
      </w:tr>
      <w:tr w:rsidR="00376950" w:rsidRPr="00992414" w14:paraId="7E3A760C" w14:textId="77777777" w:rsidTr="00376950">
        <w:trPr>
          <w:jc w:val="center"/>
        </w:trPr>
        <w:tc>
          <w:tcPr>
            <w:tcW w:w="4876" w:type="dxa"/>
            <w:hideMark/>
          </w:tcPr>
          <w:p w14:paraId="65A467E4" w14:textId="77777777" w:rsidR="00376950" w:rsidRPr="00992414" w:rsidRDefault="00376950">
            <w:pPr>
              <w:pStyle w:val="ColumnHeading"/>
              <w:keepNext/>
            </w:pPr>
            <w:r w:rsidRPr="00992414">
              <w:t>Text predložený Komisiou</w:t>
            </w:r>
          </w:p>
        </w:tc>
        <w:tc>
          <w:tcPr>
            <w:tcW w:w="4876" w:type="dxa"/>
            <w:hideMark/>
          </w:tcPr>
          <w:p w14:paraId="6F327835" w14:textId="77777777" w:rsidR="00376950" w:rsidRPr="00992414" w:rsidRDefault="00376950">
            <w:pPr>
              <w:pStyle w:val="ColumnHeading"/>
              <w:keepNext/>
            </w:pPr>
            <w:r w:rsidRPr="00992414">
              <w:t>Pozmeňujúci návrh</w:t>
            </w:r>
          </w:p>
        </w:tc>
      </w:tr>
      <w:tr w:rsidR="00376950" w:rsidRPr="00992414" w14:paraId="79F20E3C" w14:textId="77777777" w:rsidTr="00376950">
        <w:trPr>
          <w:jc w:val="center"/>
        </w:trPr>
        <w:tc>
          <w:tcPr>
            <w:tcW w:w="4876" w:type="dxa"/>
            <w:hideMark/>
          </w:tcPr>
          <w:p w14:paraId="23CFA0AC" w14:textId="77777777" w:rsidR="00376950" w:rsidRPr="00992414" w:rsidRDefault="00376950">
            <w:pPr>
              <w:pStyle w:val="Normal6"/>
            </w:pPr>
            <w:r w:rsidRPr="00992414">
              <w:t>3.</w:t>
            </w:r>
            <w:r w:rsidRPr="00992414">
              <w:tab/>
              <w:t>Delegovanie právomoci uvedené v</w:t>
            </w:r>
            <w:r w:rsidRPr="00992414">
              <w:rPr>
                <w:b/>
                <w:i/>
              </w:rPr>
              <w:t xml:space="preserve"> </w:t>
            </w:r>
            <w:r w:rsidRPr="00992414">
              <w:t>článku 2 ods.</w:t>
            </w:r>
            <w:r w:rsidRPr="00992414">
              <w:rPr>
                <w:b/>
                <w:i/>
              </w:rPr>
              <w:t xml:space="preserve"> </w:t>
            </w:r>
            <w:r w:rsidRPr="00992414">
              <w:t>2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tc>
        <w:tc>
          <w:tcPr>
            <w:tcW w:w="4876" w:type="dxa"/>
            <w:hideMark/>
          </w:tcPr>
          <w:p w14:paraId="6F53B921" w14:textId="77777777" w:rsidR="00376950" w:rsidRPr="00992414" w:rsidRDefault="00376950">
            <w:pPr>
              <w:pStyle w:val="Normal6"/>
              <w:rPr>
                <w:szCs w:val="24"/>
              </w:rPr>
            </w:pPr>
            <w:r w:rsidRPr="00992414">
              <w:t>3.</w:t>
            </w:r>
            <w:r w:rsidRPr="00992414">
              <w:tab/>
              <w:t>Delegovanie právomoci uvedené v</w:t>
            </w:r>
            <w:r w:rsidRPr="00992414">
              <w:rPr>
                <w:b/>
                <w:i/>
              </w:rPr>
              <w:t> </w:t>
            </w:r>
            <w:r w:rsidRPr="00992414">
              <w:t>článku 2 ods.</w:t>
            </w:r>
            <w:r w:rsidRPr="00992414">
              <w:rPr>
                <w:b/>
                <w:i/>
              </w:rPr>
              <w:t> </w:t>
            </w:r>
            <w:r w:rsidRPr="00992414">
              <w:t>2</w:t>
            </w:r>
            <w:r w:rsidRPr="00992414">
              <w:rPr>
                <w:b/>
                <w:i/>
              </w:rPr>
              <w:t xml:space="preserve"> a článku 5 ods. 4a</w:t>
            </w:r>
            <w:r w:rsidRPr="00992414">
              <w:t xml:space="preserve">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tc>
      </w:tr>
    </w:tbl>
    <w:p w14:paraId="1CE18193" w14:textId="77777777" w:rsidR="00376950" w:rsidRPr="00992414" w:rsidRDefault="00376950" w:rsidP="00376950">
      <w:r w:rsidRPr="00992414">
        <w:rPr>
          <w:rStyle w:val="HideTWBExt"/>
          <w:noProof w:val="0"/>
        </w:rPr>
        <w:t>&lt;/Amend&gt;</w:t>
      </w:r>
    </w:p>
    <w:p w14:paraId="1234A7B1" w14:textId="1EF465AB"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85</w:t>
      </w:r>
      <w:r w:rsidRPr="00992414">
        <w:rPr>
          <w:rStyle w:val="HideTWBExt"/>
          <w:b w:val="0"/>
          <w:noProof w:val="0"/>
        </w:rPr>
        <w:t>&lt;/NumAm&gt;</w:t>
      </w:r>
    </w:p>
    <w:p w14:paraId="0911E920"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0F293078" w14:textId="77777777" w:rsidR="00376950" w:rsidRPr="00992414" w:rsidRDefault="00376950" w:rsidP="00376950">
      <w:pPr>
        <w:pStyle w:val="NormalBold"/>
      </w:pPr>
      <w:r w:rsidRPr="00992414">
        <w:rPr>
          <w:rStyle w:val="HideTWBExt"/>
          <w:b w:val="0"/>
          <w:noProof w:val="0"/>
        </w:rPr>
        <w:t>&lt;Article&gt;</w:t>
      </w:r>
      <w:r w:rsidRPr="00992414">
        <w:t>Článok 14 – odsek 6</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21915740" w14:textId="77777777" w:rsidTr="00376950">
        <w:trPr>
          <w:jc w:val="center"/>
        </w:trPr>
        <w:tc>
          <w:tcPr>
            <w:tcW w:w="9752" w:type="dxa"/>
            <w:gridSpan w:val="2"/>
          </w:tcPr>
          <w:p w14:paraId="3A3515C7" w14:textId="77777777" w:rsidR="00376950" w:rsidRPr="00992414" w:rsidRDefault="00376950">
            <w:pPr>
              <w:keepNext/>
            </w:pPr>
          </w:p>
        </w:tc>
      </w:tr>
      <w:tr w:rsidR="00376950" w:rsidRPr="00992414" w14:paraId="6A8A98A3" w14:textId="77777777" w:rsidTr="00376950">
        <w:trPr>
          <w:jc w:val="center"/>
        </w:trPr>
        <w:tc>
          <w:tcPr>
            <w:tcW w:w="4876" w:type="dxa"/>
            <w:hideMark/>
          </w:tcPr>
          <w:p w14:paraId="5FCCF190" w14:textId="77777777" w:rsidR="00376950" w:rsidRPr="00992414" w:rsidRDefault="00376950">
            <w:pPr>
              <w:pStyle w:val="ColumnHeading"/>
              <w:keepNext/>
            </w:pPr>
            <w:r w:rsidRPr="00992414">
              <w:t>Text predložený Komisiou</w:t>
            </w:r>
          </w:p>
        </w:tc>
        <w:tc>
          <w:tcPr>
            <w:tcW w:w="4876" w:type="dxa"/>
            <w:hideMark/>
          </w:tcPr>
          <w:p w14:paraId="545C0DCF" w14:textId="77777777" w:rsidR="00376950" w:rsidRPr="00992414" w:rsidRDefault="00376950">
            <w:pPr>
              <w:pStyle w:val="ColumnHeading"/>
              <w:keepNext/>
            </w:pPr>
            <w:r w:rsidRPr="00992414">
              <w:t>Pozmeňujúci návrh</w:t>
            </w:r>
          </w:p>
        </w:tc>
      </w:tr>
      <w:tr w:rsidR="00376950" w:rsidRPr="00992414" w14:paraId="144A856C" w14:textId="77777777" w:rsidTr="00376950">
        <w:trPr>
          <w:jc w:val="center"/>
        </w:trPr>
        <w:tc>
          <w:tcPr>
            <w:tcW w:w="4876" w:type="dxa"/>
            <w:hideMark/>
          </w:tcPr>
          <w:p w14:paraId="620E8845" w14:textId="77777777" w:rsidR="00376950" w:rsidRPr="00992414" w:rsidRDefault="00376950">
            <w:pPr>
              <w:pStyle w:val="Normal6"/>
            </w:pPr>
            <w:r w:rsidRPr="00992414">
              <w:t>6.</w:t>
            </w:r>
            <w:r w:rsidRPr="00992414">
              <w:tab/>
              <w:t>Delegovaný akt prijatý podľa článku 2 ods. 2 nadobudne účinnosť, len ak Európsky parlament alebo Rada voči nemu nevzniesli námietku v</w:t>
            </w:r>
            <w:r w:rsidRPr="00992414">
              <w:rPr>
                <w:b/>
                <w:i/>
              </w:rPr>
              <w:t xml:space="preserve"> </w:t>
            </w:r>
            <w:r w:rsidRPr="00992414">
              <w:t>lehote dvoch mesiacov odo dňa oznámenia uvedeného aktu Európskemu parlamentu a</w:t>
            </w:r>
            <w:r w:rsidRPr="00992414">
              <w:rPr>
                <w:b/>
                <w:i/>
              </w:rPr>
              <w:t xml:space="preserve"> </w:t>
            </w:r>
            <w:r w:rsidRPr="00992414">
              <w:t>Rade alebo ak pred uplynutím uvedenej lehoty Európsky parlament a</w:t>
            </w:r>
            <w:r w:rsidRPr="00992414">
              <w:rPr>
                <w:b/>
                <w:i/>
              </w:rPr>
              <w:t xml:space="preserve"> </w:t>
            </w:r>
            <w:r w:rsidRPr="00992414">
              <w:t>Rada informovali Komisiu o</w:t>
            </w:r>
            <w:r w:rsidRPr="00992414">
              <w:rPr>
                <w:b/>
                <w:i/>
              </w:rPr>
              <w:t xml:space="preserve"> </w:t>
            </w:r>
            <w:r w:rsidRPr="00992414">
              <w:t>svojom rozhodnutí nevzniesť námietku. Na podnet Európskeho parlamentu alebo Rady sa táto lehota predĺži o dva mesiace.</w:t>
            </w:r>
          </w:p>
        </w:tc>
        <w:tc>
          <w:tcPr>
            <w:tcW w:w="4876" w:type="dxa"/>
            <w:hideMark/>
          </w:tcPr>
          <w:p w14:paraId="628E9DD9" w14:textId="77777777" w:rsidR="00376950" w:rsidRPr="00992414" w:rsidRDefault="00376950">
            <w:pPr>
              <w:pStyle w:val="Normal6"/>
              <w:rPr>
                <w:szCs w:val="24"/>
              </w:rPr>
            </w:pPr>
            <w:r w:rsidRPr="00992414">
              <w:t>6.</w:t>
            </w:r>
            <w:r w:rsidRPr="00992414">
              <w:tab/>
              <w:t>Delegovaný akt prijatý podľa článku 2 ods. 2</w:t>
            </w:r>
            <w:r w:rsidRPr="00992414">
              <w:rPr>
                <w:b/>
                <w:i/>
              </w:rPr>
              <w:t xml:space="preserve"> a článku 5 ods. 4a</w:t>
            </w:r>
            <w:r w:rsidRPr="00992414">
              <w:t xml:space="preserve"> nadobudne účinnosť, len ak Európsky parlament alebo Rada voči nemu nevzniesli námietku v</w:t>
            </w:r>
            <w:r w:rsidRPr="00992414">
              <w:rPr>
                <w:b/>
                <w:i/>
              </w:rPr>
              <w:t> </w:t>
            </w:r>
            <w:r w:rsidRPr="00992414">
              <w:t>lehote dvoch mesiacov odo dňa oznámenia uvedeného aktu Európskemu parlamentu a</w:t>
            </w:r>
            <w:r w:rsidRPr="00992414">
              <w:rPr>
                <w:b/>
                <w:i/>
              </w:rPr>
              <w:t> </w:t>
            </w:r>
            <w:r w:rsidRPr="00992414">
              <w:t>Rade alebo ak pred uplynutím uvedenej lehoty Európsky parlament a</w:t>
            </w:r>
            <w:r w:rsidRPr="00992414">
              <w:rPr>
                <w:b/>
                <w:i/>
              </w:rPr>
              <w:t> </w:t>
            </w:r>
            <w:r w:rsidRPr="00992414">
              <w:t>Rada informovali Komisiu o</w:t>
            </w:r>
            <w:r w:rsidRPr="00992414">
              <w:rPr>
                <w:b/>
                <w:i/>
              </w:rPr>
              <w:t> </w:t>
            </w:r>
            <w:r w:rsidRPr="00992414">
              <w:t>svojom rozhodnutí nevzniesť námietku. Na podnet Európskeho parlamentu alebo Rady sa táto lehota predĺži o dva mesiace.</w:t>
            </w:r>
          </w:p>
        </w:tc>
      </w:tr>
    </w:tbl>
    <w:p w14:paraId="6B502583" w14:textId="77777777" w:rsidR="00376950" w:rsidRPr="00992414" w:rsidRDefault="00376950" w:rsidP="00376950">
      <w:r w:rsidRPr="00992414">
        <w:rPr>
          <w:rStyle w:val="HideTWBExt"/>
          <w:noProof w:val="0"/>
        </w:rPr>
        <w:t>&lt;/Amend&gt;</w:t>
      </w:r>
    </w:p>
    <w:p w14:paraId="7CBC0274" w14:textId="42853458"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86</w:t>
      </w:r>
      <w:r w:rsidRPr="00992414">
        <w:rPr>
          <w:rStyle w:val="HideTWBExt"/>
          <w:b w:val="0"/>
          <w:noProof w:val="0"/>
        </w:rPr>
        <w:t>&lt;/NumAm&gt;</w:t>
      </w:r>
    </w:p>
    <w:p w14:paraId="53B723AF"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33E0E10B" w14:textId="77777777" w:rsidR="00376950" w:rsidRPr="00992414" w:rsidRDefault="00376950" w:rsidP="00376950">
      <w:pPr>
        <w:pStyle w:val="NormalBold"/>
      </w:pPr>
      <w:r w:rsidRPr="00992414">
        <w:rPr>
          <w:rStyle w:val="HideTWBExt"/>
          <w:b w:val="0"/>
          <w:noProof w:val="0"/>
        </w:rPr>
        <w:t>&lt;Article&gt;</w:t>
      </w:r>
      <w:r w:rsidRPr="00992414">
        <w:t>Článok 15 – odsek 1 – písmeno b</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34EAA715" w14:textId="77777777" w:rsidTr="00376950">
        <w:trPr>
          <w:jc w:val="center"/>
        </w:trPr>
        <w:tc>
          <w:tcPr>
            <w:tcW w:w="9752" w:type="dxa"/>
            <w:gridSpan w:val="2"/>
          </w:tcPr>
          <w:p w14:paraId="55262F1F" w14:textId="77777777" w:rsidR="00376950" w:rsidRPr="00992414" w:rsidRDefault="00376950">
            <w:pPr>
              <w:keepNext/>
            </w:pPr>
          </w:p>
        </w:tc>
      </w:tr>
      <w:tr w:rsidR="00376950" w:rsidRPr="00992414" w14:paraId="5FCC1EE2" w14:textId="77777777" w:rsidTr="00376950">
        <w:trPr>
          <w:jc w:val="center"/>
        </w:trPr>
        <w:tc>
          <w:tcPr>
            <w:tcW w:w="4876" w:type="dxa"/>
            <w:hideMark/>
          </w:tcPr>
          <w:p w14:paraId="29189CE8" w14:textId="77777777" w:rsidR="00376950" w:rsidRPr="00992414" w:rsidRDefault="00376950">
            <w:pPr>
              <w:pStyle w:val="ColumnHeading"/>
              <w:keepNext/>
            </w:pPr>
            <w:r w:rsidRPr="00992414">
              <w:t>Text predložený Komisiou</w:t>
            </w:r>
          </w:p>
        </w:tc>
        <w:tc>
          <w:tcPr>
            <w:tcW w:w="4876" w:type="dxa"/>
            <w:hideMark/>
          </w:tcPr>
          <w:p w14:paraId="304846AD" w14:textId="77777777" w:rsidR="00376950" w:rsidRPr="00992414" w:rsidRDefault="00376950">
            <w:pPr>
              <w:pStyle w:val="ColumnHeading"/>
              <w:keepNext/>
            </w:pPr>
            <w:r w:rsidRPr="00992414">
              <w:t>Pozmeňujúci návrh</w:t>
            </w:r>
          </w:p>
        </w:tc>
      </w:tr>
      <w:tr w:rsidR="00376950" w:rsidRPr="00992414" w14:paraId="2BA49809" w14:textId="77777777" w:rsidTr="00376950">
        <w:trPr>
          <w:jc w:val="center"/>
        </w:trPr>
        <w:tc>
          <w:tcPr>
            <w:tcW w:w="4876" w:type="dxa"/>
            <w:hideMark/>
          </w:tcPr>
          <w:p w14:paraId="34C99B3F" w14:textId="77777777" w:rsidR="00376950" w:rsidRPr="00992414" w:rsidRDefault="00376950">
            <w:pPr>
              <w:pStyle w:val="Normal6"/>
            </w:pPr>
            <w:r w:rsidRPr="00992414">
              <w:rPr>
                <w:b/>
                <w:i/>
              </w:rPr>
              <w:t>b)</w:t>
            </w:r>
            <w:r w:rsidRPr="00992414">
              <w:rPr>
                <w:b/>
                <w:i/>
              </w:rPr>
              <w:tab/>
              <w:t>kritérií spoločného rámca pre riadenie rizík uvedeného v článku 5 ods. 4;</w:t>
            </w:r>
          </w:p>
        </w:tc>
        <w:tc>
          <w:tcPr>
            <w:tcW w:w="4876" w:type="dxa"/>
            <w:hideMark/>
          </w:tcPr>
          <w:p w14:paraId="35557CE1" w14:textId="77777777" w:rsidR="00376950" w:rsidRPr="00992414" w:rsidRDefault="00376950">
            <w:pPr>
              <w:pStyle w:val="Normal6"/>
              <w:rPr>
                <w:szCs w:val="24"/>
              </w:rPr>
            </w:pPr>
            <w:r w:rsidRPr="00992414">
              <w:rPr>
                <w:b/>
                <w:i/>
              </w:rPr>
              <w:t>vypúšťa sa</w:t>
            </w:r>
          </w:p>
        </w:tc>
      </w:tr>
    </w:tbl>
    <w:p w14:paraId="377BEE2B" w14:textId="77777777" w:rsidR="00376950" w:rsidRPr="00992414" w:rsidRDefault="00376950" w:rsidP="00376950">
      <w:r w:rsidRPr="00992414">
        <w:rPr>
          <w:rStyle w:val="HideTWBExt"/>
          <w:noProof w:val="0"/>
        </w:rPr>
        <w:t>&lt;/Amend&gt;</w:t>
      </w:r>
    </w:p>
    <w:p w14:paraId="286CC07D" w14:textId="30BFBB0D"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87</w:t>
      </w:r>
      <w:r w:rsidRPr="00992414">
        <w:rPr>
          <w:rStyle w:val="HideTWBExt"/>
          <w:b w:val="0"/>
          <w:noProof w:val="0"/>
        </w:rPr>
        <w:t>&lt;/NumAm&gt;</w:t>
      </w:r>
    </w:p>
    <w:p w14:paraId="6F213F38"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69832FF1" w14:textId="77777777" w:rsidR="00376950" w:rsidRPr="00992414" w:rsidRDefault="00376950" w:rsidP="00376950">
      <w:pPr>
        <w:pStyle w:val="NormalBold"/>
      </w:pPr>
      <w:r w:rsidRPr="00992414">
        <w:rPr>
          <w:rStyle w:val="HideTWBExt"/>
          <w:b w:val="0"/>
          <w:noProof w:val="0"/>
        </w:rPr>
        <w:t>&lt;Article&gt;</w:t>
      </w:r>
      <w:r w:rsidRPr="00992414">
        <w:t>Článok 15 – odsek 1 – písmeno c</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0689CA3E" w14:textId="77777777" w:rsidTr="00376950">
        <w:trPr>
          <w:jc w:val="center"/>
        </w:trPr>
        <w:tc>
          <w:tcPr>
            <w:tcW w:w="9752" w:type="dxa"/>
            <w:gridSpan w:val="2"/>
          </w:tcPr>
          <w:p w14:paraId="68D32044" w14:textId="77777777" w:rsidR="00376950" w:rsidRPr="00992414" w:rsidRDefault="00376950">
            <w:pPr>
              <w:keepNext/>
            </w:pPr>
          </w:p>
        </w:tc>
      </w:tr>
      <w:tr w:rsidR="00376950" w:rsidRPr="00992414" w14:paraId="0BC3AE17" w14:textId="77777777" w:rsidTr="00376950">
        <w:trPr>
          <w:jc w:val="center"/>
        </w:trPr>
        <w:tc>
          <w:tcPr>
            <w:tcW w:w="4876" w:type="dxa"/>
            <w:hideMark/>
          </w:tcPr>
          <w:p w14:paraId="6F205176" w14:textId="77777777" w:rsidR="00376950" w:rsidRPr="00992414" w:rsidRDefault="00376950">
            <w:pPr>
              <w:pStyle w:val="ColumnHeading"/>
              <w:keepNext/>
            </w:pPr>
            <w:r w:rsidRPr="00992414">
              <w:t>Text predložený Komisiou</w:t>
            </w:r>
          </w:p>
        </w:tc>
        <w:tc>
          <w:tcPr>
            <w:tcW w:w="4876" w:type="dxa"/>
            <w:hideMark/>
          </w:tcPr>
          <w:p w14:paraId="45E20AC3" w14:textId="77777777" w:rsidR="00376950" w:rsidRPr="00992414" w:rsidRDefault="00376950">
            <w:pPr>
              <w:pStyle w:val="ColumnHeading"/>
              <w:keepNext/>
            </w:pPr>
            <w:r w:rsidRPr="00992414">
              <w:t>Pozmeňujúci návrh</w:t>
            </w:r>
          </w:p>
        </w:tc>
      </w:tr>
      <w:tr w:rsidR="00376950" w:rsidRPr="00992414" w14:paraId="6756213A" w14:textId="77777777" w:rsidTr="00376950">
        <w:trPr>
          <w:jc w:val="center"/>
        </w:trPr>
        <w:tc>
          <w:tcPr>
            <w:tcW w:w="4876" w:type="dxa"/>
            <w:hideMark/>
          </w:tcPr>
          <w:p w14:paraId="6CFA5443" w14:textId="77777777" w:rsidR="00376950" w:rsidRPr="00992414" w:rsidRDefault="00376950">
            <w:pPr>
              <w:pStyle w:val="Normal6"/>
            </w:pPr>
            <w:r w:rsidRPr="00992414">
              <w:t>c)</w:t>
            </w:r>
            <w:r w:rsidRPr="00992414">
              <w:tab/>
              <w:t xml:space="preserve">technických pravidiel pre výmenu informácií podľa </w:t>
            </w:r>
            <w:r w:rsidRPr="00992414">
              <w:rPr>
                <w:b/>
                <w:i/>
              </w:rPr>
              <w:t>článkov</w:t>
            </w:r>
            <w:r w:rsidRPr="00992414">
              <w:t xml:space="preserve"> 8 a 9 </w:t>
            </w:r>
            <w:r w:rsidRPr="00992414">
              <w:rPr>
                <w:b/>
                <w:i/>
              </w:rPr>
              <w:t>vrátane zriadenia náležitého elektronického systému</w:t>
            </w:r>
            <w:r w:rsidRPr="00992414">
              <w:t>;</w:t>
            </w:r>
          </w:p>
        </w:tc>
        <w:tc>
          <w:tcPr>
            <w:tcW w:w="4876" w:type="dxa"/>
            <w:hideMark/>
          </w:tcPr>
          <w:p w14:paraId="5A7F791D" w14:textId="6F536E81" w:rsidR="00376950" w:rsidRPr="00992414" w:rsidRDefault="00376950" w:rsidP="004476D1">
            <w:pPr>
              <w:pStyle w:val="Normal6"/>
              <w:rPr>
                <w:szCs w:val="24"/>
              </w:rPr>
            </w:pPr>
            <w:r w:rsidRPr="00992414">
              <w:t>c)</w:t>
            </w:r>
            <w:r w:rsidRPr="00992414">
              <w:tab/>
              <w:t xml:space="preserve">technických pravidiel pre výmenu informácií podľa </w:t>
            </w:r>
            <w:r w:rsidRPr="00992414">
              <w:rPr>
                <w:b/>
                <w:i/>
              </w:rPr>
              <w:t>článku</w:t>
            </w:r>
            <w:r w:rsidRPr="00992414">
              <w:t xml:space="preserve"> 8 </w:t>
            </w:r>
            <w:r w:rsidRPr="00992414">
              <w:rPr>
                <w:b/>
                <w:i/>
              </w:rPr>
              <w:t xml:space="preserve">ods. 1 </w:t>
            </w:r>
            <w:r w:rsidRPr="00992414">
              <w:t xml:space="preserve">a </w:t>
            </w:r>
            <w:r w:rsidRPr="00992414">
              <w:rPr>
                <w:b/>
                <w:i/>
              </w:rPr>
              <w:t>2 a článku </w:t>
            </w:r>
            <w:r w:rsidRPr="00992414">
              <w:t xml:space="preserve">9 </w:t>
            </w:r>
            <w:r w:rsidRPr="00992414">
              <w:rPr>
                <w:b/>
                <w:i/>
              </w:rPr>
              <w:t>prostredníctvom colného informačného systému uvedeného v článku 23 nariadenia Rady (ES) č. 515/97</w:t>
            </w:r>
            <w:r w:rsidRPr="00992414">
              <w:rPr>
                <w:b/>
                <w:i/>
                <w:vertAlign w:val="superscript"/>
              </w:rPr>
              <w:t>1a</w:t>
            </w:r>
            <w:r w:rsidRPr="00992414">
              <w:t>;</w:t>
            </w:r>
          </w:p>
        </w:tc>
      </w:tr>
      <w:tr w:rsidR="008531FA" w:rsidRPr="00992414" w14:paraId="5425CC4C" w14:textId="77777777" w:rsidTr="00376950">
        <w:trPr>
          <w:jc w:val="center"/>
        </w:trPr>
        <w:tc>
          <w:tcPr>
            <w:tcW w:w="4876" w:type="dxa"/>
          </w:tcPr>
          <w:p w14:paraId="2DB8E390" w14:textId="77777777" w:rsidR="008531FA" w:rsidRPr="00992414" w:rsidRDefault="008531FA">
            <w:pPr>
              <w:pStyle w:val="Normal6"/>
              <w:rPr>
                <w:b/>
                <w:i/>
              </w:rPr>
            </w:pPr>
          </w:p>
        </w:tc>
        <w:tc>
          <w:tcPr>
            <w:tcW w:w="4876" w:type="dxa"/>
          </w:tcPr>
          <w:p w14:paraId="28FEDB0A" w14:textId="082E81BA" w:rsidR="008531FA" w:rsidRPr="00992414" w:rsidRDefault="008531FA">
            <w:pPr>
              <w:pStyle w:val="Normal6"/>
              <w:rPr>
                <w:b/>
                <w:i/>
              </w:rPr>
            </w:pPr>
            <w:r w:rsidRPr="00992414">
              <w:rPr>
                <w:b/>
                <w:i/>
              </w:rPr>
              <w:t>_________________</w:t>
            </w:r>
          </w:p>
        </w:tc>
      </w:tr>
      <w:tr w:rsidR="008531FA" w:rsidRPr="00992414" w14:paraId="6BA32877" w14:textId="77777777" w:rsidTr="00376950">
        <w:trPr>
          <w:jc w:val="center"/>
        </w:trPr>
        <w:tc>
          <w:tcPr>
            <w:tcW w:w="4876" w:type="dxa"/>
          </w:tcPr>
          <w:p w14:paraId="4E323103" w14:textId="77777777" w:rsidR="008531FA" w:rsidRPr="00992414" w:rsidRDefault="008531FA">
            <w:pPr>
              <w:pStyle w:val="Normal6"/>
              <w:rPr>
                <w:b/>
                <w:i/>
              </w:rPr>
            </w:pPr>
          </w:p>
        </w:tc>
        <w:tc>
          <w:tcPr>
            <w:tcW w:w="4876" w:type="dxa"/>
          </w:tcPr>
          <w:p w14:paraId="768F1EF2" w14:textId="2F7118F3" w:rsidR="008531FA" w:rsidRPr="00992414" w:rsidRDefault="008C3F18">
            <w:pPr>
              <w:pStyle w:val="Normal6"/>
              <w:rPr>
                <w:b/>
                <w:i/>
              </w:rPr>
            </w:pPr>
            <w:r w:rsidRPr="00992414">
              <w:rPr>
                <w:b/>
                <w:i/>
                <w:vertAlign w:val="superscript"/>
              </w:rPr>
              <w:t>1a</w:t>
            </w:r>
            <w:r w:rsidRPr="00992414">
              <w:rPr>
                <w:b/>
                <w:i/>
              </w:rPr>
              <w:t xml:space="preserve"> Nariadenie Rady (ES) č. 515/97 z 13. marca 1997 o vzájomnej pomoci medzi správnymi orgánmi členských štátov a o spolupráci medzi správnymi orgánmi členských štátov a Komisiou pri zabezpečovaní riadneho uplatňovania predpisov o colných a poľnohospodárskych záležitostiach (Ú. v. ES L 82, 22.3.1997, s. 1).</w:t>
            </w:r>
          </w:p>
        </w:tc>
      </w:tr>
    </w:tbl>
    <w:p w14:paraId="019D6C38" w14:textId="77777777" w:rsidR="00376950" w:rsidRPr="00992414" w:rsidRDefault="00376950" w:rsidP="00376950">
      <w:r w:rsidRPr="00992414">
        <w:rPr>
          <w:rStyle w:val="HideTWBExt"/>
          <w:noProof w:val="0"/>
        </w:rPr>
        <w:t>&lt;/Amend&gt;</w:t>
      </w:r>
    </w:p>
    <w:p w14:paraId="266663B6" w14:textId="4677AFCC" w:rsidR="0053587C" w:rsidRPr="00992414" w:rsidRDefault="0053587C" w:rsidP="0053587C">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88</w:t>
      </w:r>
      <w:r w:rsidRPr="00992414">
        <w:rPr>
          <w:rStyle w:val="HideTWBExt"/>
          <w:b w:val="0"/>
          <w:noProof w:val="0"/>
        </w:rPr>
        <w:t>&lt;/NumAm&gt;</w:t>
      </w:r>
    </w:p>
    <w:p w14:paraId="410C0ECA" w14:textId="77777777" w:rsidR="0053587C" w:rsidRPr="00992414" w:rsidRDefault="0053587C" w:rsidP="0053587C">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06A034C7" w14:textId="2F72881B" w:rsidR="0053587C" w:rsidRPr="00992414" w:rsidRDefault="0053587C" w:rsidP="0053587C">
      <w:pPr>
        <w:pStyle w:val="NormalBold"/>
      </w:pPr>
      <w:r w:rsidRPr="00992414">
        <w:rPr>
          <w:rStyle w:val="HideTWBExt"/>
          <w:b w:val="0"/>
          <w:noProof w:val="0"/>
        </w:rPr>
        <w:t>&lt;Article&gt;</w:t>
      </w:r>
      <w:r w:rsidRPr="00992414">
        <w:t>Článok 15 – odsek 1 – písmeno c a (nové)</w:t>
      </w:r>
      <w:r w:rsidRPr="00992414">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3587C" w:rsidRPr="00992414" w14:paraId="0DC9F04A" w14:textId="77777777" w:rsidTr="000A1F9C">
        <w:trPr>
          <w:jc w:val="center"/>
        </w:trPr>
        <w:tc>
          <w:tcPr>
            <w:tcW w:w="9752" w:type="dxa"/>
            <w:gridSpan w:val="2"/>
          </w:tcPr>
          <w:p w14:paraId="4B155E28" w14:textId="77777777" w:rsidR="0053587C" w:rsidRPr="00992414" w:rsidRDefault="0053587C" w:rsidP="00B90B9E">
            <w:pPr>
              <w:keepNext/>
            </w:pPr>
          </w:p>
        </w:tc>
      </w:tr>
      <w:tr w:rsidR="0053587C" w:rsidRPr="00992414" w14:paraId="1A1B8557" w14:textId="77777777" w:rsidTr="000A1F9C">
        <w:trPr>
          <w:jc w:val="center"/>
        </w:trPr>
        <w:tc>
          <w:tcPr>
            <w:tcW w:w="4876" w:type="dxa"/>
            <w:hideMark/>
          </w:tcPr>
          <w:p w14:paraId="1713EC80" w14:textId="77777777" w:rsidR="0053587C" w:rsidRPr="00992414" w:rsidRDefault="0053587C" w:rsidP="00B90B9E">
            <w:pPr>
              <w:pStyle w:val="ColumnHeading"/>
              <w:keepNext/>
            </w:pPr>
            <w:r w:rsidRPr="00992414">
              <w:t>Text predložený Komisiou</w:t>
            </w:r>
          </w:p>
        </w:tc>
        <w:tc>
          <w:tcPr>
            <w:tcW w:w="4876" w:type="dxa"/>
            <w:hideMark/>
          </w:tcPr>
          <w:p w14:paraId="7264A504" w14:textId="77777777" w:rsidR="0053587C" w:rsidRPr="00992414" w:rsidRDefault="0053587C" w:rsidP="00B90B9E">
            <w:pPr>
              <w:pStyle w:val="ColumnHeading"/>
              <w:keepNext/>
            </w:pPr>
            <w:r w:rsidRPr="00992414">
              <w:t>Pozmeňujúci návrh</w:t>
            </w:r>
          </w:p>
        </w:tc>
      </w:tr>
      <w:tr w:rsidR="0053587C" w:rsidRPr="00992414" w14:paraId="1B57F27D" w14:textId="77777777" w:rsidTr="000A1F9C">
        <w:trPr>
          <w:jc w:val="center"/>
        </w:trPr>
        <w:tc>
          <w:tcPr>
            <w:tcW w:w="4876" w:type="dxa"/>
            <w:hideMark/>
          </w:tcPr>
          <w:p w14:paraId="2CD709E3" w14:textId="6039B6AA" w:rsidR="0053587C" w:rsidRPr="00992414" w:rsidRDefault="0053587C" w:rsidP="00AB11F3">
            <w:pPr>
              <w:pStyle w:val="Normal6"/>
            </w:pPr>
          </w:p>
        </w:tc>
        <w:tc>
          <w:tcPr>
            <w:tcW w:w="4876" w:type="dxa"/>
            <w:hideMark/>
          </w:tcPr>
          <w:p w14:paraId="50A3148B" w14:textId="52D6ACCD" w:rsidR="0053587C" w:rsidRPr="00992414" w:rsidRDefault="0053587C" w:rsidP="00AB11F3">
            <w:pPr>
              <w:pStyle w:val="Normal6"/>
              <w:rPr>
                <w:b/>
                <w:i/>
                <w:szCs w:val="24"/>
              </w:rPr>
            </w:pPr>
            <w:r w:rsidRPr="00992414">
              <w:rPr>
                <w:b/>
                <w:i/>
              </w:rPr>
              <w:t>ca)</w:t>
            </w:r>
            <w:r w:rsidRPr="00992414">
              <w:rPr>
                <w:b/>
                <w:i/>
              </w:rPr>
              <w:tab/>
              <w:t>technických pravidiel pre prepojenie podľa článku 8 ods. 1a;</w:t>
            </w:r>
          </w:p>
        </w:tc>
      </w:tr>
    </w:tbl>
    <w:p w14:paraId="4E35CF7C" w14:textId="77777777" w:rsidR="005B739D" w:rsidRPr="00992414" w:rsidRDefault="0053587C" w:rsidP="005B739D">
      <w:r w:rsidRPr="00992414">
        <w:rPr>
          <w:rStyle w:val="HideTWBExt"/>
          <w:noProof w:val="0"/>
        </w:rPr>
        <w:t>&lt;/Amend&gt;</w:t>
      </w:r>
    </w:p>
    <w:p w14:paraId="542E2E51" w14:textId="2E91301B" w:rsidR="005B739D" w:rsidRPr="00992414" w:rsidRDefault="005B739D" w:rsidP="005B739D">
      <w:pPr>
        <w:pStyle w:val="AMNumberTabs"/>
        <w:keepNext/>
      </w:pPr>
      <w:r w:rsidRPr="00992414">
        <w:rPr>
          <w:rStyle w:val="HideTWBExt"/>
          <w:b w:val="0"/>
          <w:noProof w:val="0"/>
        </w:rPr>
        <w:t>&lt;AmendB&gt;</w:t>
      </w:r>
      <w:r w:rsidRPr="00992414">
        <w:t>Pozmeňujúci návrh</w:t>
      </w:r>
      <w:r w:rsidRPr="00992414">
        <w:tab/>
      </w:r>
      <w:r w:rsidRPr="00992414">
        <w:tab/>
      </w:r>
      <w:r w:rsidRPr="00992414">
        <w:rPr>
          <w:rStyle w:val="HideTWBExt"/>
          <w:b w:val="0"/>
          <w:noProof w:val="0"/>
        </w:rPr>
        <w:t>&lt;NumAmB&gt;</w:t>
      </w:r>
      <w:r w:rsidRPr="00992414">
        <w:t>89</w:t>
      </w:r>
      <w:r w:rsidRPr="00992414">
        <w:rPr>
          <w:rStyle w:val="HideTWBExt"/>
          <w:b w:val="0"/>
          <w:noProof w:val="0"/>
        </w:rPr>
        <w:t>&lt;/NumAmB&gt;</w:t>
      </w:r>
    </w:p>
    <w:p w14:paraId="0AB3CC98" w14:textId="77777777" w:rsidR="005B739D" w:rsidRPr="00992414" w:rsidRDefault="005B739D" w:rsidP="005B739D">
      <w:pPr>
        <w:pStyle w:val="NormalBold12b"/>
      </w:pPr>
      <w:r w:rsidRPr="00992414">
        <w:rPr>
          <w:rStyle w:val="HideTWBExt"/>
          <w:b w:val="0"/>
          <w:noProof w:val="0"/>
        </w:rPr>
        <w:t>&lt;DocAmend&gt;</w:t>
      </w:r>
      <w:r w:rsidRPr="00992414">
        <w:t>Návrh nariadenia</w:t>
      </w:r>
      <w:r w:rsidRPr="00992414">
        <w:rPr>
          <w:rStyle w:val="HideTWBExt"/>
          <w:b w:val="0"/>
          <w:noProof w:val="0"/>
        </w:rPr>
        <w:t>&lt;/DocAmend&gt;</w:t>
      </w:r>
    </w:p>
    <w:p w14:paraId="2EBC9DAA" w14:textId="77777777" w:rsidR="005B739D" w:rsidRPr="00992414" w:rsidRDefault="005B739D" w:rsidP="005B739D">
      <w:pPr>
        <w:pStyle w:val="NormalBold"/>
      </w:pPr>
      <w:r w:rsidRPr="00992414">
        <w:rPr>
          <w:rStyle w:val="HideTWBExt"/>
          <w:b w:val="0"/>
          <w:noProof w:val="0"/>
        </w:rPr>
        <w:t>&lt;Article&gt;</w:t>
      </w:r>
      <w:r w:rsidRPr="00992414">
        <w:t>Článok 17 – odsek 2 – pododsek 2</w:t>
      </w:r>
      <w:r w:rsidRPr="0099241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B739D" w:rsidRPr="00992414" w14:paraId="3B8AC077" w14:textId="77777777" w:rsidTr="00245FBF">
        <w:trPr>
          <w:jc w:val="center"/>
        </w:trPr>
        <w:tc>
          <w:tcPr>
            <w:tcW w:w="9752" w:type="dxa"/>
            <w:gridSpan w:val="2"/>
          </w:tcPr>
          <w:p w14:paraId="14F95050" w14:textId="77777777" w:rsidR="005B739D" w:rsidRPr="00992414" w:rsidRDefault="005B739D" w:rsidP="00245FBF">
            <w:pPr>
              <w:keepNext/>
            </w:pPr>
          </w:p>
        </w:tc>
      </w:tr>
      <w:tr w:rsidR="005B739D" w:rsidRPr="00992414" w14:paraId="0CC07E19" w14:textId="77777777" w:rsidTr="00245FBF">
        <w:trPr>
          <w:jc w:val="center"/>
        </w:trPr>
        <w:tc>
          <w:tcPr>
            <w:tcW w:w="4876" w:type="dxa"/>
          </w:tcPr>
          <w:p w14:paraId="55065FEF" w14:textId="77777777" w:rsidR="005B739D" w:rsidRPr="00992414" w:rsidRDefault="005B739D" w:rsidP="00245FBF">
            <w:pPr>
              <w:pStyle w:val="ColumnHeading"/>
              <w:keepNext/>
            </w:pPr>
            <w:r w:rsidRPr="00992414">
              <w:t>Text predložený Komisiou</w:t>
            </w:r>
          </w:p>
        </w:tc>
        <w:tc>
          <w:tcPr>
            <w:tcW w:w="4876" w:type="dxa"/>
          </w:tcPr>
          <w:p w14:paraId="709B3155" w14:textId="77777777" w:rsidR="005B739D" w:rsidRPr="00992414" w:rsidRDefault="005B739D" w:rsidP="00245FBF">
            <w:pPr>
              <w:pStyle w:val="ColumnHeading"/>
              <w:keepNext/>
            </w:pPr>
            <w:r w:rsidRPr="00992414">
              <w:t>Pozmeňujúci návrh</w:t>
            </w:r>
          </w:p>
        </w:tc>
      </w:tr>
      <w:tr w:rsidR="005B739D" w:rsidRPr="00992414" w14:paraId="2BB39F76" w14:textId="77777777" w:rsidTr="00245FBF">
        <w:trPr>
          <w:jc w:val="center"/>
        </w:trPr>
        <w:tc>
          <w:tcPr>
            <w:tcW w:w="4876" w:type="dxa"/>
          </w:tcPr>
          <w:p w14:paraId="4FB22E11" w14:textId="77777777" w:rsidR="005B739D" w:rsidRPr="00992414" w:rsidRDefault="005B739D" w:rsidP="00245FBF">
            <w:pPr>
              <w:pStyle w:val="Normal6"/>
            </w:pPr>
            <w:r w:rsidRPr="00992414">
              <w:t>Informácie uvedené v odseku 1 písm. c) sa budú Komisii poskytovať najmenej raz za šesť mesiacov.</w:t>
            </w:r>
          </w:p>
        </w:tc>
        <w:tc>
          <w:tcPr>
            <w:tcW w:w="4876" w:type="dxa"/>
          </w:tcPr>
          <w:p w14:paraId="019E29BB" w14:textId="77777777" w:rsidR="005B739D" w:rsidRPr="00992414" w:rsidRDefault="005B739D" w:rsidP="00245FBF">
            <w:pPr>
              <w:pStyle w:val="Normal6"/>
              <w:rPr>
                <w:szCs w:val="24"/>
              </w:rPr>
            </w:pPr>
            <w:r w:rsidRPr="00992414">
              <w:t xml:space="preserve">Informácie uvedené v odseku 1 písm. c) sa budú Komisii poskytovať najmenej raz za šesť mesiacov. </w:t>
            </w:r>
            <w:r w:rsidRPr="00992414">
              <w:rPr>
                <w:b/>
                <w:i/>
              </w:rPr>
              <w:t>Komisia zverejní výročnú správu o štatistických informáciách s cieľom odhadnúť rozsah a sumy pašovaných peňažných prostriedkov v hotovosti.</w:t>
            </w:r>
          </w:p>
        </w:tc>
      </w:tr>
    </w:tbl>
    <w:p w14:paraId="4FA4CBDF" w14:textId="77777777" w:rsidR="005B739D" w:rsidRPr="00992414" w:rsidRDefault="005B739D" w:rsidP="005B739D">
      <w:r w:rsidRPr="00992414">
        <w:rPr>
          <w:rStyle w:val="HideTWBExt"/>
          <w:noProof w:val="0"/>
        </w:rPr>
        <w:t>&lt;/AmendB&gt;</w:t>
      </w:r>
    </w:p>
    <w:p w14:paraId="553110BD" w14:textId="7DE74A53" w:rsidR="005B739D" w:rsidRPr="00992414" w:rsidRDefault="005B739D" w:rsidP="005B739D">
      <w:pPr>
        <w:pStyle w:val="AMNumberTabs"/>
        <w:keepNext/>
      </w:pPr>
      <w:r w:rsidRPr="00992414">
        <w:rPr>
          <w:rStyle w:val="HideTWBExt"/>
          <w:b w:val="0"/>
          <w:noProof w:val="0"/>
        </w:rPr>
        <w:t>&lt;AmendB&gt;</w:t>
      </w:r>
      <w:r w:rsidRPr="00992414">
        <w:t>Pozmeňujúci návrh</w:t>
      </w:r>
      <w:r w:rsidRPr="00992414">
        <w:tab/>
      </w:r>
      <w:r w:rsidRPr="00992414">
        <w:tab/>
      </w:r>
      <w:r w:rsidRPr="00992414">
        <w:rPr>
          <w:rStyle w:val="HideTWBExt"/>
          <w:b w:val="0"/>
          <w:noProof w:val="0"/>
        </w:rPr>
        <w:t>&lt;NumAmB&gt;</w:t>
      </w:r>
      <w:r w:rsidRPr="00992414">
        <w:t>90</w:t>
      </w:r>
      <w:r w:rsidRPr="00992414">
        <w:rPr>
          <w:rStyle w:val="HideTWBExt"/>
          <w:b w:val="0"/>
          <w:noProof w:val="0"/>
        </w:rPr>
        <w:t>&lt;/NumAmB&gt;</w:t>
      </w:r>
    </w:p>
    <w:p w14:paraId="565C1167" w14:textId="77777777" w:rsidR="005B739D" w:rsidRPr="00992414" w:rsidRDefault="005B739D" w:rsidP="005B739D">
      <w:pPr>
        <w:pStyle w:val="NormalBold12b"/>
      </w:pPr>
      <w:r w:rsidRPr="00992414">
        <w:rPr>
          <w:rStyle w:val="HideTWBExt"/>
          <w:b w:val="0"/>
          <w:noProof w:val="0"/>
        </w:rPr>
        <w:t>&lt;DocAmend&gt;</w:t>
      </w:r>
      <w:r w:rsidRPr="00992414">
        <w:t>Návrh nariadenia</w:t>
      </w:r>
      <w:r w:rsidRPr="00992414">
        <w:rPr>
          <w:rStyle w:val="HideTWBExt"/>
          <w:b w:val="0"/>
          <w:noProof w:val="0"/>
        </w:rPr>
        <w:t>&lt;/DocAmend&gt;</w:t>
      </w:r>
    </w:p>
    <w:p w14:paraId="25148818" w14:textId="77777777" w:rsidR="005B739D" w:rsidRPr="00992414" w:rsidRDefault="005B739D" w:rsidP="005B739D">
      <w:pPr>
        <w:pStyle w:val="NormalBold"/>
      </w:pPr>
      <w:r w:rsidRPr="00992414">
        <w:rPr>
          <w:rStyle w:val="HideTWBExt"/>
          <w:b w:val="0"/>
          <w:noProof w:val="0"/>
        </w:rPr>
        <w:t>&lt;Article&gt;</w:t>
      </w:r>
      <w:r w:rsidRPr="00992414">
        <w:t>Článok 17 – odsek 3 a (nový)</w:t>
      </w:r>
      <w:r w:rsidRPr="0099241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B739D" w:rsidRPr="00992414" w14:paraId="18E892AD" w14:textId="77777777" w:rsidTr="00245FBF">
        <w:trPr>
          <w:jc w:val="center"/>
        </w:trPr>
        <w:tc>
          <w:tcPr>
            <w:tcW w:w="9752" w:type="dxa"/>
            <w:gridSpan w:val="2"/>
          </w:tcPr>
          <w:p w14:paraId="1FB5B4DF" w14:textId="77777777" w:rsidR="005B739D" w:rsidRPr="00992414" w:rsidRDefault="005B739D" w:rsidP="00245FBF">
            <w:pPr>
              <w:keepNext/>
            </w:pPr>
          </w:p>
        </w:tc>
      </w:tr>
      <w:tr w:rsidR="005B739D" w:rsidRPr="00992414" w14:paraId="2A141BD7" w14:textId="77777777" w:rsidTr="00245FBF">
        <w:trPr>
          <w:jc w:val="center"/>
        </w:trPr>
        <w:tc>
          <w:tcPr>
            <w:tcW w:w="4876" w:type="dxa"/>
          </w:tcPr>
          <w:p w14:paraId="2D4FAB26" w14:textId="77777777" w:rsidR="005B739D" w:rsidRPr="00992414" w:rsidRDefault="005B739D" w:rsidP="00245FBF">
            <w:pPr>
              <w:pStyle w:val="ColumnHeading"/>
              <w:keepNext/>
            </w:pPr>
            <w:r w:rsidRPr="00992414">
              <w:t>Text predložený Komisiou</w:t>
            </w:r>
          </w:p>
        </w:tc>
        <w:tc>
          <w:tcPr>
            <w:tcW w:w="4876" w:type="dxa"/>
          </w:tcPr>
          <w:p w14:paraId="6465A266" w14:textId="77777777" w:rsidR="005B739D" w:rsidRPr="00992414" w:rsidRDefault="005B739D" w:rsidP="00245FBF">
            <w:pPr>
              <w:pStyle w:val="ColumnHeading"/>
              <w:keepNext/>
            </w:pPr>
            <w:r w:rsidRPr="00992414">
              <w:t>Pozmeňujúci návrh</w:t>
            </w:r>
          </w:p>
        </w:tc>
      </w:tr>
      <w:tr w:rsidR="005B739D" w:rsidRPr="00992414" w14:paraId="450077D1" w14:textId="77777777" w:rsidTr="00245FBF">
        <w:trPr>
          <w:jc w:val="center"/>
        </w:trPr>
        <w:tc>
          <w:tcPr>
            <w:tcW w:w="4876" w:type="dxa"/>
          </w:tcPr>
          <w:p w14:paraId="607CD973" w14:textId="77777777" w:rsidR="005B739D" w:rsidRPr="00992414" w:rsidRDefault="005B739D" w:rsidP="00245FBF">
            <w:pPr>
              <w:pStyle w:val="Normal6"/>
            </w:pPr>
          </w:p>
        </w:tc>
        <w:tc>
          <w:tcPr>
            <w:tcW w:w="4876" w:type="dxa"/>
          </w:tcPr>
          <w:p w14:paraId="30AF0285" w14:textId="7F74D93F" w:rsidR="005B739D" w:rsidRPr="00992414" w:rsidRDefault="005B739D" w:rsidP="00245FBF">
            <w:pPr>
              <w:pStyle w:val="Normal6"/>
              <w:rPr>
                <w:szCs w:val="24"/>
              </w:rPr>
            </w:pPr>
            <w:r w:rsidRPr="00992414">
              <w:rPr>
                <w:b/>
                <w:i/>
              </w:rPr>
              <w:t>3a.</w:t>
            </w:r>
            <w:r w:rsidRPr="00992414">
              <w:rPr>
                <w:b/>
                <w:i/>
              </w:rPr>
              <w:tab/>
              <w:t>Komisia zverejňuje informácie uvedené v odseku 1 písm. a) a odseku 1 písm. b) na svojej webovej stránke a jednoznačným spôsobom čitateľov informuje o kontrolách týkajúcich sa peňažných prostriedkov v hotovosti, ktoré vstupujú do Únie, resp. opúšťajú Úniu.</w:t>
            </w:r>
          </w:p>
        </w:tc>
      </w:tr>
    </w:tbl>
    <w:p w14:paraId="3E015C0D" w14:textId="77777777" w:rsidR="005B739D" w:rsidRPr="00992414" w:rsidRDefault="005B739D" w:rsidP="005B739D">
      <w:pPr>
        <w:pStyle w:val="JustificationTitle"/>
      </w:pPr>
      <w:r w:rsidRPr="00992414">
        <w:rPr>
          <w:rStyle w:val="HideTWBExt"/>
          <w:i w:val="0"/>
          <w:noProof w:val="0"/>
        </w:rPr>
        <w:t>&lt;TitreJust&gt;</w:t>
      </w:r>
      <w:r w:rsidRPr="00992414">
        <w:t>Odôvodnenie</w:t>
      </w:r>
      <w:r w:rsidRPr="00992414">
        <w:rPr>
          <w:rStyle w:val="HideTWBExt"/>
          <w:i w:val="0"/>
          <w:noProof w:val="0"/>
        </w:rPr>
        <w:t>&lt;/TitreJust&gt;</w:t>
      </w:r>
    </w:p>
    <w:p w14:paraId="5535315E" w14:textId="77777777" w:rsidR="005B739D" w:rsidRPr="00992414" w:rsidRDefault="005B739D" w:rsidP="005B739D">
      <w:pPr>
        <w:pStyle w:val="Normal12Italic"/>
      </w:pPr>
      <w:r w:rsidRPr="00992414">
        <w:t>Občania a cestovatelia, ktorí sa chcú informovať o svojich povinnostiach, by mali mať možnosť nájsť informácie o kontrolách peňažných prostriedkov v hotovosti a o zozname príslušných orgánov na webovej stránke prevádzkovanej Komisiou.</w:t>
      </w:r>
    </w:p>
    <w:p w14:paraId="1926245A" w14:textId="77777777" w:rsidR="005B739D" w:rsidRPr="00992414" w:rsidRDefault="005B739D" w:rsidP="005B739D">
      <w:r w:rsidRPr="00992414">
        <w:rPr>
          <w:rStyle w:val="HideTWBExt"/>
          <w:noProof w:val="0"/>
        </w:rPr>
        <w:t>&lt;/AmendB&gt;</w:t>
      </w:r>
    </w:p>
    <w:p w14:paraId="1163E0B4" w14:textId="0BFF8123" w:rsidR="005B739D" w:rsidRPr="00992414" w:rsidRDefault="005B739D" w:rsidP="005B739D">
      <w:pPr>
        <w:pStyle w:val="AMNumberTabs"/>
        <w:keepNext/>
      </w:pPr>
      <w:r w:rsidRPr="00992414">
        <w:rPr>
          <w:rStyle w:val="HideTWBExt"/>
          <w:b w:val="0"/>
          <w:noProof w:val="0"/>
        </w:rPr>
        <w:t>&lt;AmendB&gt;</w:t>
      </w:r>
      <w:r w:rsidRPr="00992414">
        <w:t>Pozmeňujúci návrh</w:t>
      </w:r>
      <w:r w:rsidRPr="00992414">
        <w:tab/>
      </w:r>
      <w:r w:rsidRPr="00992414">
        <w:tab/>
      </w:r>
      <w:r w:rsidRPr="00992414">
        <w:rPr>
          <w:rStyle w:val="HideTWBExt"/>
          <w:b w:val="0"/>
          <w:noProof w:val="0"/>
        </w:rPr>
        <w:t>&lt;NumAmB&gt;</w:t>
      </w:r>
      <w:r w:rsidRPr="00992414">
        <w:t>91</w:t>
      </w:r>
      <w:r w:rsidRPr="00992414">
        <w:rPr>
          <w:rStyle w:val="HideTWBExt"/>
          <w:b w:val="0"/>
          <w:noProof w:val="0"/>
        </w:rPr>
        <w:t>&lt;/NumAmB&gt;</w:t>
      </w:r>
    </w:p>
    <w:p w14:paraId="3FB003CD" w14:textId="77777777" w:rsidR="005B739D" w:rsidRPr="00992414" w:rsidRDefault="005B739D" w:rsidP="005B739D">
      <w:pPr>
        <w:pStyle w:val="NormalBold12b"/>
      </w:pPr>
      <w:r w:rsidRPr="00992414">
        <w:rPr>
          <w:rStyle w:val="HideTWBExt"/>
          <w:b w:val="0"/>
          <w:noProof w:val="0"/>
        </w:rPr>
        <w:t>&lt;DocAmend&gt;</w:t>
      </w:r>
      <w:r w:rsidRPr="00992414">
        <w:t>Návrh nariadenia</w:t>
      </w:r>
      <w:r w:rsidRPr="00992414">
        <w:rPr>
          <w:rStyle w:val="HideTWBExt"/>
          <w:b w:val="0"/>
          <w:noProof w:val="0"/>
        </w:rPr>
        <w:t>&lt;/DocAmend&gt;</w:t>
      </w:r>
    </w:p>
    <w:p w14:paraId="5E8EA1F8" w14:textId="77777777" w:rsidR="005B739D" w:rsidRPr="00992414" w:rsidRDefault="005B739D" w:rsidP="005B739D">
      <w:pPr>
        <w:pStyle w:val="NormalBold"/>
      </w:pPr>
      <w:r w:rsidRPr="00992414">
        <w:rPr>
          <w:rStyle w:val="HideTWBExt"/>
          <w:b w:val="0"/>
          <w:noProof w:val="0"/>
        </w:rPr>
        <w:t>&lt;Article&gt;</w:t>
      </w:r>
      <w:r w:rsidRPr="00992414">
        <w:t>Článok 17 a (nový)</w:t>
      </w:r>
      <w:r w:rsidRPr="0099241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B739D" w:rsidRPr="00992414" w14:paraId="12930368" w14:textId="77777777" w:rsidTr="00245FBF">
        <w:trPr>
          <w:jc w:val="center"/>
        </w:trPr>
        <w:tc>
          <w:tcPr>
            <w:tcW w:w="9752" w:type="dxa"/>
            <w:gridSpan w:val="2"/>
          </w:tcPr>
          <w:p w14:paraId="20E88069" w14:textId="77777777" w:rsidR="005B739D" w:rsidRPr="00992414" w:rsidRDefault="005B739D" w:rsidP="00245FBF">
            <w:pPr>
              <w:keepNext/>
            </w:pPr>
          </w:p>
        </w:tc>
      </w:tr>
      <w:tr w:rsidR="005B739D" w:rsidRPr="00992414" w14:paraId="58FFD73C" w14:textId="77777777" w:rsidTr="00245FBF">
        <w:trPr>
          <w:jc w:val="center"/>
        </w:trPr>
        <w:tc>
          <w:tcPr>
            <w:tcW w:w="4876" w:type="dxa"/>
          </w:tcPr>
          <w:p w14:paraId="2CF6564B" w14:textId="77777777" w:rsidR="005B739D" w:rsidRPr="00992414" w:rsidRDefault="005B739D" w:rsidP="00245FBF">
            <w:pPr>
              <w:pStyle w:val="ColumnHeading"/>
              <w:keepNext/>
            </w:pPr>
            <w:r w:rsidRPr="00992414">
              <w:t>Text predložený Komisiou</w:t>
            </w:r>
          </w:p>
        </w:tc>
        <w:tc>
          <w:tcPr>
            <w:tcW w:w="4876" w:type="dxa"/>
          </w:tcPr>
          <w:p w14:paraId="015946DA" w14:textId="77777777" w:rsidR="005B739D" w:rsidRPr="00992414" w:rsidRDefault="005B739D" w:rsidP="00245FBF">
            <w:pPr>
              <w:pStyle w:val="ColumnHeading"/>
              <w:keepNext/>
            </w:pPr>
            <w:r w:rsidRPr="00992414">
              <w:t>Pozmeňujúci návrh</w:t>
            </w:r>
          </w:p>
        </w:tc>
      </w:tr>
      <w:tr w:rsidR="005B739D" w:rsidRPr="00992414" w14:paraId="7F9693C2" w14:textId="77777777" w:rsidTr="00245FBF">
        <w:trPr>
          <w:jc w:val="center"/>
        </w:trPr>
        <w:tc>
          <w:tcPr>
            <w:tcW w:w="4876" w:type="dxa"/>
          </w:tcPr>
          <w:p w14:paraId="69F101EC" w14:textId="77777777" w:rsidR="005B739D" w:rsidRPr="00992414" w:rsidRDefault="005B739D" w:rsidP="00245FBF">
            <w:pPr>
              <w:pStyle w:val="Normal6"/>
            </w:pPr>
          </w:p>
        </w:tc>
        <w:tc>
          <w:tcPr>
            <w:tcW w:w="4876" w:type="dxa"/>
          </w:tcPr>
          <w:p w14:paraId="5DE399F7" w14:textId="77777777" w:rsidR="005B739D" w:rsidRPr="00992414" w:rsidRDefault="005B739D" w:rsidP="00245FBF">
            <w:pPr>
              <w:pStyle w:val="Normal6"/>
              <w:jc w:val="center"/>
              <w:rPr>
                <w:szCs w:val="24"/>
              </w:rPr>
            </w:pPr>
            <w:r w:rsidRPr="00992414">
              <w:rPr>
                <w:b/>
                <w:i/>
              </w:rPr>
              <w:t>Článok 17a</w:t>
            </w:r>
          </w:p>
        </w:tc>
      </w:tr>
      <w:tr w:rsidR="005B739D" w:rsidRPr="00992414" w14:paraId="59073226" w14:textId="77777777" w:rsidTr="00245FBF">
        <w:trPr>
          <w:jc w:val="center"/>
        </w:trPr>
        <w:tc>
          <w:tcPr>
            <w:tcW w:w="4876" w:type="dxa"/>
          </w:tcPr>
          <w:p w14:paraId="4EAF836B" w14:textId="77777777" w:rsidR="005B739D" w:rsidRPr="00992414" w:rsidRDefault="005B739D" w:rsidP="00245FBF">
            <w:pPr>
              <w:pStyle w:val="Normal6"/>
            </w:pPr>
          </w:p>
        </w:tc>
        <w:tc>
          <w:tcPr>
            <w:tcW w:w="4876" w:type="dxa"/>
          </w:tcPr>
          <w:p w14:paraId="3E518925" w14:textId="77777777" w:rsidR="005B739D" w:rsidRPr="00992414" w:rsidRDefault="005B739D" w:rsidP="00245FBF">
            <w:pPr>
              <w:pStyle w:val="Normal6"/>
              <w:jc w:val="center"/>
              <w:rPr>
                <w:szCs w:val="24"/>
              </w:rPr>
            </w:pPr>
            <w:r w:rsidRPr="00992414">
              <w:rPr>
                <w:b/>
                <w:i/>
              </w:rPr>
              <w:t>Informačné kampane</w:t>
            </w:r>
          </w:p>
        </w:tc>
      </w:tr>
      <w:tr w:rsidR="005B739D" w:rsidRPr="00992414" w14:paraId="3FFE344C" w14:textId="77777777" w:rsidTr="00245FBF">
        <w:trPr>
          <w:jc w:val="center"/>
        </w:trPr>
        <w:tc>
          <w:tcPr>
            <w:tcW w:w="4876" w:type="dxa"/>
          </w:tcPr>
          <w:p w14:paraId="041BB041" w14:textId="77777777" w:rsidR="005B739D" w:rsidRPr="00992414" w:rsidRDefault="005B739D" w:rsidP="00245FBF">
            <w:pPr>
              <w:pStyle w:val="Normal6"/>
            </w:pPr>
          </w:p>
        </w:tc>
        <w:tc>
          <w:tcPr>
            <w:tcW w:w="4876" w:type="dxa"/>
          </w:tcPr>
          <w:p w14:paraId="354555ED" w14:textId="77777777" w:rsidR="005B739D" w:rsidRPr="00992414" w:rsidRDefault="005B739D" w:rsidP="00245FBF">
            <w:pPr>
              <w:pStyle w:val="Normal6"/>
              <w:rPr>
                <w:szCs w:val="24"/>
              </w:rPr>
            </w:pPr>
            <w:r w:rsidRPr="00992414">
              <w:rPr>
                <w:b/>
                <w:i/>
              </w:rPr>
              <w:t>Na začiatku uplatňovania tohto nariadenia Komisia, v spolupráci s členskými štátmi a európskym dozorným úradníkom pre ochranu údajov, uskutoční kampaň informujúcu občanov EÚ a štátnych príslušníkov tretích krajín, ako aj právnické osoby, o cieľoch tohto nariadenia, povinnostiach podľa článkov 3 a 4, uchovávaných údajoch, zozname príslušných orgánov, možnosti dočasného zadržania podľa článku 7, sankciách zavedených podľa článku 13 a právach na účinný prostriedok nápravy. Komisia a členské štáty takéto kampane pravidelne opakujú. Členské štáty pripravia a zavedú potrebné politiky na informovanie svojich občanov a osôb s pobytom v týchto krajinách o tomto nariadení. Členské štáty zabezpečia, aby na takéto informačné politiky bol k dispozícii dostatok finančných prostriedkov.</w:t>
            </w:r>
          </w:p>
        </w:tc>
      </w:tr>
    </w:tbl>
    <w:p w14:paraId="1629213A" w14:textId="77777777" w:rsidR="005B739D" w:rsidRPr="00992414" w:rsidRDefault="005B739D" w:rsidP="005B739D">
      <w:pPr>
        <w:pStyle w:val="JustificationTitle"/>
      </w:pPr>
      <w:r w:rsidRPr="00992414">
        <w:rPr>
          <w:rStyle w:val="HideTWBExt"/>
          <w:i w:val="0"/>
          <w:noProof w:val="0"/>
        </w:rPr>
        <w:t>&lt;TitreJust&gt;</w:t>
      </w:r>
      <w:r w:rsidRPr="00992414">
        <w:t>Odôvodnenie</w:t>
      </w:r>
      <w:r w:rsidRPr="00992414">
        <w:rPr>
          <w:rStyle w:val="HideTWBExt"/>
          <w:i w:val="0"/>
          <w:noProof w:val="0"/>
        </w:rPr>
        <w:t>&lt;/TitreJust&gt;</w:t>
      </w:r>
    </w:p>
    <w:p w14:paraId="42EC6AD6" w14:textId="77777777" w:rsidR="005B739D" w:rsidRPr="00992414" w:rsidRDefault="005B739D" w:rsidP="005B739D">
      <w:pPr>
        <w:pStyle w:val="Normal12Italic"/>
      </w:pPr>
      <w:r w:rsidRPr="00992414">
        <w:t>V záujme informovania občanov a cestovateľov o povinnosti oznamovať peňažné prostriedky v hotovosti pri prekračovaní hraníc a teda na zvýšenie jej účinnosti by Komisia mala spustiť informačné kampane o tomto nariadení.</w:t>
      </w:r>
    </w:p>
    <w:p w14:paraId="02CB7980" w14:textId="77777777" w:rsidR="005B739D" w:rsidRPr="00992414" w:rsidRDefault="005B739D" w:rsidP="005B739D">
      <w:r w:rsidRPr="00992414">
        <w:rPr>
          <w:rStyle w:val="HideTWBExt"/>
          <w:noProof w:val="0"/>
        </w:rPr>
        <w:t>&lt;/AmendB&gt;</w:t>
      </w:r>
    </w:p>
    <w:p w14:paraId="0F4D4FED" w14:textId="67F6B59E"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92</w:t>
      </w:r>
      <w:r w:rsidRPr="00992414">
        <w:rPr>
          <w:rStyle w:val="HideTWBExt"/>
          <w:b w:val="0"/>
          <w:noProof w:val="0"/>
        </w:rPr>
        <w:t>&lt;/NumAm&gt;</w:t>
      </w:r>
    </w:p>
    <w:p w14:paraId="23FFF7B0"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2DCDEFF2" w14:textId="77777777" w:rsidR="00376950" w:rsidRPr="00992414" w:rsidRDefault="00376950" w:rsidP="00376950">
      <w:pPr>
        <w:pStyle w:val="NormalBold"/>
      </w:pPr>
      <w:r w:rsidRPr="00992414">
        <w:rPr>
          <w:rStyle w:val="HideTWBExt"/>
          <w:b w:val="0"/>
          <w:noProof w:val="0"/>
        </w:rPr>
        <w:t>&lt;Article&gt;</w:t>
      </w:r>
      <w:r w:rsidRPr="00992414">
        <w:t>Článok 18 – odsek 1</w:t>
      </w:r>
      <w:r w:rsidRPr="0099241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14FBFA2D" w14:textId="77777777" w:rsidTr="00376950">
        <w:trPr>
          <w:jc w:val="center"/>
        </w:trPr>
        <w:tc>
          <w:tcPr>
            <w:tcW w:w="9752" w:type="dxa"/>
            <w:gridSpan w:val="2"/>
          </w:tcPr>
          <w:p w14:paraId="507AE04E" w14:textId="77777777" w:rsidR="00376950" w:rsidRPr="00992414" w:rsidRDefault="00376950">
            <w:pPr>
              <w:keepNext/>
            </w:pPr>
          </w:p>
        </w:tc>
      </w:tr>
      <w:tr w:rsidR="00376950" w:rsidRPr="00992414" w14:paraId="646B0EB7" w14:textId="77777777" w:rsidTr="00376950">
        <w:trPr>
          <w:jc w:val="center"/>
        </w:trPr>
        <w:tc>
          <w:tcPr>
            <w:tcW w:w="4876" w:type="dxa"/>
            <w:hideMark/>
          </w:tcPr>
          <w:p w14:paraId="21B94673" w14:textId="77777777" w:rsidR="00376950" w:rsidRPr="00992414" w:rsidRDefault="00376950">
            <w:pPr>
              <w:pStyle w:val="ColumnHeading"/>
              <w:keepNext/>
            </w:pPr>
            <w:r w:rsidRPr="00992414">
              <w:t>Text predložený Komisiou</w:t>
            </w:r>
          </w:p>
        </w:tc>
        <w:tc>
          <w:tcPr>
            <w:tcW w:w="4876" w:type="dxa"/>
            <w:hideMark/>
          </w:tcPr>
          <w:p w14:paraId="5BD062CC" w14:textId="77777777" w:rsidR="00376950" w:rsidRPr="00992414" w:rsidRDefault="00376950">
            <w:pPr>
              <w:pStyle w:val="ColumnHeading"/>
              <w:keepNext/>
            </w:pPr>
            <w:r w:rsidRPr="00992414">
              <w:t>Pozmeňujúci návrh</w:t>
            </w:r>
          </w:p>
        </w:tc>
      </w:tr>
      <w:tr w:rsidR="00376950" w:rsidRPr="00992414" w14:paraId="3613D938" w14:textId="77777777" w:rsidTr="00376950">
        <w:trPr>
          <w:jc w:val="center"/>
        </w:trPr>
        <w:tc>
          <w:tcPr>
            <w:tcW w:w="4876" w:type="dxa"/>
            <w:hideMark/>
          </w:tcPr>
          <w:p w14:paraId="7A205DD1" w14:textId="77777777" w:rsidR="00376950" w:rsidRPr="00992414" w:rsidRDefault="00376950">
            <w:pPr>
              <w:pStyle w:val="Normal6"/>
            </w:pPr>
            <w:r w:rsidRPr="00992414">
              <w:t xml:space="preserve">Komisia predloží Európskemu parlamentu a Rade správu o uplatňovaní tohto nariadenia </w:t>
            </w:r>
            <w:r w:rsidRPr="00992414">
              <w:rPr>
                <w:b/>
                <w:i/>
              </w:rPr>
              <w:t>päť rokov</w:t>
            </w:r>
            <w:r w:rsidRPr="00992414">
              <w:t xml:space="preserve"> po nadobudnutí účinnosti tohto nariadenia a následne </w:t>
            </w:r>
            <w:r w:rsidRPr="00992414">
              <w:rPr>
                <w:b/>
                <w:i/>
              </w:rPr>
              <w:t>každých päť rokov</w:t>
            </w:r>
            <w:r w:rsidRPr="00992414">
              <w:t>.</w:t>
            </w:r>
          </w:p>
        </w:tc>
        <w:tc>
          <w:tcPr>
            <w:tcW w:w="4876" w:type="dxa"/>
            <w:hideMark/>
          </w:tcPr>
          <w:p w14:paraId="46BC04E0" w14:textId="31F6B09A" w:rsidR="00376950" w:rsidRPr="00992414" w:rsidRDefault="00376950" w:rsidP="00AB11F3">
            <w:pPr>
              <w:pStyle w:val="Normal6"/>
              <w:rPr>
                <w:szCs w:val="24"/>
              </w:rPr>
            </w:pPr>
            <w:r w:rsidRPr="00992414">
              <w:t xml:space="preserve">Komisia </w:t>
            </w:r>
            <w:r w:rsidRPr="00992414">
              <w:rPr>
                <w:b/>
                <w:i/>
              </w:rPr>
              <w:t xml:space="preserve">na základe informácií, ktoré pravidelne získava od členských štátov, </w:t>
            </w:r>
            <w:r w:rsidRPr="00992414">
              <w:t xml:space="preserve">predloží Európskemu parlamentu a Rade správu o uplatňovaní tohto nariadenia </w:t>
            </w:r>
            <w:r w:rsidRPr="00992414">
              <w:rPr>
                <w:b/>
                <w:i/>
              </w:rPr>
              <w:t>tri roky</w:t>
            </w:r>
            <w:r w:rsidRPr="00992414">
              <w:t xml:space="preserve"> po nadobudnutí účinnosti tohto nariadenia a následne </w:t>
            </w:r>
            <w:r w:rsidRPr="00992414">
              <w:rPr>
                <w:b/>
                <w:i/>
              </w:rPr>
              <w:t>každé tri roky.</w:t>
            </w:r>
            <w:r w:rsidRPr="00992414">
              <w:t xml:space="preserve"> </w:t>
            </w:r>
            <w:r w:rsidRPr="00992414">
              <w:rPr>
                <w:b/>
                <w:i/>
              </w:rPr>
              <w:t>V správe sa posúdi najmä to, či by sa do rozsahu pôsobnosti tohto nariadenia nemali zahrnúť aj iné aktíva, či postup sprístupňovania pre peňažné prostriedky v hotovosti bez sprievodu napĺňa účel a či by sa nemala preskúmať hraničná hodnota peňažných prostriedkov v hotovosti bez sprievodu.</w:t>
            </w:r>
          </w:p>
        </w:tc>
      </w:tr>
    </w:tbl>
    <w:p w14:paraId="1E4252CF" w14:textId="77777777" w:rsidR="00376950" w:rsidRPr="00992414" w:rsidRDefault="00376950" w:rsidP="00376950">
      <w:r w:rsidRPr="00992414">
        <w:rPr>
          <w:rStyle w:val="HideTWBExt"/>
          <w:noProof w:val="0"/>
        </w:rPr>
        <w:t>&lt;/Amend&gt;</w:t>
      </w:r>
    </w:p>
    <w:p w14:paraId="716F7F73" w14:textId="7265EEF9" w:rsidR="00376950" w:rsidRPr="00992414" w:rsidRDefault="00376950" w:rsidP="00376950">
      <w:pPr>
        <w:pStyle w:val="AMNumberTabs"/>
        <w:keepNext/>
      </w:pPr>
      <w:r w:rsidRPr="00992414">
        <w:rPr>
          <w:rStyle w:val="HideTWBExt"/>
          <w:b w:val="0"/>
          <w:noProof w:val="0"/>
        </w:rPr>
        <w:t>&lt;Amend&gt;</w:t>
      </w:r>
      <w:r w:rsidRPr="00992414">
        <w:t>Pozmeňujúci návrh</w:t>
      </w:r>
      <w:r w:rsidRPr="00992414">
        <w:tab/>
      </w:r>
      <w:r w:rsidRPr="00992414">
        <w:tab/>
      </w:r>
      <w:r w:rsidRPr="00992414">
        <w:rPr>
          <w:rStyle w:val="HideTWBExt"/>
          <w:b w:val="0"/>
          <w:noProof w:val="0"/>
        </w:rPr>
        <w:t>&lt;NumAm&gt;</w:t>
      </w:r>
      <w:r w:rsidRPr="00992414">
        <w:t>93</w:t>
      </w:r>
      <w:r w:rsidRPr="00992414">
        <w:rPr>
          <w:rStyle w:val="HideTWBExt"/>
          <w:b w:val="0"/>
          <w:noProof w:val="0"/>
        </w:rPr>
        <w:t>&lt;/NumAm&gt;</w:t>
      </w:r>
    </w:p>
    <w:p w14:paraId="5D795E14" w14:textId="77777777" w:rsidR="00376950" w:rsidRPr="00992414" w:rsidRDefault="00376950" w:rsidP="00376950">
      <w:pPr>
        <w:pStyle w:val="NormalBold12b"/>
        <w:keepNext/>
      </w:pPr>
      <w:r w:rsidRPr="00992414">
        <w:rPr>
          <w:rStyle w:val="HideTWBExt"/>
          <w:b w:val="0"/>
          <w:noProof w:val="0"/>
        </w:rPr>
        <w:t>&lt;DocAmend&gt;</w:t>
      </w:r>
      <w:r w:rsidRPr="00992414">
        <w:t>Návrh nariadenia</w:t>
      </w:r>
      <w:r w:rsidRPr="00992414">
        <w:rPr>
          <w:rStyle w:val="HideTWBExt"/>
          <w:b w:val="0"/>
          <w:noProof w:val="0"/>
        </w:rPr>
        <w:t>&lt;/DocAmend&gt;</w:t>
      </w:r>
    </w:p>
    <w:p w14:paraId="141B167C" w14:textId="5075175E" w:rsidR="00376950" w:rsidRPr="00992414" w:rsidRDefault="00376950" w:rsidP="00376950">
      <w:pPr>
        <w:pStyle w:val="NormalBold"/>
      </w:pPr>
      <w:r w:rsidRPr="00992414">
        <w:rPr>
          <w:rStyle w:val="HideTWBExt"/>
          <w:b w:val="0"/>
          <w:noProof w:val="0"/>
        </w:rPr>
        <w:t>&lt;Article&gt;</w:t>
      </w:r>
      <w:r w:rsidRPr="00992414">
        <w:t>Článok 20 – odsek 2 a (nový)</w:t>
      </w:r>
      <w:r w:rsidRPr="00992414">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76950" w:rsidRPr="00992414" w14:paraId="4F53D5F6" w14:textId="77777777" w:rsidTr="00C957F8">
        <w:trPr>
          <w:jc w:val="center"/>
        </w:trPr>
        <w:tc>
          <w:tcPr>
            <w:tcW w:w="9752" w:type="dxa"/>
            <w:gridSpan w:val="2"/>
          </w:tcPr>
          <w:p w14:paraId="6E3A5821" w14:textId="77777777" w:rsidR="00376950" w:rsidRPr="00992414" w:rsidRDefault="00376950">
            <w:pPr>
              <w:keepNext/>
            </w:pPr>
          </w:p>
        </w:tc>
      </w:tr>
      <w:tr w:rsidR="00376950" w:rsidRPr="00992414" w14:paraId="37F3E9B4" w14:textId="77777777" w:rsidTr="00C957F8">
        <w:trPr>
          <w:jc w:val="center"/>
        </w:trPr>
        <w:tc>
          <w:tcPr>
            <w:tcW w:w="4876" w:type="dxa"/>
            <w:hideMark/>
          </w:tcPr>
          <w:p w14:paraId="5E440E77" w14:textId="77777777" w:rsidR="00376950" w:rsidRPr="00992414" w:rsidRDefault="00376950">
            <w:pPr>
              <w:pStyle w:val="ColumnHeading"/>
              <w:keepNext/>
            </w:pPr>
            <w:r w:rsidRPr="00992414">
              <w:t>Text predložený Komisiou</w:t>
            </w:r>
          </w:p>
        </w:tc>
        <w:tc>
          <w:tcPr>
            <w:tcW w:w="4876" w:type="dxa"/>
            <w:hideMark/>
          </w:tcPr>
          <w:p w14:paraId="73EBCBBC" w14:textId="77777777" w:rsidR="00376950" w:rsidRPr="00992414" w:rsidRDefault="00376950">
            <w:pPr>
              <w:pStyle w:val="ColumnHeading"/>
              <w:keepNext/>
            </w:pPr>
            <w:r w:rsidRPr="00992414">
              <w:t>Pozmeňujúci návrh</w:t>
            </w:r>
          </w:p>
        </w:tc>
      </w:tr>
      <w:tr w:rsidR="00376950" w:rsidRPr="00992414" w14:paraId="378BBA20" w14:textId="77777777" w:rsidTr="00C957F8">
        <w:trPr>
          <w:jc w:val="center"/>
        </w:trPr>
        <w:tc>
          <w:tcPr>
            <w:tcW w:w="4876" w:type="dxa"/>
            <w:hideMark/>
          </w:tcPr>
          <w:p w14:paraId="2359625A" w14:textId="0A5A5F92" w:rsidR="00376950" w:rsidRPr="00992414" w:rsidRDefault="00376950">
            <w:pPr>
              <w:pStyle w:val="Normal6"/>
            </w:pPr>
          </w:p>
        </w:tc>
        <w:tc>
          <w:tcPr>
            <w:tcW w:w="4876" w:type="dxa"/>
            <w:hideMark/>
          </w:tcPr>
          <w:p w14:paraId="371EE6DF" w14:textId="1DF18F9D" w:rsidR="00376950" w:rsidRPr="00992414" w:rsidRDefault="00376950" w:rsidP="007F113B">
            <w:pPr>
              <w:pStyle w:val="Normal6"/>
              <w:rPr>
                <w:szCs w:val="24"/>
              </w:rPr>
            </w:pPr>
            <w:r w:rsidRPr="00992414">
              <w:rPr>
                <w:b/>
                <w:i/>
              </w:rPr>
              <w:t xml:space="preserve">Článok 5 ods. 4a a článok 15 písm. a), b), d) a e) sa uplatňujú od ... [deň nadobudnutia účinnosti tohto nariadenia]. </w:t>
            </w:r>
          </w:p>
        </w:tc>
      </w:tr>
    </w:tbl>
    <w:p w14:paraId="2DCD323D" w14:textId="77777777" w:rsidR="00022C97" w:rsidRPr="00992414" w:rsidRDefault="002669B6" w:rsidP="00022C97">
      <w:bookmarkStart w:id="3" w:name="restart"/>
      <w:r w:rsidRPr="00992414">
        <w:rPr>
          <w:rStyle w:val="HideTWBExt"/>
          <w:noProof w:val="0"/>
        </w:rPr>
        <w:t>&lt;/Amend&gt;</w:t>
      </w:r>
      <w:bookmarkEnd w:id="3"/>
    </w:p>
    <w:p w14:paraId="4C93E948" w14:textId="14B58510" w:rsidR="00022C97" w:rsidRPr="00992414" w:rsidRDefault="00022C97" w:rsidP="00022C97">
      <w:pPr>
        <w:pStyle w:val="AMNumberTabs"/>
        <w:keepNext/>
      </w:pPr>
      <w:r w:rsidRPr="00992414">
        <w:rPr>
          <w:rStyle w:val="HideTWBExt"/>
          <w:b w:val="0"/>
          <w:noProof w:val="0"/>
        </w:rPr>
        <w:t>&lt;AmendB&gt;</w:t>
      </w:r>
      <w:r w:rsidRPr="00992414">
        <w:t>Pozmeňujúci návrh</w:t>
      </w:r>
      <w:r w:rsidRPr="00992414">
        <w:tab/>
      </w:r>
      <w:r w:rsidRPr="00992414">
        <w:tab/>
      </w:r>
      <w:r w:rsidRPr="00992414">
        <w:rPr>
          <w:rStyle w:val="HideTWBExt"/>
          <w:b w:val="0"/>
          <w:noProof w:val="0"/>
        </w:rPr>
        <w:t>&lt;NumAmB&gt;</w:t>
      </w:r>
      <w:r w:rsidRPr="00992414">
        <w:t>94</w:t>
      </w:r>
      <w:r w:rsidRPr="00992414">
        <w:rPr>
          <w:rStyle w:val="HideTWBExt"/>
          <w:b w:val="0"/>
          <w:noProof w:val="0"/>
        </w:rPr>
        <w:t>&lt;/NumAmB&gt;</w:t>
      </w:r>
    </w:p>
    <w:p w14:paraId="61693F41" w14:textId="77777777" w:rsidR="00022C97" w:rsidRPr="00992414" w:rsidRDefault="00022C97" w:rsidP="00022C97">
      <w:pPr>
        <w:pStyle w:val="NormalBold12b"/>
      </w:pPr>
      <w:r w:rsidRPr="00992414">
        <w:rPr>
          <w:rStyle w:val="HideTWBExt"/>
          <w:b w:val="0"/>
          <w:noProof w:val="0"/>
        </w:rPr>
        <w:t>&lt;DocAmend&gt;</w:t>
      </w:r>
      <w:r w:rsidRPr="00992414">
        <w:t>Návrh nariadenia</w:t>
      </w:r>
      <w:r w:rsidRPr="00992414">
        <w:rPr>
          <w:rStyle w:val="HideTWBExt"/>
          <w:b w:val="0"/>
          <w:noProof w:val="0"/>
        </w:rPr>
        <w:t>&lt;/DocAmend&gt;</w:t>
      </w:r>
    </w:p>
    <w:p w14:paraId="1DAC8120" w14:textId="77777777" w:rsidR="00022C97" w:rsidRPr="00992414" w:rsidRDefault="00022C97" w:rsidP="00022C97">
      <w:pPr>
        <w:pStyle w:val="NormalBold"/>
      </w:pPr>
      <w:r w:rsidRPr="00992414">
        <w:rPr>
          <w:rStyle w:val="HideTWBExt"/>
          <w:b w:val="0"/>
          <w:noProof w:val="0"/>
        </w:rPr>
        <w:t>&lt;Article&gt;</w:t>
      </w:r>
      <w:r w:rsidRPr="00992414">
        <w:t>Príloha I – nadpis 1</w:t>
      </w:r>
      <w:r w:rsidRPr="0099241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22C97" w:rsidRPr="00992414" w14:paraId="6FAF2638" w14:textId="77777777" w:rsidTr="00635B1A">
        <w:trPr>
          <w:jc w:val="center"/>
        </w:trPr>
        <w:tc>
          <w:tcPr>
            <w:tcW w:w="9752" w:type="dxa"/>
            <w:gridSpan w:val="2"/>
          </w:tcPr>
          <w:p w14:paraId="7DE25A4D" w14:textId="77777777" w:rsidR="00022C97" w:rsidRPr="00992414" w:rsidRDefault="00022C97" w:rsidP="00635B1A">
            <w:pPr>
              <w:keepNext/>
            </w:pPr>
          </w:p>
        </w:tc>
      </w:tr>
      <w:tr w:rsidR="00022C97" w:rsidRPr="00992414" w14:paraId="36EB78B9" w14:textId="77777777" w:rsidTr="00635B1A">
        <w:trPr>
          <w:jc w:val="center"/>
        </w:trPr>
        <w:tc>
          <w:tcPr>
            <w:tcW w:w="4876" w:type="dxa"/>
          </w:tcPr>
          <w:p w14:paraId="2D5A2210" w14:textId="77777777" w:rsidR="00022C97" w:rsidRPr="00992414" w:rsidRDefault="00022C97" w:rsidP="00635B1A">
            <w:pPr>
              <w:pStyle w:val="ColumnHeading"/>
              <w:keepNext/>
            </w:pPr>
            <w:r w:rsidRPr="00992414">
              <w:t>Text predložený Komisiou</w:t>
            </w:r>
          </w:p>
        </w:tc>
        <w:tc>
          <w:tcPr>
            <w:tcW w:w="4876" w:type="dxa"/>
          </w:tcPr>
          <w:p w14:paraId="75D9930E" w14:textId="77777777" w:rsidR="00022C97" w:rsidRPr="00992414" w:rsidRDefault="00022C97" w:rsidP="00635B1A">
            <w:pPr>
              <w:pStyle w:val="ColumnHeading"/>
              <w:keepNext/>
            </w:pPr>
            <w:r w:rsidRPr="00992414">
              <w:t>Pozmeňujúci návrh</w:t>
            </w:r>
          </w:p>
        </w:tc>
      </w:tr>
      <w:tr w:rsidR="00022C97" w:rsidRPr="00992414" w14:paraId="296FBC5A" w14:textId="77777777" w:rsidTr="00635B1A">
        <w:trPr>
          <w:jc w:val="center"/>
        </w:trPr>
        <w:tc>
          <w:tcPr>
            <w:tcW w:w="4876" w:type="dxa"/>
          </w:tcPr>
          <w:p w14:paraId="028315C5" w14:textId="77777777" w:rsidR="00022C97" w:rsidRPr="00992414" w:rsidRDefault="00022C97" w:rsidP="00635B1A">
            <w:pPr>
              <w:pStyle w:val="Normal6"/>
            </w:pPr>
            <w:r w:rsidRPr="00992414">
              <w:t>Obchodovateľné finančné nástroje na doručiteľa, komodity používané ako vysoko likvidné uchovávatele hodnoty a predplatené karty, ktoré sa považujú za peňažné prostriedky v hotovosti v súlade s článkom 2 ods. 1 písm. a) bodmi ii), iii) a iv)</w:t>
            </w:r>
          </w:p>
        </w:tc>
        <w:tc>
          <w:tcPr>
            <w:tcW w:w="4876" w:type="dxa"/>
          </w:tcPr>
          <w:p w14:paraId="79E6E1C2" w14:textId="77777777" w:rsidR="00022C97" w:rsidRPr="00992414" w:rsidRDefault="00022C97" w:rsidP="00635B1A">
            <w:pPr>
              <w:pStyle w:val="Normal6"/>
              <w:rPr>
                <w:szCs w:val="24"/>
              </w:rPr>
            </w:pPr>
            <w:r w:rsidRPr="00992414">
              <w:t>Obchodovateľné finančné nástroje na doručiteľa, komodity používané ako vysoko likvidné uchovávatele hodnoty a</w:t>
            </w:r>
            <w:r w:rsidRPr="00992414">
              <w:rPr>
                <w:b/>
                <w:i/>
              </w:rPr>
              <w:t> anonymné</w:t>
            </w:r>
            <w:r w:rsidRPr="00992414">
              <w:t xml:space="preserve"> predplatené karty, ktoré sa považujú za peňažné prostriedky v hotovosti v súlade s článkom 2 ods. 1 písm. a) bodmi ii), iii) a iv)</w:t>
            </w:r>
          </w:p>
        </w:tc>
      </w:tr>
    </w:tbl>
    <w:p w14:paraId="12E96DF3" w14:textId="77777777" w:rsidR="0059064A" w:rsidRPr="00992414" w:rsidRDefault="00022C97" w:rsidP="0059064A">
      <w:r w:rsidRPr="00992414">
        <w:rPr>
          <w:rStyle w:val="HideTWBExt"/>
          <w:noProof w:val="0"/>
        </w:rPr>
        <w:t>&lt;/AmendB&gt;</w:t>
      </w:r>
    </w:p>
    <w:p w14:paraId="39CA728C" w14:textId="31A6A086" w:rsidR="0059064A" w:rsidRPr="00992414" w:rsidRDefault="0059064A" w:rsidP="0059064A">
      <w:pPr>
        <w:pStyle w:val="AMNumberTabs"/>
        <w:keepNext/>
      </w:pPr>
      <w:r w:rsidRPr="00992414">
        <w:rPr>
          <w:rStyle w:val="HideTWBExt"/>
          <w:b w:val="0"/>
          <w:noProof w:val="0"/>
        </w:rPr>
        <w:t>&lt;AmendB&gt;</w:t>
      </w:r>
      <w:r w:rsidRPr="00992414">
        <w:t>Pozmeňujúci návrh</w:t>
      </w:r>
      <w:r w:rsidRPr="00992414">
        <w:tab/>
      </w:r>
      <w:r w:rsidRPr="00992414">
        <w:tab/>
      </w:r>
      <w:r w:rsidRPr="00992414">
        <w:rPr>
          <w:rStyle w:val="HideTWBExt"/>
          <w:b w:val="0"/>
          <w:noProof w:val="0"/>
        </w:rPr>
        <w:t>&lt;NumAmB&gt;</w:t>
      </w:r>
      <w:r w:rsidRPr="00992414">
        <w:t>95</w:t>
      </w:r>
      <w:r w:rsidRPr="00992414">
        <w:rPr>
          <w:rStyle w:val="HideTWBExt"/>
          <w:b w:val="0"/>
          <w:noProof w:val="0"/>
        </w:rPr>
        <w:t>&lt;/NumAmB&gt;</w:t>
      </w:r>
    </w:p>
    <w:p w14:paraId="26994A50" w14:textId="77777777" w:rsidR="0059064A" w:rsidRPr="00992414" w:rsidRDefault="0059064A" w:rsidP="0059064A">
      <w:pPr>
        <w:pStyle w:val="NormalBold12b"/>
      </w:pPr>
      <w:r w:rsidRPr="00992414">
        <w:rPr>
          <w:rStyle w:val="HideTWBExt"/>
          <w:b w:val="0"/>
          <w:noProof w:val="0"/>
        </w:rPr>
        <w:t>&lt;DocAmend&gt;</w:t>
      </w:r>
      <w:r w:rsidRPr="00992414">
        <w:t>Návrh nariadenia</w:t>
      </w:r>
      <w:r w:rsidRPr="00992414">
        <w:rPr>
          <w:rStyle w:val="HideTWBExt"/>
          <w:b w:val="0"/>
          <w:noProof w:val="0"/>
        </w:rPr>
        <w:t>&lt;/DocAmend&gt;</w:t>
      </w:r>
    </w:p>
    <w:p w14:paraId="61C4B6A7" w14:textId="77777777" w:rsidR="0059064A" w:rsidRPr="00992414" w:rsidRDefault="0059064A" w:rsidP="0059064A">
      <w:pPr>
        <w:pStyle w:val="NormalBold"/>
      </w:pPr>
      <w:r w:rsidRPr="00992414">
        <w:rPr>
          <w:rStyle w:val="HideTWBExt"/>
          <w:b w:val="0"/>
          <w:noProof w:val="0"/>
        </w:rPr>
        <w:t>&lt;Article&gt;</w:t>
      </w:r>
      <w:r w:rsidRPr="00992414">
        <w:t>Príloha I – bod 3</w:t>
      </w:r>
      <w:r w:rsidRPr="0099241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9064A" w:rsidRPr="00992414" w14:paraId="60E4DC86" w14:textId="77777777" w:rsidTr="00635B1A">
        <w:trPr>
          <w:jc w:val="center"/>
        </w:trPr>
        <w:tc>
          <w:tcPr>
            <w:tcW w:w="9752" w:type="dxa"/>
            <w:gridSpan w:val="2"/>
          </w:tcPr>
          <w:p w14:paraId="52A00B78" w14:textId="77777777" w:rsidR="0059064A" w:rsidRPr="00992414" w:rsidRDefault="0059064A" w:rsidP="00635B1A">
            <w:pPr>
              <w:keepNext/>
            </w:pPr>
          </w:p>
        </w:tc>
      </w:tr>
      <w:tr w:rsidR="0059064A" w:rsidRPr="00992414" w14:paraId="304AEFAB" w14:textId="77777777" w:rsidTr="00635B1A">
        <w:trPr>
          <w:jc w:val="center"/>
        </w:trPr>
        <w:tc>
          <w:tcPr>
            <w:tcW w:w="4876" w:type="dxa"/>
          </w:tcPr>
          <w:p w14:paraId="46ECEA07" w14:textId="77777777" w:rsidR="0059064A" w:rsidRPr="00992414" w:rsidRDefault="0059064A" w:rsidP="00635B1A">
            <w:pPr>
              <w:pStyle w:val="ColumnHeading"/>
              <w:keepNext/>
            </w:pPr>
            <w:r w:rsidRPr="00992414">
              <w:t>Text predložený Komisiou</w:t>
            </w:r>
          </w:p>
        </w:tc>
        <w:tc>
          <w:tcPr>
            <w:tcW w:w="4876" w:type="dxa"/>
          </w:tcPr>
          <w:p w14:paraId="09DAF739" w14:textId="77777777" w:rsidR="0059064A" w:rsidRPr="00992414" w:rsidRDefault="0059064A" w:rsidP="00635B1A">
            <w:pPr>
              <w:pStyle w:val="ColumnHeading"/>
              <w:keepNext/>
            </w:pPr>
            <w:r w:rsidRPr="00992414">
              <w:t>Pozmeňujúci návrh</w:t>
            </w:r>
          </w:p>
        </w:tc>
      </w:tr>
      <w:tr w:rsidR="0059064A" w:rsidRPr="00992414" w14:paraId="4D3207C4" w14:textId="77777777" w:rsidTr="00635B1A">
        <w:trPr>
          <w:jc w:val="center"/>
        </w:trPr>
        <w:tc>
          <w:tcPr>
            <w:tcW w:w="4876" w:type="dxa"/>
          </w:tcPr>
          <w:p w14:paraId="45D9422C" w14:textId="77777777" w:rsidR="0059064A" w:rsidRPr="00992414" w:rsidRDefault="0059064A" w:rsidP="00635B1A">
            <w:pPr>
              <w:pStyle w:val="Normal6"/>
            </w:pPr>
            <w:r w:rsidRPr="00992414">
              <w:t>3.</w:t>
            </w:r>
            <w:r w:rsidRPr="00992414">
              <w:tab/>
              <w:t>Tieto predplatené karty sa považujú za peňažné prostriedky v hotovosti v súlade s článkom 2 ods. 1 písm. a) bodom iv):</w:t>
            </w:r>
          </w:p>
        </w:tc>
        <w:tc>
          <w:tcPr>
            <w:tcW w:w="4876" w:type="dxa"/>
          </w:tcPr>
          <w:p w14:paraId="3ACC5DAA" w14:textId="77777777" w:rsidR="0059064A" w:rsidRPr="00992414" w:rsidRDefault="0059064A" w:rsidP="00635B1A">
            <w:pPr>
              <w:pStyle w:val="Normal6"/>
              <w:rPr>
                <w:szCs w:val="24"/>
              </w:rPr>
            </w:pPr>
            <w:r w:rsidRPr="00992414">
              <w:t>3.</w:t>
            </w:r>
            <w:r w:rsidRPr="00992414">
              <w:tab/>
              <w:t xml:space="preserve">Tieto </w:t>
            </w:r>
            <w:r w:rsidRPr="00992414">
              <w:rPr>
                <w:b/>
                <w:i/>
              </w:rPr>
              <w:t xml:space="preserve">anonymné </w:t>
            </w:r>
            <w:r w:rsidRPr="00992414">
              <w:t>predplatené karty sa považujú za peňažné prostriedky v hotovosti v súlade s článkom 2 ods. 1 písm. a) bodom iv):</w:t>
            </w:r>
          </w:p>
        </w:tc>
      </w:tr>
    </w:tbl>
    <w:p w14:paraId="3E999041" w14:textId="1360CF36" w:rsidR="00022C97" w:rsidRPr="00992414" w:rsidRDefault="0059064A" w:rsidP="00022C97">
      <w:r w:rsidRPr="00992414">
        <w:rPr>
          <w:rStyle w:val="HideTWBExt"/>
          <w:noProof w:val="0"/>
        </w:rPr>
        <w:t>&lt;/AmendB&gt;</w:t>
      </w:r>
    </w:p>
    <w:p w14:paraId="561E243C" w14:textId="77777777" w:rsidR="00423303" w:rsidRPr="00992414" w:rsidRDefault="009A3AAA" w:rsidP="00DB51CC">
      <w:pPr>
        <w:rPr>
          <w:rStyle w:val="HideTWBExt"/>
          <w:noProof w:val="0"/>
        </w:rPr>
      </w:pPr>
      <w:r w:rsidRPr="00992414">
        <w:rPr>
          <w:rStyle w:val="HideTWBExt"/>
          <w:noProof w:val="0"/>
        </w:rPr>
        <w:t>&lt;/RepeatBlock-Amend&gt;</w:t>
      </w:r>
    </w:p>
    <w:p w14:paraId="5D60F839" w14:textId="77777777" w:rsidR="00423303" w:rsidRPr="00992414" w:rsidRDefault="00423303" w:rsidP="00423303">
      <w:pPr>
        <w:pStyle w:val="PageHeading"/>
      </w:pPr>
      <w:r w:rsidRPr="00992414">
        <w:br w:type="page"/>
      </w:r>
      <w:bookmarkStart w:id="4" w:name="_Toc501622909"/>
      <w:r w:rsidRPr="00992414">
        <w:t>DÔVODOVÁ SPRÁVA</w:t>
      </w:r>
      <w:bookmarkEnd w:id="4"/>
    </w:p>
    <w:p w14:paraId="6C1F8828" w14:textId="77777777" w:rsidR="00423303" w:rsidRPr="00992414" w:rsidRDefault="00423303" w:rsidP="00423303"/>
    <w:p w14:paraId="10B7647D" w14:textId="77777777" w:rsidR="00423303" w:rsidRPr="00992414" w:rsidRDefault="00423303" w:rsidP="00477EF9">
      <w:pPr>
        <w:widowControl/>
        <w:spacing w:after="160" w:line="256" w:lineRule="auto"/>
        <w:jc w:val="both"/>
        <w:rPr>
          <w:rFonts w:eastAsia="Calibri"/>
          <w:b/>
          <w:szCs w:val="24"/>
        </w:rPr>
      </w:pPr>
      <w:r w:rsidRPr="00992414">
        <w:rPr>
          <w:b/>
          <w:szCs w:val="24"/>
        </w:rPr>
        <w:t>I – Kontext návrhu</w:t>
      </w:r>
    </w:p>
    <w:p w14:paraId="6696CFEC" w14:textId="77777777" w:rsidR="00423303" w:rsidRPr="00992414" w:rsidRDefault="00423303" w:rsidP="00423303">
      <w:pPr>
        <w:rPr>
          <w:rFonts w:eastAsia="Calibri"/>
          <w:szCs w:val="24"/>
        </w:rPr>
      </w:pPr>
      <w:r w:rsidRPr="00992414">
        <w:t>V súvislosti s bojom proti terorizmu a organizovanej trestnej činnosti sa musia prijať opatrenia na európskej úrovni s cieľom zastaviť financovanie týchto trestných činností, a teda ukončiť zneužívanie odlišných vnútroštátnych pravidiel týkajúcich sa kontroly peňažných prostriedkov v hotovosti zo strany zločincov. Celoeurópsky prístup ku kontrole pohybu peňažných prostriedkov v hotovosti do Európskej únie alebo z nej je potrebný nielen na zaručenie riadneho fungovania vnútorného trhu, ale aj na ochranu občanov Únie a podnikov.</w:t>
      </w:r>
    </w:p>
    <w:p w14:paraId="42B379A2" w14:textId="77777777" w:rsidR="00C54A8D" w:rsidRPr="00992414" w:rsidRDefault="00C54A8D" w:rsidP="00423303">
      <w:pPr>
        <w:rPr>
          <w:rFonts w:eastAsia="Calibri"/>
          <w:szCs w:val="24"/>
          <w:lang w:eastAsia="en-US"/>
        </w:rPr>
      </w:pPr>
    </w:p>
    <w:p w14:paraId="7A4E2114" w14:textId="77777777" w:rsidR="00423303" w:rsidRPr="00992414" w:rsidRDefault="00423303" w:rsidP="00F155AE">
      <w:pPr>
        <w:widowControl/>
        <w:spacing w:after="160" w:line="256" w:lineRule="auto"/>
        <w:rPr>
          <w:rFonts w:eastAsia="Calibri"/>
          <w:szCs w:val="24"/>
        </w:rPr>
      </w:pPr>
      <w:r w:rsidRPr="00992414">
        <w:t>Colné orgány stoja v prednej línii v boji za naplnenie tohto cieľa, keďže sú zodpovedné za kontroly toku cestujúcich, ako aj za pohyb zásielok cez vonkajšie hranice. Spolupráca medzi colnými orgánmi členských štátov sa musí posilniť, aby sa zločincom zabránilo obchádzať kontroly peňažných prostriedkov v hotovosti na vonkajších hraniciach EÚ.</w:t>
      </w:r>
    </w:p>
    <w:p w14:paraId="2257E551" w14:textId="77777777" w:rsidR="00423303" w:rsidRPr="00992414" w:rsidRDefault="00423303" w:rsidP="00F155AE">
      <w:pPr>
        <w:widowControl/>
        <w:spacing w:after="160" w:line="256" w:lineRule="auto"/>
        <w:rPr>
          <w:rFonts w:eastAsia="Calibri"/>
          <w:szCs w:val="24"/>
        </w:rPr>
      </w:pPr>
      <w:r w:rsidRPr="00992414">
        <w:t>Európska komisia prijala 21. decembra 2016 balík opatrení na doplnenie a posilnenie právneho rámca EÚ v oblastiach prania špinavých peňazí, nezákonných peňažných tokov a zmrazovania a konfiškácie majetku. Tieto návrhy sa uskutočňujú v kontexte záväzkov prijatých v akčnom pláne boja proti financovaniu terorizmu z februára 2016.</w:t>
      </w:r>
    </w:p>
    <w:p w14:paraId="21052161" w14:textId="77777777" w:rsidR="00423303" w:rsidRPr="00992414" w:rsidRDefault="00423303" w:rsidP="00F155AE">
      <w:pPr>
        <w:widowControl/>
        <w:spacing w:after="160" w:line="256" w:lineRule="auto"/>
        <w:rPr>
          <w:rFonts w:eastAsia="Calibri"/>
          <w:szCs w:val="24"/>
        </w:rPr>
      </w:pPr>
      <w:r w:rsidRPr="00992414">
        <w:t>Komisia okrem iného navrhuje opatrenie, ktorým sa zlepší existujúce nariadenie o kontrole peňažných prostriedkov v hotovosti prijaté v roku 2005 na kontrolu pohybu peňažných prostriedkov v hotovosti, ktoré vstupujú do Únie, resp. opúšťajú Úniu. Právnym základom pre tento návrh je článok 114 Zmluvy o fungovaní Európskej únie, v ktorom sa stanovuje zásada aproximácie vnútroštátnych právnych predpisov členských štátov, ktorých cieľom je vytvorenie a fungovanie vnútorného trhu, a článok 33, v ktorom sa stanovuje posilnenie colnej spolupráce medzi členskými štátmi navzájom a medzi členskými štátmi a Komisiou.</w:t>
      </w:r>
    </w:p>
    <w:p w14:paraId="5CDE4E9E" w14:textId="77777777" w:rsidR="00423303" w:rsidRPr="00992414" w:rsidRDefault="00423303" w:rsidP="00F155AE">
      <w:pPr>
        <w:widowControl/>
        <w:spacing w:after="160" w:line="256" w:lineRule="auto"/>
        <w:rPr>
          <w:rFonts w:eastAsia="Calibri"/>
          <w:szCs w:val="24"/>
        </w:rPr>
      </w:pPr>
      <w:r w:rsidRPr="00992414">
        <w:t>Zmeny, ktoré navrhuje Komisia, sú zamerané na sprísnenie kontrol ľudí, ktorí vstupujú na územie EÚ alebo ho opúšťajú s hotovosťou 10 000 EUR alebo viac či s drahými komoditami, alebo kontrol hotovosti 10 000 EUR alebo viac či s drahých komodít, ktoré sa cez ňu zasielajú v poštových balíkoch alebo ako náklad. Cieľom týchto zmien je tiež umožní orgánom konať aj v prípade súm nižších ako je prahová hodnota colného vyhlásenia, ktorá predstavuje 10 000 EUR, ak existuje podozrenie z trestnej činnosti, a zlepšiť výmenu informácií medzi orgánmi a členskými štátmi.</w:t>
      </w:r>
    </w:p>
    <w:p w14:paraId="577AEF12" w14:textId="77777777" w:rsidR="00423303" w:rsidRPr="00992414" w:rsidRDefault="00423303" w:rsidP="00F155AE">
      <w:pPr>
        <w:widowControl/>
        <w:spacing w:after="160" w:line="256" w:lineRule="auto"/>
        <w:rPr>
          <w:rFonts w:eastAsia="Calibri"/>
          <w:szCs w:val="24"/>
        </w:rPr>
      </w:pPr>
      <w:r w:rsidRPr="00992414">
        <w:t>Konkrétne sa v návrhu rozširuje vymedzenie pojmu „peňažné prostriedky“ o zlato a iné tovary vysokej hodnoty, ako aj predplatené platobné karty, ktoré nie sú prepojené s finančným účtom a ktoré v súčasnosti nie sú zahrnuté do štandardného colného vyhlásenia. V návrhu je zahrnutý aj prípad pohybu peňažných prostriedkov v hotovosti bez sprievodu.</w:t>
      </w:r>
    </w:p>
    <w:p w14:paraId="2232600E" w14:textId="77777777" w:rsidR="00423303" w:rsidRPr="00992414" w:rsidRDefault="00423303" w:rsidP="00F155AE">
      <w:pPr>
        <w:widowControl/>
        <w:spacing w:after="160" w:line="256" w:lineRule="auto"/>
        <w:rPr>
          <w:rFonts w:eastAsia="Calibri"/>
          <w:szCs w:val="24"/>
        </w:rPr>
      </w:pPr>
      <w:r w:rsidRPr="00992414">
        <w:t>Návrh takisto umožňuje príslušným orgánom dočasne zadržať hotovosť, keď odhalia pohyby súm v nižšej ako prahovej hodnote, ktoré zdanlivo súvisia s nezákonnou činnosťou, čo nie je zahrnuté v súčasnom nariadení.</w:t>
      </w:r>
    </w:p>
    <w:p w14:paraId="019BBCC0" w14:textId="77777777" w:rsidR="00423303" w:rsidRPr="00992414" w:rsidRDefault="00423303" w:rsidP="00F155AE">
      <w:pPr>
        <w:widowControl/>
        <w:spacing w:after="160" w:line="256" w:lineRule="auto"/>
        <w:rPr>
          <w:rFonts w:eastAsia="Calibri"/>
          <w:szCs w:val="24"/>
        </w:rPr>
      </w:pPr>
      <w:r w:rsidRPr="00992414">
        <w:t>Napokon, návrh je zameraný na zabezpečenie jednotného uplatňovania kontrol prostredníctvom vykonávacích právomocí prenesených na Komisiu, pokiaľ ide o kritériá riadenia rizík, pravidlá pre výmenu informácií, vzory komunikácie a systém výmeny údajov, ako aj poskytovanie informácií zo strany členských štátov Komisii.</w:t>
      </w:r>
    </w:p>
    <w:p w14:paraId="4EA4C60D" w14:textId="77777777" w:rsidR="00423303" w:rsidRPr="00992414" w:rsidRDefault="00423303" w:rsidP="00F155AE">
      <w:pPr>
        <w:widowControl/>
        <w:spacing w:after="160" w:line="256" w:lineRule="auto"/>
        <w:rPr>
          <w:rFonts w:eastAsia="Calibri"/>
          <w:b/>
          <w:szCs w:val="24"/>
        </w:rPr>
      </w:pPr>
      <w:r w:rsidRPr="00992414">
        <w:rPr>
          <w:b/>
          <w:szCs w:val="24"/>
        </w:rPr>
        <w:t>II – Stanoviská spravodajcov</w:t>
      </w:r>
    </w:p>
    <w:p w14:paraId="224EB253" w14:textId="77777777" w:rsidR="00423303" w:rsidRPr="00992414" w:rsidRDefault="00423303" w:rsidP="00F155AE">
      <w:pPr>
        <w:widowControl/>
        <w:spacing w:after="160" w:line="256" w:lineRule="auto"/>
        <w:rPr>
          <w:rFonts w:eastAsia="Calibri"/>
          <w:szCs w:val="24"/>
        </w:rPr>
      </w:pPr>
      <w:r w:rsidRPr="00992414">
        <w:t>Spravodajcovia vítajú celkový cieľ návrhu aktualizovať a zlepšiť súčasné nariadenie. Vzhľadom na nedávne udalosti jasne ukázali, že páchateľom prania špinavých peňazí a financovania terorizmu sa podarilo nájsť spôsoby, ako sa vyhnúť európskym pravidlám týkajúcim sa kontroly peňažných prostriedkov v hotovosti.</w:t>
      </w:r>
    </w:p>
    <w:p w14:paraId="401BD1AD" w14:textId="77777777" w:rsidR="00423303" w:rsidRPr="00992414" w:rsidRDefault="00423303" w:rsidP="00F155AE">
      <w:pPr>
        <w:widowControl/>
        <w:spacing w:after="160" w:line="256" w:lineRule="auto"/>
        <w:rPr>
          <w:rFonts w:eastAsia="Calibri"/>
          <w:szCs w:val="24"/>
        </w:rPr>
      </w:pPr>
      <w:r w:rsidRPr="00992414">
        <w:t xml:space="preserve">Hlavné zmeny, ktoré navrhli spravodajcovia, sú zamerané na to, aby sa nariadenie ešte posilnilo tým, že sa objasnia niektoré kľúčové ustanovenia, najmä vymedzenie a rozlíšenie „peňažných prostriedkov v hotovosti so sprievodom“ a „bez sprievodu“, ako aj meno osoby zodpovednej za oznámenie peňažných prostriedkov v hotovosti so sprievodom. Táto bola vymedzená tak, aby zahŕňala každú fyzickú osobu, ktorá vstupuje do Únie, resp. opúšťa Úniu, a prepravuje peňažné prostriedky v hotovosti pri sebe, v batožine alebo v dopravnom prostriedku, v ktorom táto osoba prekročí vonkajšie hranice, a to bez ohľadu na vzťah medzi touto osobou a peňažnými prostriedkami v hotovosti (majiteľ alebo zamýšľaný príjemca). </w:t>
      </w:r>
    </w:p>
    <w:p w14:paraId="0647A42E" w14:textId="77777777" w:rsidR="00423303" w:rsidRPr="00992414" w:rsidRDefault="00423303" w:rsidP="00F155AE">
      <w:pPr>
        <w:widowControl/>
        <w:spacing w:after="160" w:line="256" w:lineRule="auto"/>
        <w:rPr>
          <w:rFonts w:eastAsia="Calibri"/>
          <w:szCs w:val="24"/>
        </w:rPr>
      </w:pPr>
      <w:r w:rsidRPr="00992414">
        <w:t>Okrem toho, s cieľom uľahčiť vyšetrovania príslušných orgánov a na zabezpečenie jasnej identifikácie dotknutých osôb sa rozšírili a spresnili údaje, ktoré sa majú uviesť vo vyhlásení pre fyzické a právnické osoby.</w:t>
      </w:r>
    </w:p>
    <w:p w14:paraId="05723362" w14:textId="77777777" w:rsidR="00423303" w:rsidRPr="00992414" w:rsidRDefault="00423303" w:rsidP="00F155AE">
      <w:pPr>
        <w:widowControl/>
        <w:spacing w:after="160" w:line="256" w:lineRule="auto"/>
        <w:rPr>
          <w:rFonts w:eastAsia="Calibri"/>
          <w:szCs w:val="24"/>
        </w:rPr>
      </w:pPr>
      <w:r w:rsidRPr="00992414">
        <w:t>Aby sa objasnil koncept „riadenie rizika“, doplnili sa odkazy na platné vymedzenie v nariadení 952/2013 a ustanovenie, ktoré zahŕňa vývoj v oblasti „posudzovania rizika“, ktoré je uvedené v smernici 205/849. Za dôležitý bod spravodajcovia považujú potrebu z dôvodu efektívnosti namiesto článku 291 ZFEÚ uplatňovať článok 290 ZFEÚ. Potrebná zmena sa navrhuje v návrhu správy.</w:t>
      </w:r>
    </w:p>
    <w:p w14:paraId="0929F2B3" w14:textId="77777777" w:rsidR="00423303" w:rsidRPr="00992414" w:rsidRDefault="00423303" w:rsidP="00F155AE">
      <w:pPr>
        <w:widowControl/>
        <w:spacing w:after="160" w:line="256" w:lineRule="auto"/>
        <w:rPr>
          <w:rFonts w:eastAsia="Calibri"/>
          <w:szCs w:val="24"/>
        </w:rPr>
      </w:pPr>
      <w:r w:rsidRPr="00992414">
        <w:t>Spravodajcovia sú presvedčení, že dosiahnutie cieľov uvedených v tomto návrhu predpokladá harmonizáciu vykonávania kontrol zo strany príslušných vnútroštátnych orgánov na európskej úrovni aj aproximáciu vnútroštátnych sankcií za nedodržanie predpisov. Komisia by mala prijať opatrenia s cieľom zabezpečiť jednotné uplatňovanie kontrol zo strany príslušných orgánov a členské štáty by mali brať do úvahy judikatúru Súdneho dvora Európskej únie a Európskeho súdu pre ľudské práva, pokiaľ ide o colné sankcie, ktoré by mali byť založené na zásade proporcionality.</w:t>
      </w:r>
    </w:p>
    <w:p w14:paraId="29506411" w14:textId="77777777" w:rsidR="00423303" w:rsidRPr="00992414" w:rsidRDefault="00423303" w:rsidP="00F155AE">
      <w:pPr>
        <w:widowControl/>
        <w:spacing w:after="160" w:line="256" w:lineRule="auto"/>
        <w:rPr>
          <w:rFonts w:eastAsia="Calibri"/>
          <w:szCs w:val="24"/>
        </w:rPr>
      </w:pPr>
      <w:r w:rsidRPr="00992414">
        <w:t>Jedno z kľúčových zlepšení obsiahnutých v nariadení sa týka výmeny údajov. Spravodajcovia v tejto súvislosti uprednostňujú rýchle konanie a po porade s odborníkmi v danej oblasti navrhujú, aby sa priamo začal uplatňovať informačný systém na výmenu údajov CIS+, ktorý majú používať všetky členské štáty. Používanie tohto systému je jednoduché a efektívne a aby sa trestnej činnosti predchádzalo čo najefektívnejšie, spravodajcovia tiež navrhujú, aby členské štáty mali povinnosť oznámiť Komisii informácie najneskôr do troch pracovných dní odo dňa, keď boli zhromaždené, namiesto jedného mesiaca, ako je v súčasnosti uvedené v nariadení.</w:t>
      </w:r>
    </w:p>
    <w:p w14:paraId="0C1BAC02" w14:textId="77777777" w:rsidR="00423303" w:rsidRPr="00992414" w:rsidRDefault="00423303" w:rsidP="00F155AE">
      <w:pPr>
        <w:widowControl/>
        <w:spacing w:after="160" w:line="256" w:lineRule="auto"/>
        <w:rPr>
          <w:rFonts w:eastAsia="Calibri"/>
          <w:szCs w:val="24"/>
        </w:rPr>
      </w:pPr>
      <w:r w:rsidRPr="00992414">
        <w:t>V tejto súvislosti spravodajcovia navrhujú vytvorenie európskej finančnej spravodajskej jednotky, aby sa zlepšila spolupráca v oblasti koordinácie vyšetrovacích orgánov a umožnil prenos informácií získaných zo strany národných jednotiek bez zdržaní. Vzhľadom na dynamický a premenlivý charakter otázok, ktorými sa zaoberá toto nariadenie, spravodajcovia navrhli výraznú doložku o preskúmaní, ktorá umožňuje pravidelnú aktualizáciu nariadenia každé tri roky, aby bolo možné držať krok s technickými kapacitami a vývojom podvodníkov.</w:t>
      </w:r>
    </w:p>
    <w:p w14:paraId="11513D50" w14:textId="4CA8F841" w:rsidR="008D77EE" w:rsidRPr="00992414" w:rsidRDefault="00423303" w:rsidP="004A3DF1">
      <w:pPr>
        <w:rPr>
          <w:rFonts w:eastAsia="Calibri"/>
        </w:rPr>
      </w:pPr>
      <w:r w:rsidRPr="00992414">
        <w:t>Napokon, spravodajcovia majú rovnaký názor ako Európsky dozorný úradník pre ochranu údajov, ktorý víta stanovenie maximálnej lehoty uchovávania osobných údajov uchovávaných príslušnými orgánmi a finančnými spravodajskými jednotkami.</w:t>
      </w:r>
    </w:p>
    <w:p w14:paraId="7975A629" w14:textId="56E402C7" w:rsidR="004A3DF1" w:rsidRPr="00992414" w:rsidRDefault="008D77EE" w:rsidP="004A3DF1">
      <w:pPr>
        <w:pStyle w:val="PageHeading"/>
      </w:pPr>
      <w:r w:rsidRPr="00992414">
        <w:br w:type="page"/>
      </w:r>
      <w:bookmarkStart w:id="5" w:name="ProcPageRR"/>
      <w:bookmarkStart w:id="6" w:name="_Toc501622910"/>
      <w:r w:rsidRPr="00992414">
        <w:t>POSTUP GESTORSKÉHO VÝBORU</w:t>
      </w:r>
      <w:bookmarkEnd w:id="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A3DF1" w:rsidRPr="00992414" w14:paraId="68B9182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1746157" w14:textId="77777777" w:rsidR="004A3DF1" w:rsidRPr="00992414" w:rsidRDefault="004A3DF1">
            <w:pPr>
              <w:autoSpaceDE w:val="0"/>
              <w:autoSpaceDN w:val="0"/>
              <w:adjustRightInd w:val="0"/>
              <w:rPr>
                <w:b/>
                <w:bCs/>
                <w:color w:val="000000"/>
                <w:sz w:val="20"/>
              </w:rPr>
            </w:pPr>
            <w:r w:rsidRPr="00992414">
              <w:rPr>
                <w:b/>
                <w:bCs/>
                <w:color w:val="000000"/>
                <w:sz w:val="20"/>
              </w:rPr>
              <w:t>Názov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8C7168E" w14:textId="77777777" w:rsidR="004A3DF1" w:rsidRPr="00992414" w:rsidRDefault="004A3DF1">
            <w:pPr>
              <w:autoSpaceDE w:val="0"/>
              <w:autoSpaceDN w:val="0"/>
              <w:adjustRightInd w:val="0"/>
              <w:rPr>
                <w:color w:val="000000"/>
                <w:sz w:val="20"/>
              </w:rPr>
            </w:pPr>
            <w:r w:rsidRPr="00992414">
              <w:rPr>
                <w:color w:val="000000"/>
                <w:sz w:val="20"/>
              </w:rPr>
              <w:t>Kontroly peňažných prostriedkov v hotovosti, ktoré vstupujú do Únie, resp. opúšťajú Úniu</w:t>
            </w:r>
          </w:p>
        </w:tc>
      </w:tr>
      <w:tr w:rsidR="004A3DF1" w:rsidRPr="00992414" w14:paraId="45449D1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FE096D1" w14:textId="77777777" w:rsidR="004A3DF1" w:rsidRPr="00992414" w:rsidRDefault="004A3DF1">
            <w:pPr>
              <w:autoSpaceDE w:val="0"/>
              <w:autoSpaceDN w:val="0"/>
              <w:adjustRightInd w:val="0"/>
              <w:rPr>
                <w:b/>
                <w:bCs/>
                <w:color w:val="000000"/>
                <w:sz w:val="20"/>
              </w:rPr>
            </w:pPr>
            <w:r w:rsidRPr="00992414">
              <w:rPr>
                <w:b/>
                <w:bCs/>
                <w:color w:val="000000"/>
                <w:sz w:val="20"/>
              </w:rPr>
              <w:t>Referenčné čísla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6069311" w14:textId="77777777" w:rsidR="004A3DF1" w:rsidRPr="00992414" w:rsidRDefault="004A3DF1">
            <w:pPr>
              <w:autoSpaceDE w:val="0"/>
              <w:autoSpaceDN w:val="0"/>
              <w:adjustRightInd w:val="0"/>
              <w:rPr>
                <w:color w:val="000000"/>
                <w:sz w:val="20"/>
              </w:rPr>
            </w:pPr>
            <w:r w:rsidRPr="00992414">
              <w:rPr>
                <w:color w:val="000000"/>
                <w:sz w:val="20"/>
              </w:rPr>
              <w:t>COM(2016)0825 – C8-0001/2017 – 2016/0413(COD)</w:t>
            </w:r>
          </w:p>
        </w:tc>
      </w:tr>
      <w:tr w:rsidR="004A3DF1" w:rsidRPr="00992414" w14:paraId="589E3AF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44A36E4" w14:textId="77777777" w:rsidR="004A3DF1" w:rsidRPr="00992414" w:rsidRDefault="004A3DF1">
            <w:pPr>
              <w:autoSpaceDE w:val="0"/>
              <w:autoSpaceDN w:val="0"/>
              <w:adjustRightInd w:val="0"/>
              <w:rPr>
                <w:b/>
                <w:bCs/>
                <w:color w:val="000000"/>
                <w:sz w:val="20"/>
              </w:rPr>
            </w:pPr>
            <w:r w:rsidRPr="00992414">
              <w:rPr>
                <w:b/>
                <w:bCs/>
                <w:color w:val="000000"/>
                <w:sz w:val="20"/>
              </w:rPr>
              <w:t>Dátum predloženia v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E28BEFD" w14:textId="77777777" w:rsidR="004A3DF1" w:rsidRPr="00992414" w:rsidRDefault="004A3DF1">
            <w:pPr>
              <w:autoSpaceDE w:val="0"/>
              <w:autoSpaceDN w:val="0"/>
              <w:adjustRightInd w:val="0"/>
              <w:rPr>
                <w:color w:val="000000"/>
                <w:sz w:val="20"/>
              </w:rPr>
            </w:pPr>
            <w:r w:rsidRPr="00992414">
              <w:rPr>
                <w:color w:val="000000"/>
                <w:sz w:val="20"/>
              </w:rPr>
              <w:t>22.12.2016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C33DAFB" w14:textId="77777777" w:rsidR="004A3DF1" w:rsidRPr="00992414" w:rsidRDefault="004A3DF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C64BEAD" w14:textId="77777777" w:rsidR="004A3DF1" w:rsidRPr="00992414" w:rsidRDefault="004A3DF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FF3D77A" w14:textId="77777777" w:rsidR="004A3DF1" w:rsidRPr="00992414" w:rsidRDefault="004A3DF1">
            <w:pPr>
              <w:autoSpaceDE w:val="0"/>
              <w:autoSpaceDN w:val="0"/>
              <w:adjustRightInd w:val="0"/>
              <w:rPr>
                <w:rFonts w:ascii="sans-serif" w:hAnsi="sans-serif" w:cs="sans-serif"/>
                <w:color w:val="000000"/>
                <w:szCs w:val="24"/>
              </w:rPr>
            </w:pPr>
          </w:p>
        </w:tc>
      </w:tr>
      <w:tr w:rsidR="004A3DF1" w:rsidRPr="00992414" w14:paraId="7B9BB01C"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949C351" w14:textId="77777777" w:rsidR="004A3DF1" w:rsidRPr="00992414" w:rsidRDefault="004A3DF1">
            <w:pPr>
              <w:autoSpaceDE w:val="0"/>
              <w:autoSpaceDN w:val="0"/>
              <w:adjustRightInd w:val="0"/>
              <w:rPr>
                <w:b/>
                <w:bCs/>
                <w:color w:val="000000"/>
                <w:sz w:val="20"/>
              </w:rPr>
            </w:pPr>
            <w:r w:rsidRPr="00992414">
              <w:rPr>
                <w:b/>
                <w:bCs/>
                <w:color w:val="000000"/>
                <w:sz w:val="20"/>
              </w:rPr>
              <w:t>Gestorské výbory</w:t>
            </w:r>
          </w:p>
          <w:p w14:paraId="2DD6D83D" w14:textId="77777777" w:rsidR="004A3DF1" w:rsidRPr="00992414" w:rsidRDefault="004A3DF1">
            <w:pPr>
              <w:autoSpaceDE w:val="0"/>
              <w:autoSpaceDN w:val="0"/>
              <w:adjustRightInd w:val="0"/>
              <w:rPr>
                <w:color w:val="000000"/>
                <w:sz w:val="20"/>
              </w:rPr>
            </w:pPr>
            <w:r w:rsidRPr="00992414">
              <w:rPr>
                <w:color w:val="000000"/>
                <w:sz w:val="20"/>
              </w:rPr>
              <w:t>       dátum oznámenia na schôdzi</w:t>
            </w:r>
          </w:p>
        </w:tc>
        <w:tc>
          <w:tcPr>
            <w:tcW w:w="1530" w:type="dxa"/>
            <w:tcBorders>
              <w:top w:val="nil"/>
              <w:left w:val="nil"/>
              <w:bottom w:val="single" w:sz="8" w:space="0" w:color="000000"/>
              <w:right w:val="nil"/>
            </w:tcBorders>
            <w:tcMar>
              <w:top w:w="79" w:type="dxa"/>
              <w:left w:w="79" w:type="dxa"/>
              <w:bottom w:w="79" w:type="dxa"/>
              <w:right w:w="79" w:type="dxa"/>
            </w:tcMar>
          </w:tcPr>
          <w:p w14:paraId="26325F86" w14:textId="77777777" w:rsidR="004A3DF1" w:rsidRPr="00992414" w:rsidRDefault="004A3DF1">
            <w:pPr>
              <w:autoSpaceDE w:val="0"/>
              <w:autoSpaceDN w:val="0"/>
              <w:adjustRightInd w:val="0"/>
              <w:rPr>
                <w:color w:val="000000"/>
                <w:sz w:val="20"/>
              </w:rPr>
            </w:pPr>
            <w:r w:rsidRPr="00992414">
              <w:rPr>
                <w:color w:val="000000"/>
                <w:sz w:val="20"/>
              </w:rPr>
              <w:t>ECON</w:t>
            </w:r>
          </w:p>
          <w:p w14:paraId="75875677" w14:textId="77777777" w:rsidR="004A3DF1" w:rsidRPr="00992414" w:rsidRDefault="004A3DF1">
            <w:pPr>
              <w:autoSpaceDE w:val="0"/>
              <w:autoSpaceDN w:val="0"/>
              <w:adjustRightInd w:val="0"/>
              <w:rPr>
                <w:color w:val="000000"/>
                <w:sz w:val="20"/>
              </w:rPr>
            </w:pPr>
            <w:r w:rsidRPr="00992414">
              <w:rPr>
                <w:color w:val="000000"/>
                <w:sz w:val="20"/>
              </w:rPr>
              <w:t>19.1.2017</w:t>
            </w:r>
          </w:p>
        </w:tc>
        <w:tc>
          <w:tcPr>
            <w:tcW w:w="1474" w:type="dxa"/>
            <w:tcBorders>
              <w:top w:val="nil"/>
              <w:left w:val="nil"/>
              <w:bottom w:val="single" w:sz="8" w:space="0" w:color="000000"/>
              <w:right w:val="nil"/>
            </w:tcBorders>
            <w:tcMar>
              <w:top w:w="79" w:type="dxa"/>
              <w:left w:w="79" w:type="dxa"/>
              <w:bottom w:w="79" w:type="dxa"/>
              <w:right w:w="79" w:type="dxa"/>
            </w:tcMar>
          </w:tcPr>
          <w:p w14:paraId="640D1BAC" w14:textId="77777777" w:rsidR="004A3DF1" w:rsidRPr="00992414" w:rsidRDefault="004A3DF1">
            <w:pPr>
              <w:autoSpaceDE w:val="0"/>
              <w:autoSpaceDN w:val="0"/>
              <w:adjustRightInd w:val="0"/>
              <w:rPr>
                <w:color w:val="000000"/>
                <w:sz w:val="20"/>
              </w:rPr>
            </w:pPr>
            <w:r w:rsidRPr="00992414">
              <w:rPr>
                <w:color w:val="000000"/>
                <w:sz w:val="20"/>
              </w:rPr>
              <w:t>LIBE</w:t>
            </w:r>
          </w:p>
          <w:p w14:paraId="65EB8CD8" w14:textId="77777777" w:rsidR="004A3DF1" w:rsidRPr="00992414" w:rsidRDefault="004A3DF1">
            <w:pPr>
              <w:autoSpaceDE w:val="0"/>
              <w:autoSpaceDN w:val="0"/>
              <w:adjustRightInd w:val="0"/>
              <w:rPr>
                <w:color w:val="000000"/>
                <w:sz w:val="20"/>
              </w:rPr>
            </w:pPr>
            <w:r w:rsidRPr="00992414">
              <w:rPr>
                <w:color w:val="000000"/>
                <w:sz w:val="20"/>
              </w:rPr>
              <w:t>19.1.2017</w:t>
            </w:r>
          </w:p>
        </w:tc>
        <w:tc>
          <w:tcPr>
            <w:tcW w:w="1474" w:type="dxa"/>
            <w:tcBorders>
              <w:top w:val="nil"/>
              <w:left w:val="nil"/>
              <w:bottom w:val="single" w:sz="8" w:space="0" w:color="000000"/>
              <w:right w:val="nil"/>
            </w:tcBorders>
            <w:tcMar>
              <w:top w:w="79" w:type="dxa"/>
              <w:left w:w="79" w:type="dxa"/>
              <w:bottom w:w="79" w:type="dxa"/>
              <w:right w:w="79" w:type="dxa"/>
            </w:tcMar>
          </w:tcPr>
          <w:p w14:paraId="188721DF" w14:textId="77777777" w:rsidR="004A3DF1" w:rsidRPr="00992414" w:rsidRDefault="004A3DF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32B34F7" w14:textId="77777777" w:rsidR="004A3DF1" w:rsidRPr="00992414" w:rsidRDefault="004A3DF1">
            <w:pPr>
              <w:autoSpaceDE w:val="0"/>
              <w:autoSpaceDN w:val="0"/>
              <w:adjustRightInd w:val="0"/>
              <w:rPr>
                <w:rFonts w:ascii="sans-serif" w:hAnsi="sans-serif" w:cs="sans-serif"/>
                <w:color w:val="000000"/>
                <w:szCs w:val="24"/>
              </w:rPr>
            </w:pPr>
          </w:p>
        </w:tc>
      </w:tr>
      <w:tr w:rsidR="004A3DF1" w:rsidRPr="00992414" w14:paraId="5E9F2A6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EC00DD9" w14:textId="77777777" w:rsidR="004A3DF1" w:rsidRPr="00992414" w:rsidRDefault="004A3DF1">
            <w:pPr>
              <w:autoSpaceDE w:val="0"/>
              <w:autoSpaceDN w:val="0"/>
              <w:adjustRightInd w:val="0"/>
              <w:rPr>
                <w:b/>
                <w:bCs/>
                <w:color w:val="000000"/>
                <w:sz w:val="20"/>
              </w:rPr>
            </w:pPr>
            <w:r w:rsidRPr="00992414">
              <w:rPr>
                <w:b/>
                <w:bCs/>
                <w:color w:val="000000"/>
                <w:sz w:val="20"/>
              </w:rPr>
              <w:t>Výbory požiadané o stanovisko</w:t>
            </w:r>
          </w:p>
          <w:p w14:paraId="48DFF20F" w14:textId="77777777" w:rsidR="004A3DF1" w:rsidRPr="00992414" w:rsidRDefault="004A3DF1">
            <w:pPr>
              <w:autoSpaceDE w:val="0"/>
              <w:autoSpaceDN w:val="0"/>
              <w:adjustRightInd w:val="0"/>
              <w:rPr>
                <w:color w:val="000000"/>
                <w:sz w:val="20"/>
              </w:rPr>
            </w:pPr>
            <w:r w:rsidRPr="00992414">
              <w:rPr>
                <w:color w:val="000000"/>
                <w:sz w:val="20"/>
              </w:rPr>
              <w:t>       dátum oznámenia na schôdzi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255F414" w14:textId="77777777" w:rsidR="004A3DF1" w:rsidRPr="00992414" w:rsidRDefault="004A3DF1">
            <w:pPr>
              <w:autoSpaceDE w:val="0"/>
              <w:autoSpaceDN w:val="0"/>
              <w:adjustRightInd w:val="0"/>
              <w:rPr>
                <w:color w:val="000000"/>
                <w:sz w:val="20"/>
              </w:rPr>
            </w:pPr>
            <w:r w:rsidRPr="00992414">
              <w:rPr>
                <w:color w:val="000000"/>
                <w:sz w:val="20"/>
              </w:rPr>
              <w:t>JURI</w:t>
            </w:r>
          </w:p>
          <w:p w14:paraId="468179CF" w14:textId="77777777" w:rsidR="004A3DF1" w:rsidRPr="00992414" w:rsidRDefault="004A3DF1">
            <w:pPr>
              <w:autoSpaceDE w:val="0"/>
              <w:autoSpaceDN w:val="0"/>
              <w:adjustRightInd w:val="0"/>
              <w:rPr>
                <w:color w:val="000000"/>
                <w:sz w:val="20"/>
              </w:rPr>
            </w:pPr>
            <w:r w:rsidRPr="00992414">
              <w:rPr>
                <w:color w:val="000000"/>
                <w:sz w:val="20"/>
              </w:rPr>
              <w:t>19.1.2017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02ACC2B" w14:textId="77777777" w:rsidR="004A3DF1" w:rsidRPr="00992414" w:rsidRDefault="004A3DF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4E782E3" w14:textId="77777777" w:rsidR="004A3DF1" w:rsidRPr="00992414" w:rsidRDefault="004A3DF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094FC48" w14:textId="77777777" w:rsidR="004A3DF1" w:rsidRPr="00992414" w:rsidRDefault="004A3DF1">
            <w:pPr>
              <w:autoSpaceDE w:val="0"/>
              <w:autoSpaceDN w:val="0"/>
              <w:adjustRightInd w:val="0"/>
              <w:rPr>
                <w:rFonts w:ascii="sans-serif" w:hAnsi="sans-serif" w:cs="sans-serif"/>
                <w:color w:val="000000"/>
                <w:szCs w:val="24"/>
              </w:rPr>
            </w:pPr>
          </w:p>
        </w:tc>
      </w:tr>
      <w:tr w:rsidR="004A3DF1" w:rsidRPr="00992414" w14:paraId="2E16C8F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B298503" w14:textId="77777777" w:rsidR="004A3DF1" w:rsidRPr="00992414" w:rsidRDefault="004A3DF1">
            <w:pPr>
              <w:autoSpaceDE w:val="0"/>
              <w:autoSpaceDN w:val="0"/>
              <w:adjustRightInd w:val="0"/>
              <w:rPr>
                <w:b/>
                <w:bCs/>
                <w:color w:val="000000"/>
                <w:sz w:val="20"/>
              </w:rPr>
            </w:pPr>
            <w:r w:rsidRPr="00992414">
              <w:rPr>
                <w:b/>
                <w:bCs/>
                <w:color w:val="000000"/>
                <w:sz w:val="20"/>
              </w:rPr>
              <w:t>Bez predloženia stanoviska</w:t>
            </w:r>
          </w:p>
          <w:p w14:paraId="22E0794B" w14:textId="77777777" w:rsidR="004A3DF1" w:rsidRPr="00992414" w:rsidRDefault="004A3DF1">
            <w:pPr>
              <w:autoSpaceDE w:val="0"/>
              <w:autoSpaceDN w:val="0"/>
              <w:adjustRightInd w:val="0"/>
              <w:rPr>
                <w:color w:val="000000"/>
                <w:sz w:val="20"/>
              </w:rPr>
            </w:pPr>
            <w:r w:rsidRPr="00992414">
              <w:rPr>
                <w:color w:val="000000"/>
                <w:sz w:val="20"/>
              </w:rPr>
              <w:t>       dátum rozhodnutia</w:t>
            </w:r>
          </w:p>
        </w:tc>
        <w:tc>
          <w:tcPr>
            <w:tcW w:w="1530" w:type="dxa"/>
            <w:tcBorders>
              <w:top w:val="nil"/>
              <w:left w:val="nil"/>
              <w:bottom w:val="single" w:sz="8" w:space="0" w:color="000000"/>
              <w:right w:val="nil"/>
            </w:tcBorders>
            <w:tcMar>
              <w:top w:w="79" w:type="dxa"/>
              <w:left w:w="79" w:type="dxa"/>
              <w:bottom w:w="79" w:type="dxa"/>
              <w:right w:w="79" w:type="dxa"/>
            </w:tcMar>
          </w:tcPr>
          <w:p w14:paraId="1899E460" w14:textId="77777777" w:rsidR="004A3DF1" w:rsidRPr="00992414" w:rsidRDefault="004A3DF1">
            <w:pPr>
              <w:autoSpaceDE w:val="0"/>
              <w:autoSpaceDN w:val="0"/>
              <w:adjustRightInd w:val="0"/>
              <w:rPr>
                <w:color w:val="000000"/>
                <w:sz w:val="20"/>
              </w:rPr>
            </w:pPr>
            <w:r w:rsidRPr="00992414">
              <w:rPr>
                <w:color w:val="000000"/>
                <w:sz w:val="20"/>
              </w:rPr>
              <w:t>JURI</w:t>
            </w:r>
          </w:p>
          <w:p w14:paraId="62DAFE34" w14:textId="77777777" w:rsidR="004A3DF1" w:rsidRPr="00992414" w:rsidRDefault="004A3DF1">
            <w:pPr>
              <w:autoSpaceDE w:val="0"/>
              <w:autoSpaceDN w:val="0"/>
              <w:adjustRightInd w:val="0"/>
              <w:rPr>
                <w:color w:val="000000"/>
                <w:sz w:val="20"/>
              </w:rPr>
            </w:pPr>
            <w:r w:rsidRPr="00992414">
              <w:rPr>
                <w:color w:val="000000"/>
                <w:sz w:val="20"/>
              </w:rPr>
              <w:t>25.1.2017</w:t>
            </w:r>
          </w:p>
        </w:tc>
        <w:tc>
          <w:tcPr>
            <w:tcW w:w="1474" w:type="dxa"/>
            <w:tcBorders>
              <w:top w:val="nil"/>
              <w:left w:val="nil"/>
              <w:bottom w:val="single" w:sz="8" w:space="0" w:color="000000"/>
              <w:right w:val="nil"/>
            </w:tcBorders>
            <w:tcMar>
              <w:top w:w="79" w:type="dxa"/>
              <w:left w:w="79" w:type="dxa"/>
              <w:bottom w:w="79" w:type="dxa"/>
              <w:right w:w="79" w:type="dxa"/>
            </w:tcMar>
          </w:tcPr>
          <w:p w14:paraId="06570E1A" w14:textId="77777777" w:rsidR="004A3DF1" w:rsidRPr="00992414" w:rsidRDefault="004A3DF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54C49C90" w14:textId="77777777" w:rsidR="004A3DF1" w:rsidRPr="00992414" w:rsidRDefault="004A3DF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5B72518" w14:textId="77777777" w:rsidR="004A3DF1" w:rsidRPr="00992414" w:rsidRDefault="004A3DF1">
            <w:pPr>
              <w:autoSpaceDE w:val="0"/>
              <w:autoSpaceDN w:val="0"/>
              <w:adjustRightInd w:val="0"/>
              <w:rPr>
                <w:rFonts w:ascii="sans-serif" w:hAnsi="sans-serif" w:cs="sans-serif"/>
                <w:color w:val="000000"/>
                <w:szCs w:val="24"/>
              </w:rPr>
            </w:pPr>
          </w:p>
        </w:tc>
      </w:tr>
      <w:tr w:rsidR="004A3DF1" w:rsidRPr="00992414" w14:paraId="328DA08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B284488" w14:textId="77777777" w:rsidR="004A3DF1" w:rsidRPr="00992414" w:rsidRDefault="004A3DF1">
            <w:pPr>
              <w:autoSpaceDE w:val="0"/>
              <w:autoSpaceDN w:val="0"/>
              <w:adjustRightInd w:val="0"/>
              <w:rPr>
                <w:b/>
                <w:bCs/>
                <w:color w:val="000000"/>
                <w:sz w:val="20"/>
              </w:rPr>
            </w:pPr>
            <w:r w:rsidRPr="00992414">
              <w:rPr>
                <w:b/>
                <w:bCs/>
                <w:color w:val="000000"/>
                <w:sz w:val="20"/>
              </w:rPr>
              <w:t>Spravodajcovia</w:t>
            </w:r>
          </w:p>
          <w:p w14:paraId="12D9F3F8" w14:textId="77777777" w:rsidR="004A3DF1" w:rsidRPr="00992414" w:rsidRDefault="004A3DF1">
            <w:pPr>
              <w:autoSpaceDE w:val="0"/>
              <w:autoSpaceDN w:val="0"/>
              <w:adjustRightInd w:val="0"/>
              <w:rPr>
                <w:color w:val="000000"/>
                <w:sz w:val="20"/>
              </w:rPr>
            </w:pPr>
            <w:r w:rsidRPr="00992414">
              <w:rPr>
                <w:color w:val="000000"/>
                <w:sz w:val="20"/>
              </w:rPr>
              <w:t>       dátum vymenovania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E712D69" w14:textId="77777777" w:rsidR="004A3DF1" w:rsidRPr="00992414" w:rsidRDefault="004A3DF1">
            <w:pPr>
              <w:autoSpaceDE w:val="0"/>
              <w:autoSpaceDN w:val="0"/>
              <w:adjustRightInd w:val="0"/>
              <w:rPr>
                <w:color w:val="000000"/>
                <w:sz w:val="20"/>
              </w:rPr>
            </w:pPr>
            <w:r w:rsidRPr="00992414">
              <w:rPr>
                <w:color w:val="000000"/>
                <w:sz w:val="20"/>
              </w:rPr>
              <w:t>Mady Delvaux</w:t>
            </w:r>
          </w:p>
          <w:p w14:paraId="66E7F773" w14:textId="77777777" w:rsidR="004A3DF1" w:rsidRPr="00992414" w:rsidRDefault="004A3DF1">
            <w:pPr>
              <w:autoSpaceDE w:val="0"/>
              <w:autoSpaceDN w:val="0"/>
              <w:adjustRightInd w:val="0"/>
              <w:rPr>
                <w:color w:val="000000"/>
                <w:sz w:val="20"/>
              </w:rPr>
            </w:pPr>
            <w:r w:rsidRPr="00992414">
              <w:rPr>
                <w:color w:val="000000"/>
                <w:sz w:val="20"/>
              </w:rPr>
              <w:t>29.6.2017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C0CDC9A" w14:textId="77777777" w:rsidR="004A3DF1" w:rsidRPr="00992414" w:rsidRDefault="004A3DF1">
            <w:pPr>
              <w:autoSpaceDE w:val="0"/>
              <w:autoSpaceDN w:val="0"/>
              <w:adjustRightInd w:val="0"/>
              <w:rPr>
                <w:color w:val="000000"/>
                <w:sz w:val="20"/>
              </w:rPr>
            </w:pPr>
            <w:r w:rsidRPr="00992414">
              <w:rPr>
                <w:color w:val="000000"/>
                <w:sz w:val="20"/>
              </w:rPr>
              <w:t>Juan Fernando López Aguilar</w:t>
            </w:r>
          </w:p>
          <w:p w14:paraId="4477FA61" w14:textId="77777777" w:rsidR="004A3DF1" w:rsidRPr="00992414" w:rsidRDefault="004A3DF1">
            <w:pPr>
              <w:autoSpaceDE w:val="0"/>
              <w:autoSpaceDN w:val="0"/>
              <w:adjustRightInd w:val="0"/>
              <w:rPr>
                <w:color w:val="000000"/>
                <w:sz w:val="20"/>
              </w:rPr>
            </w:pPr>
            <w:r w:rsidRPr="00992414">
              <w:rPr>
                <w:color w:val="000000"/>
                <w:sz w:val="20"/>
              </w:rPr>
              <w:t>29.6.2017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9CD2D96" w14:textId="77777777" w:rsidR="004A3DF1" w:rsidRPr="00992414" w:rsidRDefault="004A3DF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F5A9EDE" w14:textId="77777777" w:rsidR="004A3DF1" w:rsidRPr="00992414" w:rsidRDefault="004A3DF1">
            <w:pPr>
              <w:autoSpaceDE w:val="0"/>
              <w:autoSpaceDN w:val="0"/>
              <w:adjustRightInd w:val="0"/>
              <w:rPr>
                <w:rFonts w:ascii="sans-serif" w:hAnsi="sans-serif" w:cs="sans-serif"/>
                <w:color w:val="000000"/>
                <w:szCs w:val="24"/>
              </w:rPr>
            </w:pPr>
          </w:p>
        </w:tc>
      </w:tr>
      <w:tr w:rsidR="004A3DF1" w:rsidRPr="00992414" w14:paraId="154D91A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E5390B6" w14:textId="77777777" w:rsidR="004A3DF1" w:rsidRPr="00992414" w:rsidRDefault="004A3DF1">
            <w:pPr>
              <w:autoSpaceDE w:val="0"/>
              <w:autoSpaceDN w:val="0"/>
              <w:adjustRightInd w:val="0"/>
              <w:rPr>
                <w:b/>
                <w:bCs/>
                <w:color w:val="000000"/>
                <w:sz w:val="20"/>
              </w:rPr>
            </w:pPr>
            <w:r w:rsidRPr="00992414">
              <w:rPr>
                <w:b/>
                <w:bCs/>
                <w:color w:val="000000"/>
                <w:sz w:val="20"/>
              </w:rPr>
              <w:t>Článok 55 – Spoločný postup výborov</w:t>
            </w:r>
          </w:p>
          <w:p w14:paraId="66E38F20" w14:textId="77777777" w:rsidR="004A3DF1" w:rsidRPr="00992414" w:rsidRDefault="004A3DF1">
            <w:pPr>
              <w:autoSpaceDE w:val="0"/>
              <w:autoSpaceDN w:val="0"/>
              <w:adjustRightInd w:val="0"/>
              <w:rPr>
                <w:color w:val="000000"/>
                <w:sz w:val="20"/>
              </w:rPr>
            </w:pPr>
            <w:r w:rsidRPr="00992414">
              <w:rPr>
                <w:color w:val="000000"/>
                <w:sz w:val="20"/>
              </w:rPr>
              <w:t>       dátum oznámenia na schôdzi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2F6A5F4" w14:textId="77777777" w:rsidR="004A3DF1" w:rsidRPr="00992414" w:rsidRDefault="004A3DF1">
            <w:pPr>
              <w:autoSpaceDE w:val="0"/>
              <w:autoSpaceDN w:val="0"/>
              <w:adjustRightInd w:val="0"/>
              <w:rPr>
                <w:color w:val="000000"/>
                <w:sz w:val="20"/>
              </w:rPr>
            </w:pPr>
            <w:r w:rsidRPr="00992414">
              <w:rPr>
                <w:color w:val="000000"/>
                <w:sz w:val="20"/>
              </w:rPr>
              <w:t>       </w:t>
            </w:r>
          </w:p>
          <w:p w14:paraId="0B4947A1" w14:textId="77777777" w:rsidR="004A3DF1" w:rsidRPr="00992414" w:rsidRDefault="004A3DF1">
            <w:pPr>
              <w:autoSpaceDE w:val="0"/>
              <w:autoSpaceDN w:val="0"/>
              <w:adjustRightInd w:val="0"/>
              <w:rPr>
                <w:color w:val="000000"/>
                <w:sz w:val="20"/>
              </w:rPr>
            </w:pPr>
            <w:r w:rsidRPr="00992414">
              <w:rPr>
                <w:color w:val="000000"/>
                <w:sz w:val="20"/>
              </w:rPr>
              <w:t>6.7.2017</w:t>
            </w:r>
          </w:p>
        </w:tc>
      </w:tr>
      <w:tr w:rsidR="004A3DF1" w:rsidRPr="00992414" w14:paraId="2775A2E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BD8926C" w14:textId="77777777" w:rsidR="004A3DF1" w:rsidRPr="00992414" w:rsidRDefault="004A3DF1">
            <w:pPr>
              <w:autoSpaceDE w:val="0"/>
              <w:autoSpaceDN w:val="0"/>
              <w:adjustRightInd w:val="0"/>
              <w:rPr>
                <w:b/>
                <w:bCs/>
                <w:color w:val="000000"/>
                <w:sz w:val="20"/>
              </w:rPr>
            </w:pPr>
            <w:r w:rsidRPr="00992414">
              <w:rPr>
                <w:b/>
                <w:bCs/>
                <w:color w:val="000000"/>
                <w:sz w:val="20"/>
              </w:rPr>
              <w:t>Prerokovanie vo výbore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E761746" w14:textId="77777777" w:rsidR="004A3DF1" w:rsidRPr="00992414" w:rsidRDefault="004A3DF1">
            <w:pPr>
              <w:autoSpaceDE w:val="0"/>
              <w:autoSpaceDN w:val="0"/>
              <w:adjustRightInd w:val="0"/>
              <w:rPr>
                <w:color w:val="000000"/>
                <w:sz w:val="20"/>
              </w:rPr>
            </w:pPr>
            <w:r w:rsidRPr="00992414">
              <w:rPr>
                <w:color w:val="000000"/>
                <w:sz w:val="20"/>
              </w:rPr>
              <w:t>21.11.2017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3678A55" w14:textId="77777777" w:rsidR="004A3DF1" w:rsidRPr="00992414" w:rsidRDefault="004A3DF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632B7AC" w14:textId="77777777" w:rsidR="004A3DF1" w:rsidRPr="00992414" w:rsidRDefault="004A3DF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2BCFE55" w14:textId="77777777" w:rsidR="004A3DF1" w:rsidRPr="00992414" w:rsidRDefault="004A3DF1">
            <w:pPr>
              <w:autoSpaceDE w:val="0"/>
              <w:autoSpaceDN w:val="0"/>
              <w:adjustRightInd w:val="0"/>
              <w:rPr>
                <w:rFonts w:ascii="sans-serif" w:hAnsi="sans-serif" w:cs="sans-serif"/>
                <w:color w:val="000000"/>
                <w:szCs w:val="24"/>
              </w:rPr>
            </w:pPr>
          </w:p>
        </w:tc>
      </w:tr>
      <w:tr w:rsidR="004A3DF1" w:rsidRPr="00992414" w14:paraId="5D91E54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6F6345B" w14:textId="77777777" w:rsidR="004A3DF1" w:rsidRPr="00992414" w:rsidRDefault="004A3DF1">
            <w:pPr>
              <w:autoSpaceDE w:val="0"/>
              <w:autoSpaceDN w:val="0"/>
              <w:adjustRightInd w:val="0"/>
              <w:rPr>
                <w:b/>
                <w:bCs/>
                <w:color w:val="000000"/>
                <w:sz w:val="20"/>
              </w:rPr>
            </w:pPr>
            <w:r w:rsidRPr="00992414">
              <w:rPr>
                <w:b/>
                <w:bCs/>
                <w:color w:val="000000"/>
                <w:sz w:val="20"/>
              </w:rPr>
              <w:t>Dátum prijatia</w:t>
            </w:r>
          </w:p>
        </w:tc>
        <w:tc>
          <w:tcPr>
            <w:tcW w:w="1530" w:type="dxa"/>
            <w:tcBorders>
              <w:top w:val="nil"/>
              <w:left w:val="nil"/>
              <w:bottom w:val="single" w:sz="8" w:space="0" w:color="000000"/>
              <w:right w:val="nil"/>
            </w:tcBorders>
            <w:tcMar>
              <w:top w:w="79" w:type="dxa"/>
              <w:left w:w="79" w:type="dxa"/>
              <w:bottom w:w="79" w:type="dxa"/>
              <w:right w:w="79" w:type="dxa"/>
            </w:tcMar>
          </w:tcPr>
          <w:p w14:paraId="0E4374C2" w14:textId="77777777" w:rsidR="004A3DF1" w:rsidRPr="00992414" w:rsidRDefault="004A3DF1">
            <w:pPr>
              <w:autoSpaceDE w:val="0"/>
              <w:autoSpaceDN w:val="0"/>
              <w:adjustRightInd w:val="0"/>
              <w:rPr>
                <w:color w:val="000000"/>
                <w:sz w:val="20"/>
              </w:rPr>
            </w:pPr>
            <w:r w:rsidRPr="00992414">
              <w:rPr>
                <w:color w:val="000000"/>
                <w:sz w:val="20"/>
              </w:rPr>
              <w:t>4.12.2017</w:t>
            </w:r>
          </w:p>
        </w:tc>
        <w:tc>
          <w:tcPr>
            <w:tcW w:w="1474" w:type="dxa"/>
            <w:tcBorders>
              <w:top w:val="nil"/>
              <w:left w:val="nil"/>
              <w:bottom w:val="single" w:sz="8" w:space="0" w:color="000000"/>
              <w:right w:val="nil"/>
            </w:tcBorders>
            <w:tcMar>
              <w:top w:w="79" w:type="dxa"/>
              <w:left w:w="79" w:type="dxa"/>
              <w:bottom w:w="79" w:type="dxa"/>
              <w:right w:w="79" w:type="dxa"/>
            </w:tcMar>
          </w:tcPr>
          <w:p w14:paraId="4CE2E6F4" w14:textId="77777777" w:rsidR="004A3DF1" w:rsidRPr="00992414" w:rsidRDefault="004A3DF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37C30C7C" w14:textId="77777777" w:rsidR="004A3DF1" w:rsidRPr="00992414" w:rsidRDefault="004A3DF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0C2D5D3" w14:textId="77777777" w:rsidR="004A3DF1" w:rsidRPr="00992414" w:rsidRDefault="004A3DF1">
            <w:pPr>
              <w:autoSpaceDE w:val="0"/>
              <w:autoSpaceDN w:val="0"/>
              <w:adjustRightInd w:val="0"/>
              <w:rPr>
                <w:rFonts w:ascii="sans-serif" w:hAnsi="sans-serif" w:cs="sans-serif"/>
                <w:color w:val="000000"/>
                <w:szCs w:val="24"/>
              </w:rPr>
            </w:pPr>
          </w:p>
        </w:tc>
      </w:tr>
      <w:tr w:rsidR="004A3DF1" w:rsidRPr="00992414" w14:paraId="2980433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114D424" w14:textId="77777777" w:rsidR="004A3DF1" w:rsidRPr="00992414" w:rsidRDefault="004A3DF1">
            <w:pPr>
              <w:autoSpaceDE w:val="0"/>
              <w:autoSpaceDN w:val="0"/>
              <w:adjustRightInd w:val="0"/>
              <w:rPr>
                <w:b/>
                <w:bCs/>
                <w:color w:val="000000"/>
                <w:sz w:val="20"/>
              </w:rPr>
            </w:pPr>
            <w:r w:rsidRPr="00992414">
              <w:rPr>
                <w:b/>
                <w:bCs/>
                <w:color w:val="000000"/>
                <w:sz w:val="20"/>
              </w:rPr>
              <w:t>Výsledok záverečného hlasovania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71B47A3" w14:textId="77777777" w:rsidR="004A3DF1" w:rsidRPr="00992414" w:rsidRDefault="004A3DF1">
            <w:pPr>
              <w:autoSpaceDE w:val="0"/>
              <w:autoSpaceDN w:val="0"/>
              <w:adjustRightInd w:val="0"/>
              <w:rPr>
                <w:color w:val="000000"/>
                <w:sz w:val="20"/>
              </w:rPr>
            </w:pPr>
            <w:r w:rsidRPr="00992414">
              <w:rPr>
                <w:color w:val="000000"/>
                <w:sz w:val="20"/>
              </w:rPr>
              <w:t>+:</w:t>
            </w:r>
          </w:p>
          <w:p w14:paraId="4C981AE5" w14:textId="77777777" w:rsidR="004A3DF1" w:rsidRPr="00992414" w:rsidRDefault="004A3DF1">
            <w:pPr>
              <w:autoSpaceDE w:val="0"/>
              <w:autoSpaceDN w:val="0"/>
              <w:adjustRightInd w:val="0"/>
              <w:rPr>
                <w:color w:val="000000"/>
                <w:sz w:val="20"/>
              </w:rPr>
            </w:pPr>
            <w:r w:rsidRPr="00992414">
              <w:rPr>
                <w:color w:val="000000"/>
                <w:sz w:val="20"/>
              </w:rPr>
              <w:t>–:</w:t>
            </w:r>
          </w:p>
          <w:p w14:paraId="024CA580" w14:textId="77777777" w:rsidR="004A3DF1" w:rsidRPr="00992414" w:rsidRDefault="004A3DF1">
            <w:pPr>
              <w:autoSpaceDE w:val="0"/>
              <w:autoSpaceDN w:val="0"/>
              <w:adjustRightInd w:val="0"/>
              <w:rPr>
                <w:color w:val="000000"/>
                <w:sz w:val="20"/>
              </w:rPr>
            </w:pPr>
            <w:r w:rsidRPr="0099241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175DEF7" w14:textId="77777777" w:rsidR="004A3DF1" w:rsidRPr="00992414" w:rsidRDefault="004A3DF1">
            <w:pPr>
              <w:autoSpaceDE w:val="0"/>
              <w:autoSpaceDN w:val="0"/>
              <w:adjustRightInd w:val="0"/>
              <w:rPr>
                <w:color w:val="000000"/>
                <w:sz w:val="20"/>
              </w:rPr>
            </w:pPr>
            <w:r w:rsidRPr="00992414">
              <w:rPr>
                <w:color w:val="000000"/>
                <w:sz w:val="20"/>
              </w:rPr>
              <w:t>55</w:t>
            </w:r>
          </w:p>
          <w:p w14:paraId="31F77DCE" w14:textId="77777777" w:rsidR="004A3DF1" w:rsidRPr="00992414" w:rsidRDefault="004A3DF1">
            <w:pPr>
              <w:autoSpaceDE w:val="0"/>
              <w:autoSpaceDN w:val="0"/>
              <w:adjustRightInd w:val="0"/>
              <w:rPr>
                <w:color w:val="000000"/>
                <w:sz w:val="20"/>
              </w:rPr>
            </w:pPr>
            <w:r w:rsidRPr="00992414">
              <w:rPr>
                <w:color w:val="000000"/>
                <w:sz w:val="20"/>
              </w:rPr>
              <w:t>3</w:t>
            </w:r>
          </w:p>
          <w:p w14:paraId="7EA20AAB" w14:textId="77777777" w:rsidR="004A3DF1" w:rsidRPr="00992414" w:rsidRDefault="004A3DF1">
            <w:pPr>
              <w:autoSpaceDE w:val="0"/>
              <w:autoSpaceDN w:val="0"/>
              <w:adjustRightInd w:val="0"/>
              <w:rPr>
                <w:color w:val="000000"/>
                <w:sz w:val="20"/>
              </w:rPr>
            </w:pPr>
            <w:r w:rsidRPr="00992414">
              <w:rPr>
                <w:color w:val="000000"/>
                <w:sz w:val="20"/>
              </w:rPr>
              <w:t>4</w:t>
            </w:r>
          </w:p>
        </w:tc>
      </w:tr>
      <w:tr w:rsidR="004A3DF1" w:rsidRPr="00992414" w14:paraId="7DC28B8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89FBA59" w14:textId="77777777" w:rsidR="004A3DF1" w:rsidRPr="00992414" w:rsidRDefault="004A3DF1">
            <w:pPr>
              <w:autoSpaceDE w:val="0"/>
              <w:autoSpaceDN w:val="0"/>
              <w:adjustRightInd w:val="0"/>
              <w:rPr>
                <w:b/>
                <w:bCs/>
                <w:color w:val="000000"/>
                <w:sz w:val="20"/>
              </w:rPr>
            </w:pPr>
            <w:r w:rsidRPr="00992414">
              <w:rPr>
                <w:b/>
                <w:bCs/>
                <w:color w:val="000000"/>
                <w:sz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2BCBD99" w14:textId="77777777" w:rsidR="004A3DF1" w:rsidRPr="00992414" w:rsidRDefault="004A3DF1">
            <w:pPr>
              <w:autoSpaceDE w:val="0"/>
              <w:autoSpaceDN w:val="0"/>
              <w:adjustRightInd w:val="0"/>
              <w:rPr>
                <w:color w:val="000000"/>
                <w:sz w:val="20"/>
              </w:rPr>
            </w:pPr>
            <w:r w:rsidRPr="00992414">
              <w:rPr>
                <w:color w:val="000000"/>
                <w:sz w:val="20"/>
              </w:rPr>
              <w:t>Asim Ademov, Jan Philipp Albrecht, Martina Anderson, Gerolf Annemans, Hugues Bayet, Monika Beňová, Pervenche Berès, David Coburn, Thierry Cornillet, Agustín Díaz de Mera García Consuegra, Jonás Fernández, Kinga Gál, Sven Giegold, Brian Hayes, Petr Ježek, Barbara Kudrycka, Cécile Kashetu Kyenge, Georgios Kyrtsos, Werner Langen, Juan Fernando López Aguilar, Olle Ludvigsson, Ivana Maletić, Gabriel Mato, Costas Mavrides, Roberta Metsola, Claude Moraes, Caroline Nagtegaal, Luděk Niedermayer, Sirpa Pietikäinen, Dariusz Rosati, Anne Sander, Judith Sargentini, Martin Schirdewan, Molly Scott Cato, Pedro Silva Pereira, Peter Simon, Birgit Sippel, Helga Stevens, Paul Tang, Traian Ungureanu, Marco Valli, Tom Vandenkendelaere, Marie-Christine Vergiat, Miguel Viegas, Josef Weidenholzer, Kristina Winberg, Auke Zijlstra</w:t>
            </w:r>
          </w:p>
        </w:tc>
      </w:tr>
      <w:tr w:rsidR="004A3DF1" w:rsidRPr="00992414" w14:paraId="15BB371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B704218" w14:textId="77777777" w:rsidR="004A3DF1" w:rsidRPr="00992414" w:rsidRDefault="004A3DF1">
            <w:pPr>
              <w:autoSpaceDE w:val="0"/>
              <w:autoSpaceDN w:val="0"/>
              <w:adjustRightInd w:val="0"/>
              <w:rPr>
                <w:b/>
                <w:bCs/>
                <w:color w:val="000000"/>
                <w:sz w:val="20"/>
              </w:rPr>
            </w:pPr>
            <w:r w:rsidRPr="00992414">
              <w:rPr>
                <w:b/>
                <w:bCs/>
                <w:color w:val="000000"/>
                <w:sz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CA44A18" w14:textId="77777777" w:rsidR="004A3DF1" w:rsidRPr="00992414" w:rsidRDefault="004A3DF1">
            <w:pPr>
              <w:autoSpaceDE w:val="0"/>
              <w:autoSpaceDN w:val="0"/>
              <w:adjustRightInd w:val="0"/>
              <w:rPr>
                <w:color w:val="000000"/>
                <w:sz w:val="20"/>
              </w:rPr>
            </w:pPr>
            <w:r w:rsidRPr="00992414">
              <w:rPr>
                <w:color w:val="000000"/>
                <w:sz w:val="20"/>
              </w:rPr>
              <w:t>Pál Csáky, Bas Eickhout, Ramón Jáuregui Atondo, Teresa Jiménez-Becerril Barrio, Sylvia-Yvonne Kaufmann, Jan Keller, Luigi Morgano, Salvatore Domenico Pogliese, Emil Radev, Barbara Spinelli, Joachim Starbatty, Romana Tomc, Daniele Viotti, Lieve Wierinck</w:t>
            </w:r>
          </w:p>
        </w:tc>
      </w:tr>
      <w:tr w:rsidR="004A3DF1" w:rsidRPr="00992414" w14:paraId="729B7AB4"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A3E1672" w14:textId="77777777" w:rsidR="004A3DF1" w:rsidRPr="00992414" w:rsidRDefault="004A3DF1">
            <w:pPr>
              <w:autoSpaceDE w:val="0"/>
              <w:autoSpaceDN w:val="0"/>
              <w:adjustRightInd w:val="0"/>
              <w:rPr>
                <w:b/>
                <w:bCs/>
                <w:color w:val="000000"/>
                <w:sz w:val="20"/>
              </w:rPr>
            </w:pPr>
            <w:r w:rsidRPr="00992414">
              <w:rPr>
                <w:b/>
                <w:bCs/>
                <w:color w:val="000000"/>
                <w:sz w:val="20"/>
              </w:rPr>
              <w:t>Náhradníci (čl. 200 ods. 2)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AEFF51F" w14:textId="77777777" w:rsidR="004A3DF1" w:rsidRPr="00992414" w:rsidRDefault="004A3DF1">
            <w:pPr>
              <w:autoSpaceDE w:val="0"/>
              <w:autoSpaceDN w:val="0"/>
              <w:adjustRightInd w:val="0"/>
              <w:rPr>
                <w:color w:val="000000"/>
                <w:sz w:val="20"/>
              </w:rPr>
            </w:pPr>
            <w:r w:rsidRPr="00992414">
              <w:rPr>
                <w:color w:val="000000"/>
                <w:sz w:val="20"/>
              </w:rPr>
              <w:t>Zbigniew Kuźmiuk</w:t>
            </w:r>
          </w:p>
        </w:tc>
      </w:tr>
      <w:tr w:rsidR="004A3DF1" w:rsidRPr="00992414" w14:paraId="6F483D3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1BF406E" w14:textId="77777777" w:rsidR="004A3DF1" w:rsidRPr="00992414" w:rsidRDefault="004A3DF1">
            <w:pPr>
              <w:autoSpaceDE w:val="0"/>
              <w:autoSpaceDN w:val="0"/>
              <w:adjustRightInd w:val="0"/>
              <w:rPr>
                <w:b/>
                <w:bCs/>
                <w:color w:val="000000"/>
                <w:sz w:val="20"/>
              </w:rPr>
            </w:pPr>
            <w:r w:rsidRPr="00992414">
              <w:rPr>
                <w:b/>
                <w:bCs/>
                <w:color w:val="000000"/>
                <w:sz w:val="20"/>
              </w:rPr>
              <w:t>Dátum predloženia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1178B50" w14:textId="77777777" w:rsidR="004A3DF1" w:rsidRPr="00992414" w:rsidRDefault="004A3DF1">
            <w:pPr>
              <w:autoSpaceDE w:val="0"/>
              <w:autoSpaceDN w:val="0"/>
              <w:adjustRightInd w:val="0"/>
              <w:rPr>
                <w:color w:val="000000"/>
                <w:sz w:val="20"/>
              </w:rPr>
            </w:pPr>
            <w:r w:rsidRPr="00992414">
              <w:rPr>
                <w:color w:val="000000"/>
                <w:sz w:val="20"/>
              </w:rPr>
              <w:t>8.12.2017</w:t>
            </w:r>
          </w:p>
        </w:tc>
      </w:tr>
    </w:tbl>
    <w:p w14:paraId="41629B23" w14:textId="77777777" w:rsidR="004A3DF1" w:rsidRPr="00992414" w:rsidRDefault="004A3DF1">
      <w:pPr>
        <w:autoSpaceDE w:val="0"/>
        <w:autoSpaceDN w:val="0"/>
        <w:adjustRightInd w:val="0"/>
        <w:rPr>
          <w:rFonts w:ascii="Arial" w:hAnsi="Arial" w:cs="Arial"/>
          <w:szCs w:val="24"/>
        </w:rPr>
      </w:pPr>
    </w:p>
    <w:bookmarkEnd w:id="5"/>
    <w:p w14:paraId="45B393BA" w14:textId="6A082E45" w:rsidR="008B6AFB" w:rsidRPr="00992414" w:rsidRDefault="008B6AFB" w:rsidP="004A3DF1">
      <w:pPr>
        <w:pStyle w:val="PageHeading"/>
      </w:pPr>
      <w:r w:rsidRPr="00992414">
        <w:br w:type="page"/>
      </w:r>
      <w:bookmarkStart w:id="7" w:name="RollCallPageRR"/>
      <w:bookmarkStart w:id="8" w:name="_Toc501622911"/>
      <w:r w:rsidRPr="00992414">
        <w:t>ZÁVEREČNÉ HLASOVANIE PODĽA MIEN V GESTORSKOM VÝBORE</w:t>
      </w:r>
      <w:bookmarkEnd w:id="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B6AFB" w:rsidRPr="00992414" w14:paraId="4339ABE8" w14:textId="77777777" w:rsidTr="001A7F08">
        <w:trPr>
          <w:cantSplit/>
        </w:trPr>
        <w:tc>
          <w:tcPr>
            <w:tcW w:w="1701" w:type="dxa"/>
            <w:shd w:val="pct10" w:color="000000" w:fill="FFFFFF"/>
            <w:vAlign w:val="center"/>
          </w:tcPr>
          <w:p w14:paraId="15371878" w14:textId="5451A84E" w:rsidR="008B6AFB" w:rsidRPr="00992414" w:rsidRDefault="008B6AFB" w:rsidP="001A7F08">
            <w:pPr>
              <w:spacing w:before="120" w:after="120"/>
              <w:jc w:val="center"/>
              <w:rPr>
                <w:b/>
                <w:sz w:val="20"/>
              </w:rPr>
            </w:pPr>
            <w:r w:rsidRPr="00992414">
              <w:rPr>
                <w:b/>
                <w:sz w:val="20"/>
              </w:rPr>
              <w:t>55</w:t>
            </w:r>
          </w:p>
        </w:tc>
        <w:tc>
          <w:tcPr>
            <w:tcW w:w="7371" w:type="dxa"/>
            <w:shd w:val="pct10" w:color="000000" w:fill="FFFFFF"/>
          </w:tcPr>
          <w:p w14:paraId="7DB27B85" w14:textId="77777777" w:rsidR="008B6AFB" w:rsidRPr="00992414" w:rsidRDefault="008B6AFB" w:rsidP="001A7F08">
            <w:pPr>
              <w:spacing w:before="120" w:after="120"/>
              <w:jc w:val="center"/>
              <w:rPr>
                <w:rFonts w:ascii="Arial" w:hAnsi="Arial" w:cs="Arial"/>
                <w:b/>
                <w:sz w:val="28"/>
                <w:szCs w:val="28"/>
              </w:rPr>
            </w:pPr>
            <w:r w:rsidRPr="00992414">
              <w:rPr>
                <w:rFonts w:ascii="Arial" w:hAnsi="Arial"/>
                <w:b/>
                <w:sz w:val="28"/>
                <w:szCs w:val="28"/>
              </w:rPr>
              <w:t>+</w:t>
            </w:r>
          </w:p>
        </w:tc>
      </w:tr>
      <w:tr w:rsidR="008B6AFB" w:rsidRPr="00992414" w14:paraId="217EC806" w14:textId="77777777" w:rsidTr="001A7F08">
        <w:trPr>
          <w:cantSplit/>
        </w:trPr>
        <w:tc>
          <w:tcPr>
            <w:tcW w:w="1701" w:type="dxa"/>
            <w:shd w:val="clear" w:color="auto" w:fill="FFFFFF"/>
          </w:tcPr>
          <w:p w14:paraId="1684B03C" w14:textId="377BAC1C" w:rsidR="008B6AFB" w:rsidRPr="00992414" w:rsidRDefault="008B6AFB" w:rsidP="001A7F08">
            <w:pPr>
              <w:spacing w:before="120" w:after="120"/>
              <w:rPr>
                <w:sz w:val="20"/>
              </w:rPr>
            </w:pPr>
            <w:r w:rsidRPr="00992414">
              <w:rPr>
                <w:sz w:val="20"/>
              </w:rPr>
              <w:t>ALDE</w:t>
            </w:r>
          </w:p>
        </w:tc>
        <w:tc>
          <w:tcPr>
            <w:tcW w:w="7371" w:type="dxa"/>
            <w:shd w:val="clear" w:color="auto" w:fill="FFFFFF"/>
          </w:tcPr>
          <w:p w14:paraId="7B69B62D" w14:textId="2798C9BC" w:rsidR="008B6AFB" w:rsidRPr="00992414" w:rsidRDefault="008B6AFB" w:rsidP="001A7F08">
            <w:pPr>
              <w:spacing w:before="120" w:after="120"/>
              <w:rPr>
                <w:sz w:val="20"/>
              </w:rPr>
            </w:pPr>
            <w:r w:rsidRPr="00992414">
              <w:rPr>
                <w:sz w:val="20"/>
              </w:rPr>
              <w:t>Thierry Cornillet, Petr Ježek, Caroline Nagtegaal, Lieve Wierinck</w:t>
            </w:r>
          </w:p>
        </w:tc>
      </w:tr>
      <w:tr w:rsidR="008B6AFB" w:rsidRPr="00992414" w14:paraId="50DF9DF0" w14:textId="77777777" w:rsidTr="001A7F08">
        <w:trPr>
          <w:cantSplit/>
        </w:trPr>
        <w:tc>
          <w:tcPr>
            <w:tcW w:w="1701" w:type="dxa"/>
            <w:shd w:val="clear" w:color="auto" w:fill="FFFFFF"/>
          </w:tcPr>
          <w:p w14:paraId="2A061B7E" w14:textId="2DBAF3E1" w:rsidR="008B6AFB" w:rsidRPr="00992414" w:rsidRDefault="008B6AFB" w:rsidP="001A7F08">
            <w:pPr>
              <w:spacing w:before="120" w:after="120"/>
              <w:rPr>
                <w:sz w:val="20"/>
              </w:rPr>
            </w:pPr>
            <w:r w:rsidRPr="00992414">
              <w:rPr>
                <w:sz w:val="20"/>
              </w:rPr>
              <w:t>EFDD</w:t>
            </w:r>
          </w:p>
        </w:tc>
        <w:tc>
          <w:tcPr>
            <w:tcW w:w="7371" w:type="dxa"/>
            <w:shd w:val="clear" w:color="auto" w:fill="FFFFFF"/>
          </w:tcPr>
          <w:p w14:paraId="475988BD" w14:textId="782AC398" w:rsidR="008B6AFB" w:rsidRPr="00992414" w:rsidRDefault="008B6AFB" w:rsidP="001A7F08">
            <w:pPr>
              <w:spacing w:before="120" w:after="120"/>
              <w:rPr>
                <w:sz w:val="20"/>
              </w:rPr>
            </w:pPr>
            <w:r w:rsidRPr="00992414">
              <w:rPr>
                <w:sz w:val="20"/>
              </w:rPr>
              <w:t>Kristina Winberg</w:t>
            </w:r>
          </w:p>
        </w:tc>
      </w:tr>
      <w:tr w:rsidR="008B6AFB" w:rsidRPr="00992414" w14:paraId="336A98B3" w14:textId="77777777" w:rsidTr="001A7F08">
        <w:trPr>
          <w:cantSplit/>
        </w:trPr>
        <w:tc>
          <w:tcPr>
            <w:tcW w:w="1701" w:type="dxa"/>
            <w:shd w:val="clear" w:color="auto" w:fill="FFFFFF"/>
          </w:tcPr>
          <w:p w14:paraId="7EC11D74" w14:textId="1B70D210" w:rsidR="008B6AFB" w:rsidRPr="00992414" w:rsidRDefault="008B6AFB" w:rsidP="001A7F08">
            <w:pPr>
              <w:spacing w:before="120" w:after="120"/>
              <w:rPr>
                <w:sz w:val="20"/>
              </w:rPr>
            </w:pPr>
            <w:r w:rsidRPr="00992414">
              <w:rPr>
                <w:sz w:val="20"/>
              </w:rPr>
              <w:t>GUE/NGL</w:t>
            </w:r>
          </w:p>
        </w:tc>
        <w:tc>
          <w:tcPr>
            <w:tcW w:w="7371" w:type="dxa"/>
            <w:shd w:val="clear" w:color="auto" w:fill="FFFFFF"/>
          </w:tcPr>
          <w:p w14:paraId="5193EFFD" w14:textId="52376AC8" w:rsidR="008B6AFB" w:rsidRPr="00992414" w:rsidRDefault="008B6AFB" w:rsidP="001A7F08">
            <w:pPr>
              <w:spacing w:before="120" w:after="120"/>
              <w:rPr>
                <w:sz w:val="20"/>
              </w:rPr>
            </w:pPr>
            <w:r w:rsidRPr="00992414">
              <w:rPr>
                <w:sz w:val="20"/>
              </w:rPr>
              <w:t>Martina Anderson, Martin Schirdewan, Barbara Spinelli, Marie-Christine Vergiat, Miguel Viegas</w:t>
            </w:r>
          </w:p>
        </w:tc>
      </w:tr>
      <w:tr w:rsidR="008B6AFB" w:rsidRPr="00992414" w14:paraId="35CB5B28" w14:textId="77777777" w:rsidTr="001A7F08">
        <w:trPr>
          <w:cantSplit/>
        </w:trPr>
        <w:tc>
          <w:tcPr>
            <w:tcW w:w="1701" w:type="dxa"/>
            <w:shd w:val="clear" w:color="auto" w:fill="FFFFFF"/>
          </w:tcPr>
          <w:p w14:paraId="4EA15052" w14:textId="5574E9EB" w:rsidR="008B6AFB" w:rsidRPr="00992414" w:rsidRDefault="008B6AFB" w:rsidP="001A7F08">
            <w:pPr>
              <w:spacing w:before="120" w:after="120"/>
              <w:rPr>
                <w:sz w:val="20"/>
              </w:rPr>
            </w:pPr>
            <w:r w:rsidRPr="00992414">
              <w:rPr>
                <w:sz w:val="20"/>
              </w:rPr>
              <w:t>PPE</w:t>
            </w:r>
          </w:p>
        </w:tc>
        <w:tc>
          <w:tcPr>
            <w:tcW w:w="7371" w:type="dxa"/>
            <w:shd w:val="clear" w:color="auto" w:fill="FFFFFF"/>
          </w:tcPr>
          <w:p w14:paraId="1D934504" w14:textId="5DAA69BF" w:rsidR="008B6AFB" w:rsidRPr="00992414" w:rsidRDefault="008B6AFB" w:rsidP="001A7F08">
            <w:pPr>
              <w:spacing w:before="120" w:after="120"/>
              <w:rPr>
                <w:sz w:val="20"/>
              </w:rPr>
            </w:pPr>
            <w:r w:rsidRPr="00992414">
              <w:rPr>
                <w:sz w:val="20"/>
              </w:rPr>
              <w:t>Asim Ademov, Pál Csáky, Agustín Díaz de Mera García Consuegra, Kinga Gál, Brian Hayes, Teresa Jiménez-Becerril Barrio, Barbara Kudrycka, Georgios Kyrtsos, Werner Langen, Ivana Maletić, Gabriel Mato, Roberta Metsola, Luděk Niedermayer, Sirpa Pietikäinen, Salvatore Domenico Pogliese, Emil Radev, Dariusz Rosati, Anne Sander, Romana Tomc, Traian Ungureanu, Tom Vandenkendelaere</w:t>
            </w:r>
          </w:p>
        </w:tc>
      </w:tr>
      <w:tr w:rsidR="008B6AFB" w:rsidRPr="00992414" w14:paraId="23AB3364" w14:textId="77777777" w:rsidTr="001A7F08">
        <w:trPr>
          <w:cantSplit/>
        </w:trPr>
        <w:tc>
          <w:tcPr>
            <w:tcW w:w="1701" w:type="dxa"/>
            <w:shd w:val="clear" w:color="auto" w:fill="FFFFFF"/>
          </w:tcPr>
          <w:p w14:paraId="555E9B23" w14:textId="79DF4C28" w:rsidR="008B6AFB" w:rsidRPr="00992414" w:rsidRDefault="008B6AFB" w:rsidP="001A7F08">
            <w:pPr>
              <w:spacing w:before="120" w:after="120"/>
              <w:rPr>
                <w:sz w:val="20"/>
              </w:rPr>
            </w:pPr>
            <w:r w:rsidRPr="00992414">
              <w:rPr>
                <w:sz w:val="20"/>
              </w:rPr>
              <w:t>S&amp;D</w:t>
            </w:r>
          </w:p>
        </w:tc>
        <w:tc>
          <w:tcPr>
            <w:tcW w:w="7371" w:type="dxa"/>
            <w:shd w:val="clear" w:color="auto" w:fill="FFFFFF"/>
          </w:tcPr>
          <w:p w14:paraId="29725ECA" w14:textId="7FA28D87" w:rsidR="008B6AFB" w:rsidRPr="00992414" w:rsidRDefault="008B6AFB" w:rsidP="001A7F08">
            <w:pPr>
              <w:spacing w:before="120" w:after="120"/>
              <w:rPr>
                <w:sz w:val="20"/>
              </w:rPr>
            </w:pPr>
            <w:r w:rsidRPr="00992414">
              <w:rPr>
                <w:sz w:val="20"/>
              </w:rPr>
              <w:t>Hugues Bayet, Monika Beňová, Pervenche Berès, Jonás Fernández, Ramón Jáuregui Atondo, Sylvia-Yvonne Kaufmann, Jan Keller, Cécile Kashetu Kyenge, Juan Fernando López Aguilar, Olle Ludvigsson, Costas Mavrides, Claude Moraes, Luigi Morgano, Pedro Silva Pereira, Peter Simon, Birgit Sippel, Paul Tang, Daniele Viotti, Josef Weidenholzer</w:t>
            </w:r>
          </w:p>
        </w:tc>
      </w:tr>
      <w:tr w:rsidR="008B6AFB" w:rsidRPr="00992414" w14:paraId="7F9BA4B2" w14:textId="77777777" w:rsidTr="001A7F08">
        <w:trPr>
          <w:cantSplit/>
        </w:trPr>
        <w:tc>
          <w:tcPr>
            <w:tcW w:w="1701" w:type="dxa"/>
            <w:shd w:val="clear" w:color="auto" w:fill="FFFFFF"/>
          </w:tcPr>
          <w:p w14:paraId="486F85FF" w14:textId="110A4F41" w:rsidR="008B6AFB" w:rsidRPr="00992414" w:rsidRDefault="008B6AFB" w:rsidP="001A7F08">
            <w:pPr>
              <w:spacing w:before="120" w:after="120"/>
              <w:rPr>
                <w:sz w:val="20"/>
              </w:rPr>
            </w:pPr>
            <w:r w:rsidRPr="00992414">
              <w:rPr>
                <w:sz w:val="20"/>
              </w:rPr>
              <w:t>VERTS/ALE</w:t>
            </w:r>
          </w:p>
        </w:tc>
        <w:tc>
          <w:tcPr>
            <w:tcW w:w="7371" w:type="dxa"/>
            <w:shd w:val="clear" w:color="auto" w:fill="FFFFFF"/>
          </w:tcPr>
          <w:p w14:paraId="79745988" w14:textId="538F3D90" w:rsidR="008B6AFB" w:rsidRPr="00992414" w:rsidRDefault="008B6AFB" w:rsidP="001A7F08">
            <w:pPr>
              <w:spacing w:before="120" w:after="120"/>
              <w:rPr>
                <w:sz w:val="20"/>
              </w:rPr>
            </w:pPr>
            <w:r w:rsidRPr="00992414">
              <w:rPr>
                <w:sz w:val="20"/>
              </w:rPr>
              <w:t>Jan Philipp Albrecht, Bas Eickhout, Sven Giegold, Judith Sargentini, Molly Scott Cato</w:t>
            </w:r>
          </w:p>
        </w:tc>
      </w:tr>
    </w:tbl>
    <w:p w14:paraId="17CC4268" w14:textId="77777777" w:rsidR="008B6AFB" w:rsidRPr="00992414" w:rsidRDefault="008B6AFB" w:rsidP="001A7F0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B6AFB" w:rsidRPr="00992414" w14:paraId="7EE8E5E8" w14:textId="77777777" w:rsidTr="001A7F08">
        <w:trPr>
          <w:cantSplit/>
        </w:trPr>
        <w:tc>
          <w:tcPr>
            <w:tcW w:w="1701" w:type="dxa"/>
            <w:shd w:val="pct10" w:color="000000" w:fill="FFFFFF"/>
            <w:vAlign w:val="center"/>
          </w:tcPr>
          <w:p w14:paraId="121C5A6A" w14:textId="6B59C8A2" w:rsidR="008B6AFB" w:rsidRPr="00992414" w:rsidRDefault="008B6AFB" w:rsidP="001A7F08">
            <w:pPr>
              <w:spacing w:before="120" w:after="120"/>
              <w:jc w:val="center"/>
              <w:rPr>
                <w:b/>
                <w:sz w:val="20"/>
              </w:rPr>
            </w:pPr>
            <w:r w:rsidRPr="00992414">
              <w:rPr>
                <w:b/>
                <w:sz w:val="20"/>
              </w:rPr>
              <w:t>3</w:t>
            </w:r>
          </w:p>
        </w:tc>
        <w:tc>
          <w:tcPr>
            <w:tcW w:w="7371" w:type="dxa"/>
            <w:shd w:val="pct10" w:color="000000" w:fill="FFFFFF"/>
          </w:tcPr>
          <w:p w14:paraId="64C544AF" w14:textId="77777777" w:rsidR="008B6AFB" w:rsidRPr="00992414" w:rsidRDefault="008B6AFB" w:rsidP="001A7F08">
            <w:pPr>
              <w:spacing w:before="120" w:after="120"/>
              <w:jc w:val="center"/>
              <w:rPr>
                <w:sz w:val="28"/>
                <w:szCs w:val="28"/>
              </w:rPr>
            </w:pPr>
            <w:r w:rsidRPr="00992414">
              <w:rPr>
                <w:rFonts w:ascii="Arial" w:hAnsi="Arial"/>
                <w:b/>
                <w:sz w:val="28"/>
                <w:szCs w:val="28"/>
              </w:rPr>
              <w:t>-</w:t>
            </w:r>
          </w:p>
        </w:tc>
      </w:tr>
      <w:tr w:rsidR="008B6AFB" w:rsidRPr="00992414" w14:paraId="3F385311" w14:textId="77777777" w:rsidTr="001A7F08">
        <w:trPr>
          <w:cantSplit/>
        </w:trPr>
        <w:tc>
          <w:tcPr>
            <w:tcW w:w="1701" w:type="dxa"/>
            <w:shd w:val="clear" w:color="auto" w:fill="FFFFFF"/>
          </w:tcPr>
          <w:p w14:paraId="47C8EA8B" w14:textId="748A80C1" w:rsidR="008B6AFB" w:rsidRPr="00992414" w:rsidRDefault="008B6AFB" w:rsidP="001A7F08">
            <w:pPr>
              <w:spacing w:before="120" w:after="120"/>
              <w:rPr>
                <w:sz w:val="20"/>
              </w:rPr>
            </w:pPr>
            <w:r w:rsidRPr="00992414">
              <w:rPr>
                <w:sz w:val="20"/>
              </w:rPr>
              <w:t>EFDD</w:t>
            </w:r>
          </w:p>
        </w:tc>
        <w:tc>
          <w:tcPr>
            <w:tcW w:w="7371" w:type="dxa"/>
            <w:shd w:val="clear" w:color="auto" w:fill="FFFFFF"/>
          </w:tcPr>
          <w:p w14:paraId="01DABAAE" w14:textId="73B40FEE" w:rsidR="008B6AFB" w:rsidRPr="00992414" w:rsidRDefault="008B6AFB" w:rsidP="001A7F08">
            <w:pPr>
              <w:spacing w:before="120" w:after="120"/>
              <w:rPr>
                <w:sz w:val="20"/>
              </w:rPr>
            </w:pPr>
            <w:r w:rsidRPr="00992414">
              <w:rPr>
                <w:sz w:val="20"/>
              </w:rPr>
              <w:t>David Coburn</w:t>
            </w:r>
          </w:p>
        </w:tc>
      </w:tr>
      <w:tr w:rsidR="008B6AFB" w:rsidRPr="00992414" w14:paraId="51816CC5" w14:textId="77777777" w:rsidTr="001A7F08">
        <w:trPr>
          <w:cantSplit/>
        </w:trPr>
        <w:tc>
          <w:tcPr>
            <w:tcW w:w="1701" w:type="dxa"/>
            <w:shd w:val="clear" w:color="auto" w:fill="FFFFFF"/>
          </w:tcPr>
          <w:p w14:paraId="4DDD923B" w14:textId="6D36B22E" w:rsidR="008B6AFB" w:rsidRPr="00992414" w:rsidRDefault="008B6AFB" w:rsidP="001A7F08">
            <w:pPr>
              <w:spacing w:before="120" w:after="120"/>
              <w:rPr>
                <w:sz w:val="20"/>
              </w:rPr>
            </w:pPr>
            <w:r w:rsidRPr="00992414">
              <w:rPr>
                <w:sz w:val="20"/>
              </w:rPr>
              <w:t>ENF</w:t>
            </w:r>
          </w:p>
        </w:tc>
        <w:tc>
          <w:tcPr>
            <w:tcW w:w="7371" w:type="dxa"/>
            <w:shd w:val="clear" w:color="auto" w:fill="FFFFFF"/>
          </w:tcPr>
          <w:p w14:paraId="483FC550" w14:textId="665E8F23" w:rsidR="008B6AFB" w:rsidRPr="00992414" w:rsidRDefault="008B6AFB" w:rsidP="001A7F08">
            <w:pPr>
              <w:spacing w:before="120" w:after="120"/>
              <w:rPr>
                <w:sz w:val="20"/>
              </w:rPr>
            </w:pPr>
            <w:r w:rsidRPr="00992414">
              <w:rPr>
                <w:sz w:val="20"/>
              </w:rPr>
              <w:t>Gerolf Annemans, Auke Zijlstra</w:t>
            </w:r>
          </w:p>
        </w:tc>
      </w:tr>
    </w:tbl>
    <w:p w14:paraId="6ED7934F" w14:textId="77777777" w:rsidR="008B6AFB" w:rsidRPr="00992414" w:rsidRDefault="008B6AFB" w:rsidP="001A7F0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B6AFB" w:rsidRPr="00992414" w14:paraId="24584A04" w14:textId="77777777" w:rsidTr="001A7F08">
        <w:trPr>
          <w:cantSplit/>
        </w:trPr>
        <w:tc>
          <w:tcPr>
            <w:tcW w:w="1701" w:type="dxa"/>
            <w:shd w:val="pct10" w:color="000000" w:fill="FFFFFF"/>
            <w:vAlign w:val="center"/>
          </w:tcPr>
          <w:p w14:paraId="5F3B3043" w14:textId="4544D791" w:rsidR="008B6AFB" w:rsidRPr="00992414" w:rsidRDefault="008B6AFB" w:rsidP="001A7F08">
            <w:pPr>
              <w:spacing w:before="120" w:after="120"/>
              <w:jc w:val="center"/>
              <w:rPr>
                <w:b/>
                <w:sz w:val="20"/>
              </w:rPr>
            </w:pPr>
            <w:r w:rsidRPr="00992414">
              <w:rPr>
                <w:b/>
                <w:sz w:val="20"/>
              </w:rPr>
              <w:t>4</w:t>
            </w:r>
          </w:p>
        </w:tc>
        <w:tc>
          <w:tcPr>
            <w:tcW w:w="7371" w:type="dxa"/>
            <w:shd w:val="pct10" w:color="000000" w:fill="FFFFFF"/>
          </w:tcPr>
          <w:p w14:paraId="7CB77033" w14:textId="77777777" w:rsidR="008B6AFB" w:rsidRPr="00992414" w:rsidRDefault="008B6AFB" w:rsidP="001A7F08">
            <w:pPr>
              <w:spacing w:before="120" w:after="120"/>
              <w:jc w:val="center"/>
              <w:rPr>
                <w:sz w:val="28"/>
                <w:szCs w:val="28"/>
              </w:rPr>
            </w:pPr>
            <w:r w:rsidRPr="00992414">
              <w:rPr>
                <w:rFonts w:ascii="Arial" w:hAnsi="Arial"/>
                <w:b/>
                <w:sz w:val="28"/>
                <w:szCs w:val="28"/>
              </w:rPr>
              <w:t>0</w:t>
            </w:r>
          </w:p>
        </w:tc>
      </w:tr>
      <w:tr w:rsidR="008B6AFB" w:rsidRPr="00992414" w14:paraId="50992E42" w14:textId="77777777" w:rsidTr="001A7F08">
        <w:trPr>
          <w:cantSplit/>
        </w:trPr>
        <w:tc>
          <w:tcPr>
            <w:tcW w:w="1701" w:type="dxa"/>
            <w:shd w:val="clear" w:color="auto" w:fill="FFFFFF"/>
          </w:tcPr>
          <w:p w14:paraId="6A1C4E19" w14:textId="03048205" w:rsidR="008B6AFB" w:rsidRPr="00992414" w:rsidRDefault="008B6AFB" w:rsidP="001A7F08">
            <w:pPr>
              <w:spacing w:before="120" w:after="120"/>
              <w:rPr>
                <w:sz w:val="20"/>
              </w:rPr>
            </w:pPr>
            <w:r w:rsidRPr="00992414">
              <w:rPr>
                <w:sz w:val="20"/>
              </w:rPr>
              <w:t>ECR</w:t>
            </w:r>
          </w:p>
        </w:tc>
        <w:tc>
          <w:tcPr>
            <w:tcW w:w="7371" w:type="dxa"/>
            <w:shd w:val="clear" w:color="auto" w:fill="FFFFFF"/>
          </w:tcPr>
          <w:p w14:paraId="5AECFC55" w14:textId="1BC24841" w:rsidR="008B6AFB" w:rsidRPr="00992414" w:rsidRDefault="008B6AFB" w:rsidP="001A7F08">
            <w:pPr>
              <w:spacing w:before="120" w:after="120"/>
              <w:rPr>
                <w:sz w:val="20"/>
              </w:rPr>
            </w:pPr>
            <w:r w:rsidRPr="00992414">
              <w:rPr>
                <w:sz w:val="20"/>
              </w:rPr>
              <w:t>Zbigniew Kuźmiuk, Joachim Starbatty, Helga Stevens</w:t>
            </w:r>
          </w:p>
        </w:tc>
      </w:tr>
      <w:tr w:rsidR="008B6AFB" w:rsidRPr="00992414" w14:paraId="4BE28450" w14:textId="77777777" w:rsidTr="001A7F08">
        <w:trPr>
          <w:cantSplit/>
        </w:trPr>
        <w:tc>
          <w:tcPr>
            <w:tcW w:w="1701" w:type="dxa"/>
            <w:shd w:val="clear" w:color="auto" w:fill="FFFFFF"/>
          </w:tcPr>
          <w:p w14:paraId="7295A01C" w14:textId="4BFAC701" w:rsidR="008B6AFB" w:rsidRPr="00992414" w:rsidRDefault="008B6AFB" w:rsidP="001A7F08">
            <w:pPr>
              <w:spacing w:before="120" w:after="120"/>
              <w:rPr>
                <w:sz w:val="20"/>
              </w:rPr>
            </w:pPr>
            <w:r w:rsidRPr="00992414">
              <w:rPr>
                <w:sz w:val="20"/>
              </w:rPr>
              <w:t>EFDD</w:t>
            </w:r>
          </w:p>
        </w:tc>
        <w:tc>
          <w:tcPr>
            <w:tcW w:w="7371" w:type="dxa"/>
            <w:shd w:val="clear" w:color="auto" w:fill="FFFFFF"/>
          </w:tcPr>
          <w:p w14:paraId="712C4F13" w14:textId="6EB15850" w:rsidR="008B6AFB" w:rsidRPr="00992414" w:rsidRDefault="008B6AFB" w:rsidP="001A7F08">
            <w:pPr>
              <w:spacing w:before="120" w:after="120"/>
              <w:rPr>
                <w:sz w:val="20"/>
              </w:rPr>
            </w:pPr>
            <w:r w:rsidRPr="00992414">
              <w:rPr>
                <w:sz w:val="20"/>
              </w:rPr>
              <w:t>Marco Valli</w:t>
            </w:r>
          </w:p>
        </w:tc>
      </w:tr>
    </w:tbl>
    <w:p w14:paraId="1F906A9A" w14:textId="77777777" w:rsidR="008B6AFB" w:rsidRPr="00992414" w:rsidRDefault="008B6AFB" w:rsidP="001A7F08">
      <w:pPr>
        <w:pStyle w:val="Normal12"/>
      </w:pPr>
    </w:p>
    <w:p w14:paraId="02565A82" w14:textId="7937E102" w:rsidR="008B6AFB" w:rsidRPr="00992414" w:rsidRDefault="008B6AFB" w:rsidP="001A7F08">
      <w:r w:rsidRPr="00992414">
        <w:t>Vysvetlenie použitých znakov:</w:t>
      </w:r>
    </w:p>
    <w:p w14:paraId="45DAE86B" w14:textId="36C53023" w:rsidR="008B6AFB" w:rsidRPr="00992414" w:rsidRDefault="008B6AFB" w:rsidP="001A7F08">
      <w:pPr>
        <w:pStyle w:val="NormalTabs"/>
      </w:pPr>
      <w:r w:rsidRPr="00992414">
        <w:t>+</w:t>
      </w:r>
      <w:r w:rsidRPr="00992414">
        <w:tab/>
        <w:t>:</w:t>
      </w:r>
      <w:r w:rsidRPr="00992414">
        <w:tab/>
        <w:t>za</w:t>
      </w:r>
    </w:p>
    <w:p w14:paraId="7A133DBE" w14:textId="057C01C7" w:rsidR="008B6AFB" w:rsidRPr="00992414" w:rsidRDefault="008B6AFB" w:rsidP="001A7F08">
      <w:pPr>
        <w:pStyle w:val="NormalTabs"/>
      </w:pPr>
      <w:r w:rsidRPr="00992414">
        <w:t>-</w:t>
      </w:r>
      <w:r w:rsidRPr="00992414">
        <w:tab/>
        <w:t>:</w:t>
      </w:r>
      <w:r w:rsidRPr="00992414">
        <w:tab/>
        <w:t>proti</w:t>
      </w:r>
    </w:p>
    <w:p w14:paraId="4F348FF1" w14:textId="65DB958F" w:rsidR="008B6AFB" w:rsidRPr="00992414" w:rsidRDefault="008B6AFB" w:rsidP="001A7F08">
      <w:pPr>
        <w:pStyle w:val="NormalTabs"/>
      </w:pPr>
      <w:r w:rsidRPr="00992414">
        <w:t>0</w:t>
      </w:r>
      <w:r w:rsidRPr="00992414">
        <w:tab/>
        <w:t>:</w:t>
      </w:r>
      <w:r w:rsidRPr="00992414">
        <w:tab/>
        <w:t>zdržali sa hlasovania</w:t>
      </w:r>
    </w:p>
    <w:p w14:paraId="2E82FC60" w14:textId="77777777" w:rsidR="008B6AFB" w:rsidRPr="00992414" w:rsidRDefault="008B6AFB" w:rsidP="001A7F08"/>
    <w:bookmarkEnd w:id="7"/>
    <w:p w14:paraId="2CA18CF2" w14:textId="62857942" w:rsidR="00A0607A" w:rsidRPr="00992414" w:rsidRDefault="00A0607A" w:rsidP="008B6AFB"/>
    <w:sectPr w:rsidR="00A0607A" w:rsidRPr="00992414" w:rsidSect="00992414">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A51EA" w14:textId="77777777" w:rsidR="00687A44" w:rsidRPr="00992414" w:rsidRDefault="00687A44">
      <w:r w:rsidRPr="00992414">
        <w:separator/>
      </w:r>
    </w:p>
  </w:endnote>
  <w:endnote w:type="continuationSeparator" w:id="0">
    <w:p w14:paraId="2BA38BF2" w14:textId="77777777" w:rsidR="00687A44" w:rsidRPr="00992414" w:rsidRDefault="00687A44">
      <w:r w:rsidRPr="009924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0CA23" w14:textId="77777777" w:rsidR="00992414" w:rsidRPr="00992414" w:rsidRDefault="00992414" w:rsidP="00992414">
    <w:pPr>
      <w:pStyle w:val="Footer"/>
    </w:pPr>
    <w:r w:rsidRPr="00992414">
      <w:t>PE</w:t>
    </w:r>
    <w:r w:rsidRPr="00992414">
      <w:rPr>
        <w:rStyle w:val="HideTWBExt"/>
        <w:noProof w:val="0"/>
      </w:rPr>
      <w:t>&lt;NoPE&gt;</w:t>
    </w:r>
    <w:r w:rsidRPr="00992414">
      <w:t>610.703</w:t>
    </w:r>
    <w:r w:rsidRPr="00992414">
      <w:rPr>
        <w:rStyle w:val="HideTWBExt"/>
        <w:noProof w:val="0"/>
      </w:rPr>
      <w:t>&lt;/NoPE&gt;&lt;Version&gt;</w:t>
    </w:r>
    <w:r w:rsidRPr="00992414">
      <w:t>v02-00</w:t>
    </w:r>
    <w:r w:rsidRPr="00992414">
      <w:rPr>
        <w:rStyle w:val="HideTWBExt"/>
        <w:noProof w:val="0"/>
      </w:rPr>
      <w:t>&lt;/Version&gt;</w:t>
    </w:r>
    <w:r w:rsidRPr="00992414">
      <w:tab/>
    </w:r>
    <w:r w:rsidRPr="00992414">
      <w:fldChar w:fldCharType="begin"/>
    </w:r>
    <w:r w:rsidRPr="00992414">
      <w:instrText xml:space="preserve"> PAGE  \* MERGEFORMAT </w:instrText>
    </w:r>
    <w:r w:rsidRPr="00992414">
      <w:fldChar w:fldCharType="separate"/>
    </w:r>
    <w:r w:rsidR="00D26774">
      <w:rPr>
        <w:noProof/>
      </w:rPr>
      <w:t>2</w:t>
    </w:r>
    <w:r w:rsidRPr="00992414">
      <w:fldChar w:fldCharType="end"/>
    </w:r>
    <w:r w:rsidRPr="00992414">
      <w:t>/</w:t>
    </w:r>
    <w:fldSimple w:instr=" NUMPAGES  \* MERGEFORMAT ">
      <w:r w:rsidR="00D26774">
        <w:rPr>
          <w:noProof/>
        </w:rPr>
        <w:t>54</w:t>
      </w:r>
    </w:fldSimple>
    <w:r w:rsidRPr="00992414">
      <w:tab/>
    </w:r>
    <w:r w:rsidRPr="00992414">
      <w:rPr>
        <w:rStyle w:val="HideTWBExt"/>
        <w:noProof w:val="0"/>
      </w:rPr>
      <w:t>&lt;PathFdR&gt;</w:t>
    </w:r>
    <w:r w:rsidRPr="00992414">
      <w:t>RR\1141605SK.docx</w:t>
    </w:r>
    <w:r w:rsidRPr="00992414">
      <w:rPr>
        <w:rStyle w:val="HideTWBExt"/>
        <w:noProof w:val="0"/>
      </w:rPr>
      <w:t>&lt;/PathFdR&gt;</w:t>
    </w:r>
  </w:p>
  <w:p w14:paraId="33139F5F" w14:textId="73998404" w:rsidR="00687A44" w:rsidRPr="00992414" w:rsidRDefault="00992414" w:rsidP="00992414">
    <w:pPr>
      <w:pStyle w:val="Footer2"/>
    </w:pPr>
    <w:r w:rsidRPr="00992414">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8B7E9" w14:textId="77777777" w:rsidR="00992414" w:rsidRPr="00992414" w:rsidRDefault="00992414" w:rsidP="00992414">
    <w:pPr>
      <w:pStyle w:val="Footer"/>
    </w:pPr>
    <w:r w:rsidRPr="00992414">
      <w:rPr>
        <w:rStyle w:val="HideTWBExt"/>
        <w:noProof w:val="0"/>
      </w:rPr>
      <w:t>&lt;PathFdR&gt;</w:t>
    </w:r>
    <w:r w:rsidRPr="00992414">
      <w:t>RR\1141605SK.docx</w:t>
    </w:r>
    <w:r w:rsidRPr="00992414">
      <w:rPr>
        <w:rStyle w:val="HideTWBExt"/>
        <w:noProof w:val="0"/>
      </w:rPr>
      <w:t>&lt;/PathFdR&gt;</w:t>
    </w:r>
    <w:r w:rsidRPr="00992414">
      <w:tab/>
    </w:r>
    <w:r w:rsidRPr="00992414">
      <w:fldChar w:fldCharType="begin"/>
    </w:r>
    <w:r w:rsidRPr="00992414">
      <w:instrText xml:space="preserve"> PAGE  \* MERGEFORMAT </w:instrText>
    </w:r>
    <w:r w:rsidRPr="00992414">
      <w:fldChar w:fldCharType="separate"/>
    </w:r>
    <w:r w:rsidR="00D26774">
      <w:rPr>
        <w:noProof/>
      </w:rPr>
      <w:t>3</w:t>
    </w:r>
    <w:r w:rsidRPr="00992414">
      <w:fldChar w:fldCharType="end"/>
    </w:r>
    <w:r w:rsidRPr="00992414">
      <w:t>/</w:t>
    </w:r>
    <w:fldSimple w:instr=" NUMPAGES  \* MERGEFORMAT ">
      <w:r w:rsidR="00D26774">
        <w:rPr>
          <w:noProof/>
        </w:rPr>
        <w:t>54</w:t>
      </w:r>
    </w:fldSimple>
    <w:r w:rsidRPr="00992414">
      <w:tab/>
      <w:t>PE</w:t>
    </w:r>
    <w:r w:rsidRPr="00992414">
      <w:rPr>
        <w:rStyle w:val="HideTWBExt"/>
        <w:noProof w:val="0"/>
      </w:rPr>
      <w:t>&lt;NoPE&gt;</w:t>
    </w:r>
    <w:r w:rsidRPr="00992414">
      <w:t>610.703</w:t>
    </w:r>
    <w:r w:rsidRPr="00992414">
      <w:rPr>
        <w:rStyle w:val="HideTWBExt"/>
        <w:noProof w:val="0"/>
      </w:rPr>
      <w:t>&lt;/NoPE&gt;&lt;Version&gt;</w:t>
    </w:r>
    <w:r w:rsidRPr="00992414">
      <w:t>v02-00</w:t>
    </w:r>
    <w:r w:rsidRPr="00992414">
      <w:rPr>
        <w:rStyle w:val="HideTWBExt"/>
        <w:noProof w:val="0"/>
      </w:rPr>
      <w:t>&lt;/Version&gt;</w:t>
    </w:r>
  </w:p>
  <w:p w14:paraId="61B213F0" w14:textId="73CF66D4" w:rsidR="00687A44" w:rsidRPr="00992414" w:rsidRDefault="00992414" w:rsidP="00992414">
    <w:pPr>
      <w:pStyle w:val="Footer2"/>
    </w:pPr>
    <w:r w:rsidRPr="00992414">
      <w:tab/>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78D83" w14:textId="77777777" w:rsidR="00992414" w:rsidRPr="00992414" w:rsidRDefault="00992414" w:rsidP="00992414">
    <w:pPr>
      <w:pStyle w:val="Footer"/>
    </w:pPr>
    <w:r w:rsidRPr="00992414">
      <w:rPr>
        <w:rStyle w:val="HideTWBExt"/>
        <w:noProof w:val="0"/>
      </w:rPr>
      <w:t>&lt;PathFdR&gt;</w:t>
    </w:r>
    <w:r w:rsidRPr="00992414">
      <w:t>RR\1141605SK.docx</w:t>
    </w:r>
    <w:r w:rsidRPr="00992414">
      <w:rPr>
        <w:rStyle w:val="HideTWBExt"/>
        <w:noProof w:val="0"/>
      </w:rPr>
      <w:t>&lt;/PathFdR&gt;</w:t>
    </w:r>
    <w:r w:rsidRPr="00992414">
      <w:tab/>
    </w:r>
    <w:r w:rsidRPr="00992414">
      <w:tab/>
      <w:t>PE</w:t>
    </w:r>
    <w:r w:rsidRPr="00992414">
      <w:rPr>
        <w:rStyle w:val="HideTWBExt"/>
        <w:noProof w:val="0"/>
      </w:rPr>
      <w:t>&lt;NoPE&gt;</w:t>
    </w:r>
    <w:r w:rsidRPr="00992414">
      <w:t>610.703</w:t>
    </w:r>
    <w:r w:rsidRPr="00992414">
      <w:rPr>
        <w:rStyle w:val="HideTWBExt"/>
        <w:noProof w:val="0"/>
      </w:rPr>
      <w:t>&lt;/NoPE&gt;&lt;Version&gt;</w:t>
    </w:r>
    <w:r w:rsidRPr="00992414">
      <w:t>v02-00</w:t>
    </w:r>
    <w:r w:rsidRPr="00992414">
      <w:rPr>
        <w:rStyle w:val="HideTWBExt"/>
        <w:noProof w:val="0"/>
      </w:rPr>
      <w:t>&lt;/Version&gt;</w:t>
    </w:r>
  </w:p>
  <w:p w14:paraId="4349B067" w14:textId="5E58A8C5" w:rsidR="00687A44" w:rsidRPr="00992414" w:rsidRDefault="00992414" w:rsidP="00992414">
    <w:pPr>
      <w:pStyle w:val="Footer2"/>
      <w:tabs>
        <w:tab w:val="center" w:pos="4535"/>
        <w:tab w:val="right" w:pos="9921"/>
      </w:tabs>
    </w:pPr>
    <w:r w:rsidRPr="00992414">
      <w:t>SK</w:t>
    </w:r>
    <w:r w:rsidRPr="00992414">
      <w:tab/>
    </w:r>
    <w:r w:rsidRPr="00992414">
      <w:rPr>
        <w:b w:val="0"/>
        <w:i/>
        <w:color w:val="C0C0C0"/>
        <w:sz w:val="22"/>
      </w:rPr>
      <w:t>Zjednotení v rozmanitosti</w:t>
    </w:r>
    <w:r w:rsidRPr="00992414">
      <w:tab/>
      <w:t>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35B0B" w14:textId="77777777" w:rsidR="00687A44" w:rsidRPr="00992414" w:rsidRDefault="00687A44">
      <w:r w:rsidRPr="00992414">
        <w:separator/>
      </w:r>
    </w:p>
  </w:footnote>
  <w:footnote w:type="continuationSeparator" w:id="0">
    <w:p w14:paraId="6FAEE14E" w14:textId="77777777" w:rsidR="00687A44" w:rsidRPr="00992414" w:rsidRDefault="00687A44">
      <w:r w:rsidRPr="00992414">
        <w:continuationSeparator/>
      </w:r>
    </w:p>
  </w:footnote>
  <w:footnote w:id="1">
    <w:p w14:paraId="4BD9F839" w14:textId="60691170" w:rsidR="00687A44" w:rsidRPr="00992414" w:rsidRDefault="00687A44">
      <w:pPr>
        <w:pStyle w:val="FootnoteText"/>
        <w:rPr>
          <w:sz w:val="24"/>
        </w:rPr>
      </w:pPr>
      <w:r w:rsidRPr="00992414">
        <w:rPr>
          <w:rStyle w:val="FootnoteReference"/>
          <w:sz w:val="24"/>
        </w:rPr>
        <w:footnoteRef/>
      </w:r>
      <w:r w:rsidRPr="00992414">
        <w:rPr>
          <w:sz w:val="24"/>
        </w:rPr>
        <w:t xml:space="preserve"> </w:t>
      </w:r>
      <w:r w:rsidRPr="00992414">
        <w:rPr>
          <w:sz w:val="24"/>
        </w:rPr>
        <w:tab/>
        <w:t>Ú. v. EÚ C 246, 28.7.2017, s.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9FF26" w14:textId="77777777" w:rsidR="00D26774" w:rsidRDefault="00D26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961DB" w14:textId="77777777" w:rsidR="00D26774" w:rsidRDefault="00D267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A80C9" w14:textId="77777777" w:rsidR="00D26774" w:rsidRDefault="00D26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2"/>
    <w:docVar w:name="COMKEY" w:val="CJ12"/>
    <w:docVar w:name="CopyToNetwork" w:val="-1"/>
    <w:docVar w:name="DOCDT" w:val="08/12/2017"/>
    <w:docVar w:name="DOCMNU" w:val=" 1"/>
    <w:docVar w:name="EPSTATMNU" w:val=" 5"/>
    <w:docVar w:name="INSTITUTIONSMNU" w:val=" 1"/>
    <w:docVar w:name="JURI1MNU" w:val=" 2"/>
    <w:docVar w:name="JURI2MNU" w:val=" 2"/>
    <w:docVar w:name="LastEditedSection" w:val=" 1"/>
    <w:docVar w:name="OTHERSTATMNU" w:val=" 4"/>
    <w:docVar w:name="PARLIAMENTSMNU" w:val=" 1"/>
    <w:docVar w:name="PARLMNU" w:val=" 2"/>
    <w:docVar w:name="RECONSULT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577819 HideTWBExt;}{\*\cs16 \additive \v\cf15 \spriority0 \styrsid14577819 HideTWBInt;}{\s17\ql \li0\ri0\sa120\nowidctlpar\wrapdefault\aspalpha\aspnum\faauto\adjustright\rin0\lin0\itap0 _x000d__x000a_\rtlch\fcs1 \af0\afs20\alang1025 \ltrch\fcs0 \fs24\lang2057\langfe2057\cgrid\langnp2057\langfenp2057 \sbasedon0 \snext17 \slink18 \spriority0 \styrsid14577819 Normal6;}{\*\cs18 \additive \fs24 \slink17 \slocked \spriority0 \styrsid14577819 Normal6 Char;}{_x000d__x000a_\s19\ql \li0\ri0\nowidctlpar\wrapdefault\aspalpha\aspnum\faauto\adjustright\rin0\lin0\itap0 \rtlch\fcs1 \af0\afs20\alang1025 \ltrch\fcs0 \b\fs24\lang2057\langfe2057\cgrid\langnp2057\langfenp2057 \sbasedon0 \snext19 \slink20 \spriority0 \styrsid14577819 _x000d__x000a_NormalBold;}{\*\cs20 \additive \b\fs24 \slink19 \slocked \spriority0 \styrsid14577819 NormalBold Char;}{\s21\ql \li0\ri0\sb240\nowidctlpar\wrapdefault\aspalpha\aspnum\faauto\adjustright\rin0\lin0\itap0 \rtlch\fcs1 \af0\afs20\alang1025 \ltrch\fcs0 _x000d__x000a_\i\fs24\lang2057\langfe2057\cgrid\langnp2057\langfenp2057 \sbasedon0 \snext21 \spriority0 \styrsid14577819 Normal12Italic;}{\s22\qc \li0\ri0\sb240\nowidctlpar\wrapdefault\aspalpha\aspnum\faauto\adjustright\rin0\lin0\itap0 \rtlch\fcs1 \af0\afs20\alang1025 _x000d__x000a_\ltrch\fcs0 \i\fs24\lang2057\langfe2057\cgrid\langnp2057\langfenp2057 \sbasedon0 \snext22 \spriority0 \styrsid14577819 CrossRef;}{\s23\qc \li0\ri0\sb240\keepn\nowidctlpar\wrapdefault\aspalpha\aspnum\faauto\adjustright\rin0\lin0\itap0 \rtlch\fcs1 _x000d__x000a_\af0\afs20\alang1025 \ltrch\fcs0 \i\fs24\lang2057\langfe2057\cgrid\langnp2057\langfenp2057 \sbasedon0 \snext0 \spriority0 \styrsid14577819 JustificationTitle;}{_x000d__x000a_\s24\qc \li0\ri0\sa240\nowidctlpar\wrapdefault\aspalpha\aspnum\faauto\adjustright\rin0\lin0\itap0 \rtlch\fcs1 \af0\afs20\alang1025 \ltrch\fcs0 \i\fs24\lang2057\langfe2057\cgrid\langnp2057\langfenp2057 \sbasedon0 \snext24 \spriority0 \styrsid14577819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14577819 AMNumberTabs;}{_x000d__x000a_\s26\ql \li0\ri0\sb240\nowidctlpar\wrapdefault\aspalpha\aspnum\faauto\adjustright\rin0\lin0\itap0 \rtlch\fcs1 \af0\afs20\alang1025 \ltrch\fcs0 \b\fs24\lang2057\langfe2057\cgrid\langnp2057\langfenp2057 \sbasedon0 \snext26 \spriority0 \styrsid14577819 _x000d__x000a_NormalBold12b;}}{\*\rsidtbl \rsid24658\rsid735077\rsid2892074\rsid4666813\rsid6641733\rsid7233159\rsid9636012\rsid11215221\rsid12154954\rsid14424199\rsid14577819\rsid15204470\rsid15285974\rsid15950462\rsid16324206\rsid16662270}{\mmathPr\mmathFont34_x000d__x000a_\mbrkBin0\mbrkBinSub0\msmallFrac0\mdispDef1\mlMargin0\mrMargin0\mdefJc1\mwrapIndent1440\mintLim0\mnaryLim1}{\info{\author ESPOSITO Odila}{\operator ESPOSITO Odila}{\creatim\yr2017\mo11\dy28\hr9\min17}{\revtim\yr2017\mo11\dy28\hr9\min17}{\version1}_x000d__x000a_{\edmins0}{\nofpages1}{\nofwords100}{\nofchars530}{\*\company European Parliament}{\nofcharsws623}{\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577819\utinl \fet0{\*\wgrffmtfilter 013f}\ilfomacatclnup0{\*\template C:\\Users\\OESPOS~1\\AppData\\Local\\Temp\\Blank1.dot}{\*\ftnsep \ltrpar \pard\plain \ltrpar_x000d__x000a_\ql \li0\ri0\widctlpar\wrapdefault\aspalpha\aspnum\faauto\adjustright\rin0\lin0\itap0 \rtlch\fcs1 \af0\afs20\alang1025 \ltrch\fcs0 \fs24\lang2057\langfe2057\cgrid\langnp2057\langfenp2057 {\rtlch\fcs1 \af0 \ltrch\fcs0 \insrsid7233159 \chftnsep _x000d__x000a_\par }}{\*\ftnsepc \ltrpar \pard\plain \ltrpar\ql \li0\ri0\widctlpar\wrapdefault\aspalpha\aspnum\faauto\adjustright\rin0\lin0\itap0 \rtlch\fcs1 \af0\afs20\alang1025 \ltrch\fcs0 \fs24\lang2057\langfe2057\cgrid\langnp2057\langfenp2057 {\rtlch\fcs1 \af0 _x000d__x000a_\ltrch\fcs0 \insrsid7233159 \chftnsepc _x000d__x000a_\par }}{\*\aftnsep \ltrpar \pard\plain \ltrpar\ql \li0\ri0\widctlpar\wrapdefault\aspalpha\aspnum\faauto\adjustright\rin0\lin0\itap0 \rtlch\fcs1 \af0\afs20\alang1025 \ltrch\fcs0 \fs24\lang2057\langfe2057\cgrid\langnp2057\langfenp2057 {\rtlch\fcs1 \af0 _x000d__x000a_\ltrch\fcs0 \insrsid7233159 \chftnsep _x000d__x000a_\par }}{\*\aftnsepc \ltrpar \pard\plain \ltrpar\ql \li0\ri0\widctlpar\wrapdefault\aspalpha\aspnum\faauto\adjustright\rin0\lin0\itap0 \rtlch\fcs1 \af0\afs20\alang1025 \ltrch\fcs0 \fs24\lang2057\langfe2057\cgrid\langnp2057\langfenp2057 {\rtlch\fcs1 \af0 _x000d__x000a_\ltrch\fcs0 \insrsid723315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4577819\charrsid15825852 {\*\bkmkstart restart}&lt;Amend&gt;}{_x000d__x000a_\rtlch\fcs1 \af0 \ltrch\fcs0 \insrsid14577819\charrsid15825852 Amendment\tab \tab }{\rtlch\fcs1 \af0 \ltrch\fcs0 \cs15\b0\v\f1\fs20\cf9\insrsid14577819\charrsid15825852 &lt;NumAm&gt;}{\rtlch\fcs1 \af0 \ltrch\fcs0 \insrsid14577819\charrsid15825852 #}{_x000d__x000a_\rtlch\fcs1 \af0 \ltrch\fcs0 \cs16\v\cf15\insrsid14577819\charrsid15825852 ENMIENDA@NRAM@}{\rtlch\fcs1 \af0 \ltrch\fcs0 \insrsid14577819\charrsid15825852 #}{\rtlch\fcs1 \af0 \ltrch\fcs0 \cs15\b0\v\f1\fs20\cf9\insrsid14577819\charrsid15825852 &lt;/NumAm&gt;}{_x000d__x000a_\rtlch\fcs1 \af0 \ltrch\fcs0 \insrsid14577819\charrsid15825852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4577819\charrsid15825852 &lt;DocAmend&gt;}{\rtlch\fcs1 \af0 \ltrch\fcs0 \insrsid14577819\charrsid15825852 Proposal for a #}{\rtlch\fcs1 \af0 \ltrch\fcs0 \cs16\v\cf15\insrsid14577819\charrsid15825852 _x000d__x000a_MNU[DOC1][DOC2][DOC3]@DOCMSG@DOCMNU}{\rtlch\fcs1 \af0 \ltrch\fcs0 \insrsid14577819\charrsid15825852 ##}{\rtlch\fcs1 \af0 \ltrch\fcs0 \cs16\v\cf15\insrsid14577819\charrsid15825852 MNU[AMACTYES][NOTAPP]@CHOICE@AMACTMNU}{\rtlch\fcs1 \af0 \ltrch\fcs0 _x000d__x000a_\insrsid14577819\charrsid15825852 #}{\rtlch\fcs1 \af0 \ltrch\fcs0 \cs15\b0\v\f1\fs20\cf9\insrsid14577819\charrsid15825852 &lt;/DocAmend&gt;}{\rtlch\fcs1 \af0 \ltrch\fcs0 \insrsid14577819\charrsid15825852 _x000d__x000a_\par }\pard\plain \ltrpar\s19\ql \li0\ri0\keepn\nowidctlpar\wrapdefault\aspalpha\aspnum\faauto\adjustright\rin0\lin0\itap0\pararsid14315216 \rtlch\fcs1 \af0\afs20\alang1025 \ltrch\fcs0 \b\fs24\lang2057\langfe2057\cgrid\langnp2057\langfenp2057 {\rtlch\fcs1 _x000d__x000a_\af0 \ltrch\fcs0 \cs15\b0\v\f1\fs20\cf9\insrsid14577819\charrsid15825852 &lt;Article&gt;}{\rtlch\fcs1 \af0 \ltrch\fcs0 \insrsid14577819\charrsid15825852 #}{\rtlch\fcs1 \af0 \ltrch\fcs0 \cs16\v\cf15\insrsid14577819\charrsid15825852 _x000d__x000a_MNU[AMACTPARTYES][AMACTPARTNO]@CHOICE@AMACTMNU}{\rtlch\fcs1 \af0 \ltrch\fcs0 \insrsid14577819\charrsid15825852 #}{\rtlch\fcs1 \af0 \ltrch\fcs0 \cs15\b0\v\f1\fs20\cf9\insrsid14577819\charrsid15825852 &lt;/Article&gt;}{\rtlch\fcs1 \af0 \ltrch\fcs0 _x000d__x000a_\insrsid14577819\charrsid15825852 _x000d__x000a_\par }\pard\plain \ltrpar\ql \li0\ri0\keepn\widctlpar\wrapdefault\aspalpha\aspnum\faauto\adjustright\rin0\lin0\itap0\pararsid1856914 \rtlch\fcs1 \af0\afs20\alang1025 \ltrch\fcs0 \fs24\lang2057\langfe2057\cgrid\langnp2057\langfenp2057 {\rtlch\fcs1 \af0 _x000d__x000a_\ltrch\fcs0 \cs15\v\f1\fs20\cf9\insrsid14577819\charrsid15825852 &lt;DocAmend2&gt;&lt;OptDel&gt;}{\rtlch\fcs1 \af0 \ltrch\fcs0 \insrsid14577819\charrsid15825852 #}{\rtlch\fcs1 \af0 \ltrch\fcs0 \cs16\v\cf15\insrsid14577819\charrsid15825852 MNU[OPTNRACT_x000d__x000a_YES][NOTAPP]@CHOICE@AMACTMNU}{\rtlch\fcs1 \af0 \ltrch\fcs0 \insrsid14577819\charrsid15825852 #}{\rtlch\fcs1 \af0 \ltrch\fcs0 \cs15\v\f1\fs20\cf9\insrsid14577819\charrsid15825852 &lt;/OptDel&gt;&lt;/DocAmend2&gt;}{\rtlch\fcs1 \af0 \ltrch\fcs0 _x000d__x000a_\insrsid14577819\charrsid15825852 _x000d__x000a_\par }\pard \ltrpar\ql \li0\ri0\widctlpar\wrapdefault\aspalpha\aspnum\faauto\adjustright\rin0\lin0\itap0\pararsid2517430 {\rtlch\fcs1 \af0 \ltrch\fcs0 \cs15\v\f1\fs20\cf9\insrsid14577819\charrsid15825852 &lt;Article2&gt;&lt;OptDel&gt;}{\rtlch\fcs1 \af0 \ltrch\fcs0 _x000d__x000a_\insrsid14577819\charrsid15825852 #}{\rtlch\fcs1 \af0 \ltrch\fcs0 \cs16\v\cf15\insrsid14577819\charrsid15825852 MNU[OPTACTPARTYES][NOTAPP]@CHOICE@AMACTMNU}{\rtlch\fcs1 \af0 \ltrch\fcs0 \insrsid14577819\charrsid15825852 #}{\rtlch\fcs1 \af0 \ltrch\fcs0 _x000d__x000a_\cs15\v\f1\fs20\cf9\insrsid14577819\charrsid15825852 &lt;/OptDel&gt;&lt;/Article2&gt;}{\rtlch\fcs1 \af0 \ltrch\fcs0 \insrsid14577819\charrsid15825852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4577819\charrsid15825852 _x000d__x000a_\cell }\pard \ltrpar\ql \li0\ri0\widctlpar\intbl\wrapdefault\aspalpha\aspnum\faauto\adjustright\rin0\lin0 {\rtlch\fcs1 \af0 \ltrch\fcs0 \insrsid14577819\charrsid15825852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4577819\charrsid15825852 #}{\rtlch\fcs1 \af0 \ltrch\fcs0 \cs16\v\cf15\insrsid14577819\charrsid15825852 MNU[OPTLEFTAMACT][LEFTPROP]@CHOICE@AMACTMNU}{\rtlch\fcs1 \af0 \ltrch\fcs0 \insrsid14577819\charrsid15825852 #_x000d__x000a_\cell Amendment\cell }\pard\plain \ltrpar\ql \li0\ri0\widctlpar\intbl\wrapdefault\aspalpha\aspnum\faauto\adjustright\rin0\lin0 \rtlch\fcs1 \af0\afs20\alang1025 \ltrch\fcs0 \fs24\lang2057\langfe2057\cgrid\langnp2057\langfenp2057 {\rtlch\fcs1 \af0 _x000d__x000a_\ltrch\fcs0 \insrsid14577819\charrsid15825852 \trowd \ltrrow\ts11\trqc\trgaph340\trleft-340\trftsWidth3\trwWidth9752\trftsWidthB3\trftsWidthA3\trpaddl340\trpaddr340\trpaddfl3\trpaddfr3\tblrsid2517430\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14577819\charrsid15825852 ##\cell ##}{\rtlch\fcs1 \af0\afs24 \ltrch\fcs0 \insrsid14577819\charrsid15825852 \cell }\pard\plain \ltrpar\ql \li0\ri0\widctlpar\intbl\wrapdefault\aspalpha\aspnum\faauto\adjustright\rin0\lin0 \rtlch\fcs1 _x000d__x000a_\af0\afs20\alang1025 \ltrch\fcs0 \fs24\lang2057\langfe2057\cgrid\langnp2057\langfenp2057 {\rtlch\fcs1 \af0 \ltrch\fcs0 \insrsid14577819\charrsid15825852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2517430 \rtlch\fcs1 \af0\afs20\alang1025 \ltrch\fcs0 \i\fs24\lang2057\langfe2057\cgrid\langnp2057\langfenp2057 {\rtlch\fcs1 \af0 \ltrch\fcs0 _x000d__x000a_\cs15\i0\v\f1\fs20\cf9\insrsid14577819\charrsid15825852 &lt;OptDel&gt;}{\rtlch\fcs1 \af0 \ltrch\fcs0 \insrsid14577819\charrsid15825852 #}{\rtlch\fcs1 \af0 \ltrch\fcs0 \cs16\v\cf15\insrsid14577819\charrsid15825852 MNU[CROSSREFNO][CROSSREFYES]@CHOICE@}{_x000d__x000a_\rtlch\fcs1 \af0 \ltrch\fcs0 \insrsid14577819\charrsid15825852 #}{\rtlch\fcs1 \af0 \ltrch\fcs0 \cs15\i0\v\f1\fs20\cf9\insrsid14577819\charrsid15825852 &lt;/OptDel&gt;}{\rtlch\fcs1 \af0 \ltrch\fcs0 \insrsid14577819\charrsid15825852 _x000d__x000a_\par }\pard\plain \ltrpar\s23\qc \li0\ri0\sb240\keepn\nowidctlpar\wrapdefault\aspalpha\aspnum\faauto\adjustright\rin0\lin0\itap0\pararsid2517430 \rtlch\fcs1 \af0\afs20\alang1025 \ltrch\fcs0 \i\fs24\lang2057\langfe2057\cgrid\langnp2057\langfenp2057 {_x000d__x000a_\rtlch\fcs1 \af0 \ltrch\fcs0 \cs15\i0\v\f1\fs20\cf9\insrsid14577819\charrsid15825852 &lt;TitreJust&gt;}{\rtlch\fcs1 \af0 \ltrch\fcs0 \insrsid14577819\charrsid15825852 Justification}{\rtlch\fcs1 \af0 \ltrch\fcs0 _x000d__x000a_\cs15\i0\v\f1\fs20\cf9\insrsid14577819\charrsid15825852 &lt;/TitreJust&gt;}{\rtlch\fcs1 \af0 \ltrch\fcs0 \insrsid14577819\charrsid15825852 _x000d__x000a_\par }\pard\plain \ltrpar\s21\ql \li0\ri0\sb240\nowidctlpar\wrapdefault\aspalpha\aspnum\faauto\adjustright\rin0\lin0\itap0\pararsid2517430 \rtlch\fcs1 \af0\afs20\alang1025 \ltrch\fcs0 \i\fs24\lang2057\langfe2057\cgrid\langnp2057\langfenp2057 {\rtlch\fcs1 \af0 _x000d__x000a_\ltrch\fcs0 \cs15\i0\v\f1\fs20\cf9\insrsid14577819\charrsid15825852 &lt;OptDelPrev&gt;}{\rtlch\fcs1 \af0 \ltrch\fcs0 \insrsid14577819\charrsid15825852 #}{\rtlch\fcs1 \af0 \ltrch\fcs0 \cs16\v\cf15\insrsid14577819\charrsid15825852 _x000d__x000a_MNU[TEXTJUSTYES][TEXTJUSTNO]@CHOICE@}{\rtlch\fcs1 \af0 \ltrch\fcs0 \insrsid14577819\charrsid15825852 #}{\rtlch\fcs1 \af0 \ltrch\fcs0 \cs15\i0\v\f1\fs20\cf9\insrsid14577819\charrsid15825852 &lt;/OptDelPrev&gt;}{\rtlch\fcs1 \af0 \ltrch\fcs0 _x000d__x000a_\insrsid14577819\charrsid15825852 _x000d__x000a_\par }\pard\plain \ltrpar\ql \li0\ri0\widctlpar\wrapdefault\aspalpha\aspnum\faauto\adjustright\rin0\lin0\itap0\pararsid16324206 \rtlch\fcs1 \af0\afs20\alang1025 \ltrch\fcs0 \fs24\lang2057\langfe2057\cgrid\langnp2057\langfenp2057 {\rtlch\fcs1 \af0 \ltrch\fcs0 _x000d__x000a_\cs15\v\f1\fs20\cf9\insrsid14577819\charrsid15825852 &lt;/Amend&gt;}{\rtlch\fcs1 \af0 \ltrch\fcs0 \insrsid14577819\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f4_x000d__x000a_d04f216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582085 HideTWBExt;}{\s16\ql \li0\ri0\sa120\nowidctlpar\wrapdefault\aspalpha\aspnum\faauto\adjustright\rin0\lin0\itap0 \rtlch\fcs1 \af0\afs20\alang1025 \ltrch\fcs0 _x000d__x000a_\fs24\lang2057\langfe2057\cgrid\langnp2057\langfenp2057 \sbasedon0 \snext16 \slink17 \spriority0 \styrsid6582085 Normal6;}{\*\cs17 \additive \fs24 \slink16 \slocked \spriority0 \styrsid6582085 Normal6 Char;}{_x000d__x000a_\s18\ql \li0\ri0\nowidctlpar\wrapdefault\aspalpha\aspnum\faauto\adjustright\rin0\lin0\itap0 \rtlch\fcs1 \af0\afs20\alang1025 \ltrch\fcs0 \b\fs24\lang2057\langfe2057\cgrid\langnp2057\langfenp2057 \sbasedon0 \snext18 \slink19 \spriority0 \styrsid6582085 _x000d__x000a_NormalBold;}{\*\cs19 \additive \b\fs24 \slink18 \slocked \spriority0 \styrsid6582085 NormalBold Char;}{\s20\ql \li0\ri0\sb240\nowidctlpar\wrapdefault\aspalpha\aspnum\faauto\adjustright\rin0\lin0\itap0 \rtlch\fcs1 \af0\afs20\alang1025 \ltrch\fcs0 _x000d__x000a_\i\fs24\lang2057\langfe2057\cgrid\langnp2057\langfenp2057 \sbasedon0 \snext20 \spriority0 \styrsid6582085 Normal12Italic;}{\s21\qc \li0\ri0\sb240\nowidctlpar\wrapdefault\aspalpha\aspnum\faauto\adjustright\rin0\lin0\itap0 \rtlch\fcs1 \af0\afs20\alang1025 _x000d__x000a_\ltrch\fcs0 \i\fs24\lang2057\langfe2057\cgrid\langnp2057\langfenp2057 \sbasedon0 \snext21 \spriority0 \styrsid6582085 CrossRef;}{\s22\qc \li0\ri0\sb240\keepn\nowidctlpar\wrapdefault\aspalpha\aspnum\faauto\adjustright\rin0\lin0\itap0 \rtlch\fcs1 _x000d__x000a_\af0\afs20\alang1025 \ltrch\fcs0 \i\fs24\lang2057\langfe2057\cgrid\langnp2057\langfenp2057 \sbasedon0 \snext0 \spriority0 \styrsid6582085 JustificationTitle;}{_x000d__x000a_\s23\qc \li0\ri0\sa240\nowidctlpar\wrapdefault\aspalpha\aspnum\faauto\adjustright\rin0\lin0\itap0 \rtlch\fcs1 \af0\afs20\alang1025 \ltrch\fcs0 \i\fs24\lang2057\langfe2057\cgrid\langnp2057\langfenp2057 \sbasedon0 \snext23 \spriority0 \styrsid6582085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6582085 AMNumberTabs;}{_x000d__x000a_\s25\ql \li0\ri0\sb240\nowidctlpar\wrapdefault\aspalpha\aspnum\faauto\adjustright\rin0\lin0\itap0 \rtlch\fcs1 \af0\afs20\alang1025 \ltrch\fcs0 \b\fs24\lang2057\langfe2057\cgrid\langnp2057\langfenp2057 \sbasedon0 \snext25 \spriority0 \styrsid6582085 _x000d__x000a_NormalBold12b;}}{\*\rsidtbl \rsid24658\rsid735077\rsid2892074\rsid4666813\rsid6582085\rsid6641733\rsid8270654\rsid9636012\rsid11215221\rsid12154954\rsid14424199\rsid15204470\rsid15285974\rsid15950462\rsid16324206\rsid16662270}{\mmathPr\mmathFont34_x000d__x000a_\mbrkBin0\mbrkBinSub0\msmallFrac0\mdispDef1\mlMargin0\mrMargin0\mdefJc1\mwrapIndent1440\mintLim0\mnaryLim1}{\info{\author ESPOSITO Odila}{\operator ESPOSITO Odila}{\creatim\yr2017\mo11\dy28\hr9\min17}{\revtim\yr2017\mo11\dy28\hr9\min17}{\version1}_x000d__x000a_{\edmins0}{\nofpages1}{\nofwords58}{\nofchars309}{\*\company European Parliament}{\nofcharsws363}{\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582085\utinl \fet0{\*\wgrffmtfilter 013f}\ilfomacatclnup0{\*\template C:\\Users\\OESPOS~1\\AppData\\Local\\Temp\\Blank1.dot}{\*\ftnsep \ltrpar \pard\plain \ltrpar_x000d__x000a_\ql \li0\ri0\widctlpar\wrapdefault\aspalpha\aspnum\faauto\adjustright\rin0\lin0\itap0 \rtlch\fcs1 \af0\afs20\alang1025 \ltrch\fcs0 \fs24\lang2057\langfe2057\cgrid\langnp2057\langfenp2057 {\rtlch\fcs1 \af0 \ltrch\fcs0 \insrsid8270654 \chftnsep _x000d__x000a_\par }}{\*\ftnsepc \ltrpar \pard\plain \ltrpar\ql \li0\ri0\widctlpar\wrapdefault\aspalpha\aspnum\faauto\adjustright\rin0\lin0\itap0 \rtlch\fcs1 \af0\afs20\alang1025 \ltrch\fcs0 \fs24\lang2057\langfe2057\cgrid\langnp2057\langfenp2057 {\rtlch\fcs1 \af0 _x000d__x000a_\ltrch\fcs0 \insrsid8270654 \chftnsepc _x000d__x000a_\par }}{\*\aftnsep \ltrpar \pard\plain \ltrpar\ql \li0\ri0\widctlpar\wrapdefault\aspalpha\aspnum\faauto\adjustright\rin0\lin0\itap0 \rtlch\fcs1 \af0\afs20\alang1025 \ltrch\fcs0 \fs24\lang2057\langfe2057\cgrid\langnp2057\langfenp2057 {\rtlch\fcs1 \af0 _x000d__x000a_\ltrch\fcs0 \insrsid8270654 \chftnsep _x000d__x000a_\par }}{\*\aftnsepc \ltrpar \pard\plain \ltrpar\ql \li0\ri0\widctlpar\wrapdefault\aspalpha\aspnum\faauto\adjustright\rin0\lin0\itap0 \rtlch\fcs1 \af0\afs20\alang1025 \ltrch\fcs0 \fs24\lang2057\langfe2057\cgrid\langnp2057\langfenp2057 {\rtlch\fcs1 \af0 _x000d__x000a_\ltrch\fcs0 \insrsid827065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6582085\charrsid4593153 {\*\bkmkstart restart}&lt;Amend&gt;}{_x000d__x000a_\rtlch\fcs1 \af0 \ltrch\fcs0 \insrsid6582085\charrsid4593153 [ZAMENDMENT]\tab \tab }{\rtlch\fcs1 \af0 \ltrch\fcs0 \cs15\b0\v\f1\fs20\cf9\insrsid6582085\charrsid4593153 &lt;NumAm&gt;}{\rtlch\fcs1 \af0 \ltrch\fcs0 \insrsid6582085\charrsid4593153 [ZNRAM]}{_x000d__x000a_\rtlch\fcs1 \af0 \ltrch\fcs0 \cs15\b0\v\f1\fs20\cf9\insrsid6582085\charrsid4593153 &lt;/NumAm&gt;}{\rtlch\fcs1 \af0 \ltrch\fcs0 \insrsid6582085\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6582085\charrsid4593153 &lt;DocAmend&gt;}{\rtlch\fcs1 \af0 \ltrch\fcs0 \insrsid6582085\charrsid4593153 [ZPROPOSAL][ZAMACT]}{\rtlch\fcs1 \af0 \ltrch\fcs0 _x000d__x000a_\cs15\b0\v\f1\fs20\cf9\insrsid6582085\charrsid4593153 &lt;/DocAmend&gt;}{\rtlch\fcs1 \af0 \ltrch\fcs0 \insrsid6582085\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6582085\charrsid4593153 &lt;Article&gt;}{\rtlch\fcs1 \af0 \ltrch\fcs0 \insrsid6582085\charrsid4593153 [ZAMPART]}{\rtlch\fcs1 \af0 \ltrch\fcs0 \cs15\b0\v\f1\fs20\cf9\insrsid6582085\charrsid4593153 &lt;/Article&gt;}{_x000d__x000a_\rtlch\fcs1 \af0 \ltrch\fcs0 \insrsid6582085\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6582085\charrsid4593153 &lt;DocAmend2&gt;&lt;OptDel&gt;}{\rtlch\fcs1 \af0 \ltrch\fcs0 \insrsid6582085\charrsid4593153 [ZNRACT]}{\rtlch\fcs1 \af0 \ltrch\fcs0 \cs15\v\f1\fs20\cf9\insrsid6582085\charrsid4593153 _x000d__x000a_&lt;/OptDel&gt;&lt;/DocAmend2&gt;}{\rtlch\fcs1 \af0 \ltrch\fcs0 \insrsid6582085\charrsid4593153 _x000d__x000a_\par }\pard \ltrpar\ql \li0\ri0\widctlpar\wrapdefault\aspalpha\aspnum\faauto\adjustright\rin0\lin0\itap0\pararsid2517430 {\rtlch\fcs1 \af0 \ltrch\fcs0 \cs15\v\f1\fs20\cf9\insrsid6582085\charrsid4593153 &lt;Article2&gt;&lt;OptDel&gt;}{\rtlch\fcs1 \af0 \ltrch\fcs0 _x000d__x000a_\insrsid6582085\charrsid4593153 [ZACTPART]}{\rtlch\fcs1 \af0 \ltrch\fcs0 \cs15\v\f1\fs20\cf9\insrsid6582085\charrsid4593153 &lt;/OptDel&gt;&lt;/Article2&gt;}{\rtlch\fcs1 \af0 \ltrch\fcs0 \insrsid6582085\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6582085\charrsid4593153 _x000d__x000a_\cell }\pard \ltrpar\ql \li0\ri0\widctlpar\intbl\wrapdefault\aspalpha\aspnum\faauto\adjustright\rin0\lin0 {\rtlch\fcs1 \af0 \ltrch\fcs0 \insrsid6582085\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6582085\charrsid4593153 [ZLEFT]\cell [ZRIGHT]\cell }\pard\plain \ltrpar\ql \li0\ri0\widctlpar\intbl\wrapdefault\aspalpha\aspnum\faauto\adjustright\rin0\lin0 \rtlch\fcs1 \af0\afs20\alang1025 \ltrch\fcs0 _x000d__x000a_\fs24\lang2057\langfe2057\cgrid\langnp2057\langfenp2057 {\rtlch\fcs1 \af0 \ltrch\fcs0 \insrsid6582085\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6582085\charrsid4593153 [ZTEXTL]\cell [ZTEXTR]}{\rtlch\fcs1 \af0\afs24 \ltrch\fcs0 \insrsid6582085\charrsid4593153 \cell }\pard\plain \ltrpar\ql \li0\ri0\widctlpar\intbl\wrapdefault\aspalpha\aspnum\faauto\adjustright\rin0\lin0 \rtlch\fcs1 _x000d__x000a_\af0\afs20\alang1025 \ltrch\fcs0 \fs24\lang2057\langfe2057\cgrid\langnp2057\langfenp2057 {\rtlch\fcs1 \af0 \ltrch\fcs0 \insrsid6582085\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6582085\charrsid4593153 &lt;OptDel&gt;}{\rtlch\fcs1 \af0 \ltrch\fcs0 \insrsid6582085\charrsid4593153 [ZCROSSREF]}{\rtlch\fcs1 \af0 \ltrch\fcs0 \cs15\i0\v\f1\fs20\cf9\insrsid6582085\charrsid4593153 &lt;/OptDel&gt;}{\rtlch\fcs1 \af0 _x000d__x000a_\ltrch\fcs0 \insrsid6582085\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6582085\charrsid4593153 &lt;TitreJust&gt;}{\rtlch\fcs1 \af0 \ltrch\fcs0 \insrsid6582085\charrsid4593153 [ZJUSTIFICATION]}{\rtlch\fcs1 \af0 \ltrch\fcs0 _x000d__x000a_\cs15\i0\v\f1\fs20\cf9\insrsid6582085\charrsid4593153 &lt;/TitreJust&gt;}{\rtlch\fcs1 \af0 \ltrch\fcs0 \insrsid6582085\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6582085\charrsid4593153 &lt;OptDelPrev&gt;}{\rtlch\fcs1 \af0 \ltrch\fcs0 \insrsid6582085\charrsid4593153 [ZTEXTJUST]}{\rtlch\fcs1 \af0 \ltrch\fcs0 \cs15\i0\v\f1\fs20\cf9\insrsid6582085\charrsid4593153 &lt;/OptDelPrev&gt;}{_x000d__x000a_\rtlch\fcs1 \af0 \ltrch\fcs0 \insrsid6582085\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6582085\charrsid4593153 &lt;/Amend&gt;}{\rtlch\fcs1 \af0 \ltrch\fcs0 \insrsid6582085\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98_x000d__x000a_1451216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610"/>
    <w:docVar w:name="TXTAUTHOR" w:val="Mady Delvaux, Juan Fernando López Aguilar"/>
    <w:docVar w:name="TXTLANGUE" w:val="SK"/>
    <w:docVar w:name="TXTLANGUEMIN" w:val="sk"/>
    <w:docVar w:name="TXTNRC" w:val="0001/2017"/>
    <w:docVar w:name="TXTNRCOD" w:val="2016/0413"/>
    <w:docVar w:name="TXTNRCOM" w:val="(2016)0470"/>
    <w:docVar w:name="TXTNRFIRSTAM" w:val="1"/>
    <w:docVar w:name="TXTNRLASTAM" w:val="95"/>
    <w:docVar w:name="TXTNRPE" w:val="610.703"/>
    <w:docVar w:name="TXTPEorAP" w:val="PE"/>
    <w:docVar w:name="TXTROUTE" w:val="RR\1141605SK.docx"/>
    <w:docVar w:name="TXTTITLE" w:val="on controls on cash entering or leaving the Union and repealing Regulation (EC) No 1889/2005"/>
    <w:docVar w:name="TXTVERSION" w:val="02-00"/>
  </w:docVars>
  <w:rsids>
    <w:rsidRoot w:val="00A25AB3"/>
    <w:rsid w:val="00011AAB"/>
    <w:rsid w:val="00012351"/>
    <w:rsid w:val="00015A68"/>
    <w:rsid w:val="00016812"/>
    <w:rsid w:val="0001788C"/>
    <w:rsid w:val="00022C97"/>
    <w:rsid w:val="0002764F"/>
    <w:rsid w:val="00030BA1"/>
    <w:rsid w:val="00054976"/>
    <w:rsid w:val="00055926"/>
    <w:rsid w:val="000577AC"/>
    <w:rsid w:val="000648D4"/>
    <w:rsid w:val="00067353"/>
    <w:rsid w:val="0007659D"/>
    <w:rsid w:val="00084E89"/>
    <w:rsid w:val="000850D4"/>
    <w:rsid w:val="0009584D"/>
    <w:rsid w:val="000A1F9C"/>
    <w:rsid w:val="000B0F04"/>
    <w:rsid w:val="000C75D2"/>
    <w:rsid w:val="000E2E11"/>
    <w:rsid w:val="000E54D6"/>
    <w:rsid w:val="000E7EE7"/>
    <w:rsid w:val="000F0F71"/>
    <w:rsid w:val="000F1096"/>
    <w:rsid w:val="000F4C04"/>
    <w:rsid w:val="001108A3"/>
    <w:rsid w:val="001108C8"/>
    <w:rsid w:val="001237DC"/>
    <w:rsid w:val="00123804"/>
    <w:rsid w:val="00123DD5"/>
    <w:rsid w:val="001242AD"/>
    <w:rsid w:val="00124699"/>
    <w:rsid w:val="00127224"/>
    <w:rsid w:val="0014143C"/>
    <w:rsid w:val="00142215"/>
    <w:rsid w:val="00145D51"/>
    <w:rsid w:val="001547FC"/>
    <w:rsid w:val="001571B2"/>
    <w:rsid w:val="001611F8"/>
    <w:rsid w:val="001749CB"/>
    <w:rsid w:val="001767E2"/>
    <w:rsid w:val="001812CC"/>
    <w:rsid w:val="00187008"/>
    <w:rsid w:val="00197248"/>
    <w:rsid w:val="001A60FD"/>
    <w:rsid w:val="001A679A"/>
    <w:rsid w:val="001A7F08"/>
    <w:rsid w:val="001C0370"/>
    <w:rsid w:val="001C5592"/>
    <w:rsid w:val="001C5B44"/>
    <w:rsid w:val="001C6FFC"/>
    <w:rsid w:val="001D0DD8"/>
    <w:rsid w:val="001E3B3C"/>
    <w:rsid w:val="001E46C4"/>
    <w:rsid w:val="001F516F"/>
    <w:rsid w:val="001F57F0"/>
    <w:rsid w:val="002022E2"/>
    <w:rsid w:val="002052CA"/>
    <w:rsid w:val="00212B84"/>
    <w:rsid w:val="002346B0"/>
    <w:rsid w:val="00245FBF"/>
    <w:rsid w:val="00246540"/>
    <w:rsid w:val="00257157"/>
    <w:rsid w:val="0026520D"/>
    <w:rsid w:val="0026628F"/>
    <w:rsid w:val="002667C3"/>
    <w:rsid w:val="002669B6"/>
    <w:rsid w:val="00274355"/>
    <w:rsid w:val="00276024"/>
    <w:rsid w:val="00276B81"/>
    <w:rsid w:val="00280746"/>
    <w:rsid w:val="0028362D"/>
    <w:rsid w:val="00287424"/>
    <w:rsid w:val="00290BED"/>
    <w:rsid w:val="002912B5"/>
    <w:rsid w:val="0029761F"/>
    <w:rsid w:val="002A121C"/>
    <w:rsid w:val="002A4637"/>
    <w:rsid w:val="002B138E"/>
    <w:rsid w:val="002B6A01"/>
    <w:rsid w:val="002B7E4E"/>
    <w:rsid w:val="002C0EB9"/>
    <w:rsid w:val="002C1A14"/>
    <w:rsid w:val="002D45AD"/>
    <w:rsid w:val="002E1349"/>
    <w:rsid w:val="002E53F2"/>
    <w:rsid w:val="002F40BB"/>
    <w:rsid w:val="002F4B02"/>
    <w:rsid w:val="002F641B"/>
    <w:rsid w:val="00314981"/>
    <w:rsid w:val="00322043"/>
    <w:rsid w:val="00323EF8"/>
    <w:rsid w:val="00324BF1"/>
    <w:rsid w:val="003272B9"/>
    <w:rsid w:val="0033302B"/>
    <w:rsid w:val="00333105"/>
    <w:rsid w:val="00336923"/>
    <w:rsid w:val="003464B4"/>
    <w:rsid w:val="00361893"/>
    <w:rsid w:val="00370AC3"/>
    <w:rsid w:val="00370C2E"/>
    <w:rsid w:val="00370D8D"/>
    <w:rsid w:val="00376950"/>
    <w:rsid w:val="003860BA"/>
    <w:rsid w:val="00397903"/>
    <w:rsid w:val="003B05E8"/>
    <w:rsid w:val="003B1EC2"/>
    <w:rsid w:val="003C2068"/>
    <w:rsid w:val="003C37CF"/>
    <w:rsid w:val="003C63ED"/>
    <w:rsid w:val="003C71CF"/>
    <w:rsid w:val="003D7985"/>
    <w:rsid w:val="003E0C23"/>
    <w:rsid w:val="003F08F7"/>
    <w:rsid w:val="003F65C5"/>
    <w:rsid w:val="004100B1"/>
    <w:rsid w:val="0042212B"/>
    <w:rsid w:val="004229A6"/>
    <w:rsid w:val="00423303"/>
    <w:rsid w:val="004374E5"/>
    <w:rsid w:val="00441360"/>
    <w:rsid w:val="00446D71"/>
    <w:rsid w:val="00447160"/>
    <w:rsid w:val="004476D1"/>
    <w:rsid w:val="00447892"/>
    <w:rsid w:val="004520AF"/>
    <w:rsid w:val="00454E68"/>
    <w:rsid w:val="00461601"/>
    <w:rsid w:val="00467B89"/>
    <w:rsid w:val="004748E0"/>
    <w:rsid w:val="00476D26"/>
    <w:rsid w:val="00477EF9"/>
    <w:rsid w:val="004844DB"/>
    <w:rsid w:val="00493D4B"/>
    <w:rsid w:val="0049517C"/>
    <w:rsid w:val="004A3DF1"/>
    <w:rsid w:val="004B53B2"/>
    <w:rsid w:val="004C0915"/>
    <w:rsid w:val="004C70B0"/>
    <w:rsid w:val="004D4171"/>
    <w:rsid w:val="004D424E"/>
    <w:rsid w:val="004E42C8"/>
    <w:rsid w:val="004E791C"/>
    <w:rsid w:val="004F5460"/>
    <w:rsid w:val="004F5E09"/>
    <w:rsid w:val="005070BC"/>
    <w:rsid w:val="0051271F"/>
    <w:rsid w:val="00521F46"/>
    <w:rsid w:val="005232DB"/>
    <w:rsid w:val="00525EC4"/>
    <w:rsid w:val="00526E0C"/>
    <w:rsid w:val="00530BF9"/>
    <w:rsid w:val="00532175"/>
    <w:rsid w:val="0053587C"/>
    <w:rsid w:val="005406A2"/>
    <w:rsid w:val="00542FC0"/>
    <w:rsid w:val="0055022C"/>
    <w:rsid w:val="00551123"/>
    <w:rsid w:val="00553135"/>
    <w:rsid w:val="00570A6A"/>
    <w:rsid w:val="0058250B"/>
    <w:rsid w:val="00583ACD"/>
    <w:rsid w:val="00586E50"/>
    <w:rsid w:val="0059064A"/>
    <w:rsid w:val="0059516A"/>
    <w:rsid w:val="005A3227"/>
    <w:rsid w:val="005B739D"/>
    <w:rsid w:val="005C5A04"/>
    <w:rsid w:val="005C72A5"/>
    <w:rsid w:val="005C7451"/>
    <w:rsid w:val="005C7869"/>
    <w:rsid w:val="005D1A99"/>
    <w:rsid w:val="005D7609"/>
    <w:rsid w:val="005D7EE8"/>
    <w:rsid w:val="005E25A8"/>
    <w:rsid w:val="005E3DC0"/>
    <w:rsid w:val="00603161"/>
    <w:rsid w:val="00607A4A"/>
    <w:rsid w:val="006136DC"/>
    <w:rsid w:val="00623275"/>
    <w:rsid w:val="00623806"/>
    <w:rsid w:val="0062551E"/>
    <w:rsid w:val="00635B1A"/>
    <w:rsid w:val="0064508A"/>
    <w:rsid w:val="00652C61"/>
    <w:rsid w:val="0066691E"/>
    <w:rsid w:val="006671D5"/>
    <w:rsid w:val="006679A8"/>
    <w:rsid w:val="006705A5"/>
    <w:rsid w:val="00682154"/>
    <w:rsid w:val="0068488D"/>
    <w:rsid w:val="00687A44"/>
    <w:rsid w:val="00690B4E"/>
    <w:rsid w:val="006976AA"/>
    <w:rsid w:val="00697F78"/>
    <w:rsid w:val="006A4D29"/>
    <w:rsid w:val="006B1BD3"/>
    <w:rsid w:val="006C335B"/>
    <w:rsid w:val="006D3144"/>
    <w:rsid w:val="006D5030"/>
    <w:rsid w:val="006E0E4D"/>
    <w:rsid w:val="006F448C"/>
    <w:rsid w:val="006F7907"/>
    <w:rsid w:val="00715820"/>
    <w:rsid w:val="007318E4"/>
    <w:rsid w:val="0073214C"/>
    <w:rsid w:val="007338DB"/>
    <w:rsid w:val="00743189"/>
    <w:rsid w:val="00743732"/>
    <w:rsid w:val="00744E2E"/>
    <w:rsid w:val="00744ED8"/>
    <w:rsid w:val="00780DEF"/>
    <w:rsid w:val="00784F8C"/>
    <w:rsid w:val="00787658"/>
    <w:rsid w:val="00792B85"/>
    <w:rsid w:val="007932B3"/>
    <w:rsid w:val="00793EA9"/>
    <w:rsid w:val="007A7B8B"/>
    <w:rsid w:val="007C716D"/>
    <w:rsid w:val="007D6F68"/>
    <w:rsid w:val="007E51DB"/>
    <w:rsid w:val="007F113B"/>
    <w:rsid w:val="007F4C2A"/>
    <w:rsid w:val="00804150"/>
    <w:rsid w:val="00805C5D"/>
    <w:rsid w:val="00810854"/>
    <w:rsid w:val="00817F6A"/>
    <w:rsid w:val="00822B8B"/>
    <w:rsid w:val="00825313"/>
    <w:rsid w:val="00826813"/>
    <w:rsid w:val="0083345C"/>
    <w:rsid w:val="00845B9D"/>
    <w:rsid w:val="008531FA"/>
    <w:rsid w:val="008633CC"/>
    <w:rsid w:val="00865190"/>
    <w:rsid w:val="00867BE7"/>
    <w:rsid w:val="008719B9"/>
    <w:rsid w:val="00894ECE"/>
    <w:rsid w:val="00896BB4"/>
    <w:rsid w:val="00897D74"/>
    <w:rsid w:val="00897DA9"/>
    <w:rsid w:val="008A31DF"/>
    <w:rsid w:val="008A7FB8"/>
    <w:rsid w:val="008B4B18"/>
    <w:rsid w:val="008B5A5C"/>
    <w:rsid w:val="008B6900"/>
    <w:rsid w:val="008B6AFB"/>
    <w:rsid w:val="008C1FB6"/>
    <w:rsid w:val="008C3F18"/>
    <w:rsid w:val="008C613F"/>
    <w:rsid w:val="008D5BF0"/>
    <w:rsid w:val="008D77EE"/>
    <w:rsid w:val="008E7703"/>
    <w:rsid w:val="008F3329"/>
    <w:rsid w:val="009022B8"/>
    <w:rsid w:val="00905232"/>
    <w:rsid w:val="00907D6A"/>
    <w:rsid w:val="00917CC4"/>
    <w:rsid w:val="00925E20"/>
    <w:rsid w:val="00940631"/>
    <w:rsid w:val="009509FD"/>
    <w:rsid w:val="009518B9"/>
    <w:rsid w:val="009746A8"/>
    <w:rsid w:val="009763DA"/>
    <w:rsid w:val="0098007F"/>
    <w:rsid w:val="00985928"/>
    <w:rsid w:val="00992414"/>
    <w:rsid w:val="009A3AAA"/>
    <w:rsid w:val="009B4B93"/>
    <w:rsid w:val="009B4C07"/>
    <w:rsid w:val="009B4CA4"/>
    <w:rsid w:val="009C04AE"/>
    <w:rsid w:val="009D167A"/>
    <w:rsid w:val="009D4489"/>
    <w:rsid w:val="009F0609"/>
    <w:rsid w:val="009F24BE"/>
    <w:rsid w:val="009F6C2F"/>
    <w:rsid w:val="00A0607A"/>
    <w:rsid w:val="00A131FC"/>
    <w:rsid w:val="00A13FC4"/>
    <w:rsid w:val="00A16CCF"/>
    <w:rsid w:val="00A217D0"/>
    <w:rsid w:val="00A22533"/>
    <w:rsid w:val="00A2373F"/>
    <w:rsid w:val="00A25AB3"/>
    <w:rsid w:val="00A26F46"/>
    <w:rsid w:val="00A34FD3"/>
    <w:rsid w:val="00A35D60"/>
    <w:rsid w:val="00A36929"/>
    <w:rsid w:val="00A46F24"/>
    <w:rsid w:val="00A54FF2"/>
    <w:rsid w:val="00A637D6"/>
    <w:rsid w:val="00A72E51"/>
    <w:rsid w:val="00A803CB"/>
    <w:rsid w:val="00A83FCC"/>
    <w:rsid w:val="00A8780B"/>
    <w:rsid w:val="00A96388"/>
    <w:rsid w:val="00AA35B0"/>
    <w:rsid w:val="00AB03D7"/>
    <w:rsid w:val="00AB11F3"/>
    <w:rsid w:val="00AB3D01"/>
    <w:rsid w:val="00AD18C8"/>
    <w:rsid w:val="00AD6BB4"/>
    <w:rsid w:val="00AD7FA6"/>
    <w:rsid w:val="00AE4643"/>
    <w:rsid w:val="00AF0416"/>
    <w:rsid w:val="00AF2B9C"/>
    <w:rsid w:val="00AF3270"/>
    <w:rsid w:val="00B10CB4"/>
    <w:rsid w:val="00B1232E"/>
    <w:rsid w:val="00B14706"/>
    <w:rsid w:val="00B23B72"/>
    <w:rsid w:val="00B42702"/>
    <w:rsid w:val="00B42D4B"/>
    <w:rsid w:val="00B5331F"/>
    <w:rsid w:val="00B611B3"/>
    <w:rsid w:val="00B66F3C"/>
    <w:rsid w:val="00B80E05"/>
    <w:rsid w:val="00B84C5C"/>
    <w:rsid w:val="00B85407"/>
    <w:rsid w:val="00B90B9E"/>
    <w:rsid w:val="00B95702"/>
    <w:rsid w:val="00BA3A90"/>
    <w:rsid w:val="00BA5361"/>
    <w:rsid w:val="00BB514D"/>
    <w:rsid w:val="00BC6489"/>
    <w:rsid w:val="00BD480C"/>
    <w:rsid w:val="00BD4A94"/>
    <w:rsid w:val="00BE4DDD"/>
    <w:rsid w:val="00C013A6"/>
    <w:rsid w:val="00C2099B"/>
    <w:rsid w:val="00C21366"/>
    <w:rsid w:val="00C26406"/>
    <w:rsid w:val="00C366DC"/>
    <w:rsid w:val="00C54941"/>
    <w:rsid w:val="00C54A8D"/>
    <w:rsid w:val="00C73602"/>
    <w:rsid w:val="00C7362F"/>
    <w:rsid w:val="00C77602"/>
    <w:rsid w:val="00C83623"/>
    <w:rsid w:val="00C957F8"/>
    <w:rsid w:val="00C97137"/>
    <w:rsid w:val="00CB19B7"/>
    <w:rsid w:val="00CB3545"/>
    <w:rsid w:val="00CC4669"/>
    <w:rsid w:val="00CD2560"/>
    <w:rsid w:val="00CD7467"/>
    <w:rsid w:val="00CE340B"/>
    <w:rsid w:val="00CF065D"/>
    <w:rsid w:val="00CF60C8"/>
    <w:rsid w:val="00CF7BE1"/>
    <w:rsid w:val="00D1400D"/>
    <w:rsid w:val="00D16A3B"/>
    <w:rsid w:val="00D26774"/>
    <w:rsid w:val="00D26D62"/>
    <w:rsid w:val="00D32924"/>
    <w:rsid w:val="00D3786D"/>
    <w:rsid w:val="00D40B1D"/>
    <w:rsid w:val="00D42EFD"/>
    <w:rsid w:val="00D43299"/>
    <w:rsid w:val="00D503A3"/>
    <w:rsid w:val="00D50C2E"/>
    <w:rsid w:val="00D52CEF"/>
    <w:rsid w:val="00D54F3C"/>
    <w:rsid w:val="00D552A4"/>
    <w:rsid w:val="00D6100F"/>
    <w:rsid w:val="00D6321E"/>
    <w:rsid w:val="00D82D93"/>
    <w:rsid w:val="00D84242"/>
    <w:rsid w:val="00D919EC"/>
    <w:rsid w:val="00D9559A"/>
    <w:rsid w:val="00DA6ED0"/>
    <w:rsid w:val="00DA7FE3"/>
    <w:rsid w:val="00DB1EE0"/>
    <w:rsid w:val="00DB4B82"/>
    <w:rsid w:val="00DB51CC"/>
    <w:rsid w:val="00DC5011"/>
    <w:rsid w:val="00DD6107"/>
    <w:rsid w:val="00DF47D2"/>
    <w:rsid w:val="00E03A17"/>
    <w:rsid w:val="00E0417F"/>
    <w:rsid w:val="00E0740F"/>
    <w:rsid w:val="00E12754"/>
    <w:rsid w:val="00E1624F"/>
    <w:rsid w:val="00E171B6"/>
    <w:rsid w:val="00E21B37"/>
    <w:rsid w:val="00E22F44"/>
    <w:rsid w:val="00E25EAD"/>
    <w:rsid w:val="00E3250B"/>
    <w:rsid w:val="00E332F5"/>
    <w:rsid w:val="00E351E5"/>
    <w:rsid w:val="00E47049"/>
    <w:rsid w:val="00E55298"/>
    <w:rsid w:val="00E55D64"/>
    <w:rsid w:val="00E576F9"/>
    <w:rsid w:val="00E61661"/>
    <w:rsid w:val="00E65F35"/>
    <w:rsid w:val="00E84685"/>
    <w:rsid w:val="00E8773E"/>
    <w:rsid w:val="00E9154A"/>
    <w:rsid w:val="00E93500"/>
    <w:rsid w:val="00E97595"/>
    <w:rsid w:val="00EA456A"/>
    <w:rsid w:val="00EB1753"/>
    <w:rsid w:val="00EB574C"/>
    <w:rsid w:val="00EB6CFF"/>
    <w:rsid w:val="00EB74B6"/>
    <w:rsid w:val="00EC1D65"/>
    <w:rsid w:val="00EC3F8B"/>
    <w:rsid w:val="00EC6EB1"/>
    <w:rsid w:val="00ED1AD3"/>
    <w:rsid w:val="00ED2489"/>
    <w:rsid w:val="00ED27AD"/>
    <w:rsid w:val="00EE3996"/>
    <w:rsid w:val="00EF4A4C"/>
    <w:rsid w:val="00F02D3E"/>
    <w:rsid w:val="00F06C1F"/>
    <w:rsid w:val="00F155AE"/>
    <w:rsid w:val="00F319CE"/>
    <w:rsid w:val="00F344D1"/>
    <w:rsid w:val="00F34F2B"/>
    <w:rsid w:val="00F37D1D"/>
    <w:rsid w:val="00F46A5A"/>
    <w:rsid w:val="00F47081"/>
    <w:rsid w:val="00F50444"/>
    <w:rsid w:val="00F55047"/>
    <w:rsid w:val="00F62CC2"/>
    <w:rsid w:val="00F63DF6"/>
    <w:rsid w:val="00F64910"/>
    <w:rsid w:val="00F65666"/>
    <w:rsid w:val="00F73423"/>
    <w:rsid w:val="00F76411"/>
    <w:rsid w:val="00F864F9"/>
    <w:rsid w:val="00F86B8D"/>
    <w:rsid w:val="00F87814"/>
    <w:rsid w:val="00F904AE"/>
    <w:rsid w:val="00F9212D"/>
    <w:rsid w:val="00F934F8"/>
    <w:rsid w:val="00F97A55"/>
    <w:rsid w:val="00FA3D48"/>
    <w:rsid w:val="00FA4C1A"/>
    <w:rsid w:val="00FB17F8"/>
    <w:rsid w:val="00FB5009"/>
    <w:rsid w:val="00FB52FE"/>
    <w:rsid w:val="00FC0335"/>
    <w:rsid w:val="00FC0A34"/>
    <w:rsid w:val="00FD1DEF"/>
    <w:rsid w:val="00FD4B29"/>
    <w:rsid w:val="00FE337D"/>
    <w:rsid w:val="00FE3B3F"/>
    <w:rsid w:val="00FF453E"/>
    <w:rsid w:val="00FF6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6D21C32"/>
  <w15:chartTrackingRefBased/>
  <w15:docId w15:val="{9E2320D5-AC98-41A3-842D-0FBBD285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2B"/>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character" w:customStyle="1" w:styleId="FooterChar">
    <w:name w:val="Footer Char"/>
    <w:link w:val="Footer"/>
    <w:rsid w:val="00376950"/>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character" w:customStyle="1" w:styleId="Normal12Char">
    <w:name w:val="Normal12 Char"/>
    <w:link w:val="Normal12"/>
    <w:locked/>
    <w:rsid w:val="00376950"/>
    <w:rPr>
      <w:sz w:val="24"/>
    </w:r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sk-SK"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sk-SK"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42212B"/>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42212B"/>
    <w:pPr>
      <w:spacing w:before="240" w:after="240"/>
    </w:pPr>
    <w:rPr>
      <w:b/>
      <w:i/>
      <w:snapToGrid w:val="0"/>
      <w:lang w:eastAsia="en-US"/>
    </w:rPr>
  </w:style>
  <w:style w:type="paragraph" w:customStyle="1" w:styleId="Lgendestandard">
    <w:name w:val="Légende standard"/>
    <w:basedOn w:val="Lgendesigne"/>
    <w:rsid w:val="0042212B"/>
    <w:pPr>
      <w:ind w:left="0" w:firstLine="0"/>
    </w:pPr>
  </w:style>
  <w:style w:type="paragraph" w:styleId="FootnoteText">
    <w:name w:val="footnote text"/>
    <w:basedOn w:val="Normal"/>
    <w:link w:val="FootnoteTextChar"/>
    <w:rsid w:val="00792B85"/>
    <w:rPr>
      <w:sz w:val="20"/>
    </w:rPr>
  </w:style>
  <w:style w:type="character" w:customStyle="1" w:styleId="FootnoteTextChar">
    <w:name w:val="Footnote Text Char"/>
    <w:basedOn w:val="DefaultParagraphFont"/>
    <w:link w:val="FootnoteText"/>
    <w:rsid w:val="00792B85"/>
  </w:style>
  <w:style w:type="character" w:styleId="FootnoteReference">
    <w:name w:val="footnote reference"/>
    <w:basedOn w:val="DefaultParagraphFont"/>
    <w:rsid w:val="00792B85"/>
    <w:rPr>
      <w:vertAlign w:val="superscript"/>
    </w:rPr>
  </w:style>
  <w:style w:type="paragraph" w:styleId="BalloonText">
    <w:name w:val="Balloon Text"/>
    <w:basedOn w:val="Normal"/>
    <w:link w:val="BalloonTextChar"/>
    <w:rsid w:val="00397903"/>
    <w:rPr>
      <w:rFonts w:ascii="Segoe UI" w:hAnsi="Segoe UI" w:cs="Segoe UI"/>
      <w:sz w:val="18"/>
      <w:szCs w:val="18"/>
    </w:rPr>
  </w:style>
  <w:style w:type="character" w:customStyle="1" w:styleId="BalloonTextChar">
    <w:name w:val="Balloon Text Char"/>
    <w:basedOn w:val="DefaultParagraphFont"/>
    <w:link w:val="BalloonText"/>
    <w:rsid w:val="00397903"/>
    <w:rPr>
      <w:rFonts w:ascii="Segoe UI" w:hAnsi="Segoe UI" w:cs="Segoe UI"/>
      <w:sz w:val="18"/>
      <w:szCs w:val="18"/>
    </w:rPr>
  </w:style>
  <w:style w:type="character" w:styleId="CommentReference">
    <w:name w:val="annotation reference"/>
    <w:basedOn w:val="DefaultParagraphFont"/>
    <w:uiPriority w:val="99"/>
    <w:rsid w:val="001108A3"/>
    <w:rPr>
      <w:sz w:val="16"/>
      <w:szCs w:val="16"/>
    </w:rPr>
  </w:style>
  <w:style w:type="paragraph" w:styleId="CommentText">
    <w:name w:val="annotation text"/>
    <w:basedOn w:val="Normal"/>
    <w:link w:val="CommentTextChar"/>
    <w:uiPriority w:val="99"/>
    <w:rsid w:val="001108A3"/>
    <w:rPr>
      <w:sz w:val="20"/>
    </w:rPr>
  </w:style>
  <w:style w:type="character" w:customStyle="1" w:styleId="CommentTextChar">
    <w:name w:val="Comment Text Char"/>
    <w:basedOn w:val="DefaultParagraphFont"/>
    <w:link w:val="CommentText"/>
    <w:uiPriority w:val="99"/>
    <w:rsid w:val="001108A3"/>
  </w:style>
  <w:style w:type="paragraph" w:styleId="CommentSubject">
    <w:name w:val="annotation subject"/>
    <w:basedOn w:val="CommentText"/>
    <w:next w:val="CommentText"/>
    <w:link w:val="CommentSubjectChar"/>
    <w:rsid w:val="001108A3"/>
    <w:rPr>
      <w:b/>
      <w:bCs/>
    </w:rPr>
  </w:style>
  <w:style w:type="character" w:customStyle="1" w:styleId="CommentSubjectChar">
    <w:name w:val="Comment Subject Char"/>
    <w:basedOn w:val="CommentTextChar"/>
    <w:link w:val="CommentSubject"/>
    <w:rsid w:val="001108A3"/>
    <w:rPr>
      <w:b/>
      <w:bCs/>
    </w:rPr>
  </w:style>
  <w:style w:type="paragraph" w:customStyle="1" w:styleId="NormalTabs">
    <w:name w:val="NormalTabs"/>
    <w:basedOn w:val="Normal"/>
    <w:qFormat/>
    <w:rsid w:val="008B6AFB"/>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09671">
      <w:bodyDiv w:val="1"/>
      <w:marLeft w:val="0"/>
      <w:marRight w:val="0"/>
      <w:marTop w:val="0"/>
      <w:marBottom w:val="0"/>
      <w:divBdr>
        <w:top w:val="none" w:sz="0" w:space="0" w:color="auto"/>
        <w:left w:val="none" w:sz="0" w:space="0" w:color="auto"/>
        <w:bottom w:val="none" w:sz="0" w:space="0" w:color="auto"/>
        <w:right w:val="none" w:sz="0" w:space="0" w:color="auto"/>
      </w:divBdr>
    </w:div>
    <w:div w:id="481233465">
      <w:bodyDiv w:val="1"/>
      <w:marLeft w:val="0"/>
      <w:marRight w:val="0"/>
      <w:marTop w:val="0"/>
      <w:marBottom w:val="0"/>
      <w:divBdr>
        <w:top w:val="none" w:sz="0" w:space="0" w:color="auto"/>
        <w:left w:val="none" w:sz="0" w:space="0" w:color="auto"/>
        <w:bottom w:val="none" w:sz="0" w:space="0" w:color="auto"/>
        <w:right w:val="none" w:sz="0" w:space="0" w:color="auto"/>
      </w:divBdr>
    </w:div>
    <w:div w:id="518197312">
      <w:bodyDiv w:val="1"/>
      <w:marLeft w:val="0"/>
      <w:marRight w:val="0"/>
      <w:marTop w:val="0"/>
      <w:marBottom w:val="0"/>
      <w:divBdr>
        <w:top w:val="none" w:sz="0" w:space="0" w:color="auto"/>
        <w:left w:val="none" w:sz="0" w:space="0" w:color="auto"/>
        <w:bottom w:val="none" w:sz="0" w:space="0" w:color="auto"/>
        <w:right w:val="none" w:sz="0" w:space="0" w:color="auto"/>
      </w:divBdr>
    </w:div>
    <w:div w:id="1001200063">
      <w:bodyDiv w:val="1"/>
      <w:marLeft w:val="0"/>
      <w:marRight w:val="0"/>
      <w:marTop w:val="0"/>
      <w:marBottom w:val="0"/>
      <w:divBdr>
        <w:top w:val="none" w:sz="0" w:space="0" w:color="auto"/>
        <w:left w:val="none" w:sz="0" w:space="0" w:color="auto"/>
        <w:bottom w:val="none" w:sz="0" w:space="0" w:color="auto"/>
        <w:right w:val="none" w:sz="0" w:space="0" w:color="auto"/>
      </w:divBdr>
    </w:div>
    <w:div w:id="1222865771">
      <w:bodyDiv w:val="1"/>
      <w:marLeft w:val="0"/>
      <w:marRight w:val="0"/>
      <w:marTop w:val="0"/>
      <w:marBottom w:val="0"/>
      <w:divBdr>
        <w:top w:val="none" w:sz="0" w:space="0" w:color="auto"/>
        <w:left w:val="none" w:sz="0" w:space="0" w:color="auto"/>
        <w:bottom w:val="none" w:sz="0" w:space="0" w:color="auto"/>
        <w:right w:val="none" w:sz="0" w:space="0" w:color="auto"/>
      </w:divBdr>
    </w:div>
    <w:div w:id="1280723383">
      <w:bodyDiv w:val="1"/>
      <w:marLeft w:val="0"/>
      <w:marRight w:val="0"/>
      <w:marTop w:val="0"/>
      <w:marBottom w:val="0"/>
      <w:divBdr>
        <w:top w:val="none" w:sz="0" w:space="0" w:color="auto"/>
        <w:left w:val="none" w:sz="0" w:space="0" w:color="auto"/>
        <w:bottom w:val="none" w:sz="0" w:space="0" w:color="auto"/>
        <w:right w:val="none" w:sz="0" w:space="0" w:color="auto"/>
      </w:divBdr>
    </w:div>
    <w:div w:id="1838419980">
      <w:bodyDiv w:val="1"/>
      <w:marLeft w:val="0"/>
      <w:marRight w:val="0"/>
      <w:marTop w:val="0"/>
      <w:marBottom w:val="0"/>
      <w:divBdr>
        <w:top w:val="none" w:sz="0" w:space="0" w:color="auto"/>
        <w:left w:val="none" w:sz="0" w:space="0" w:color="auto"/>
        <w:bottom w:val="none" w:sz="0" w:space="0" w:color="auto"/>
        <w:right w:val="none" w:sz="0" w:space="0" w:color="auto"/>
      </w:divBdr>
    </w:div>
    <w:div w:id="19593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33978-E65E-44D7-9C4E-DA6121C9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CD18D655.dotm</Template>
  <TotalTime>0</TotalTime>
  <Pages>54</Pages>
  <Words>14533</Words>
  <Characters>87636</Characters>
  <Application>Microsoft Office Word</Application>
  <DocSecurity>0</DocSecurity>
  <Lines>3245</Lines>
  <Paragraphs>1053</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101116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SCHERER Daphne</dc:creator>
  <cp:keywords/>
  <dc:description/>
  <cp:lastModifiedBy>DINGA-SUPOVA Lucia</cp:lastModifiedBy>
  <cp:revision>2</cp:revision>
  <cp:lastPrinted>2017-12-08T09:16:00Z</cp:lastPrinted>
  <dcterms:created xsi:type="dcterms:W3CDTF">2017-12-21T11:33:00Z</dcterms:created>
  <dcterms:modified xsi:type="dcterms:W3CDTF">2017-12-21T11:33:00Z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[20170907]</vt:lpwstr>
  </property>
  <property fmtid="{D5CDD505-2E9C-101B-9397-08002B2CF9AE}" pid="3" name="LastEdited with">
    <vt:lpwstr>9.1.1 Build [20170911]</vt:lpwstr>
  </property>
  <property fmtid="{D5CDD505-2E9C-101B-9397-08002B2CF9AE}" pid="4" name="&lt;FdR&gt;">
    <vt:lpwstr>1141605</vt:lpwstr>
  </property>
  <property fmtid="{D5CDD505-2E9C-101B-9397-08002B2CF9AE}" pid="5" name="&lt;Type&gt;">
    <vt:lpwstr>RR</vt:lpwstr>
  </property>
  <property fmtid="{D5CDD505-2E9C-101B-9397-08002B2CF9AE}" pid="6" name="&lt;ModelCod&gt;">
    <vt:lpwstr>\\eiciBRUpr1\pdocep$\DocEP\DOCS\General\PR\PR_Leg\COD\COD_1st\PR_COD_1amCom.dot(30/06/2017 07:37:07)</vt:lpwstr>
  </property>
  <property fmtid="{D5CDD505-2E9C-101B-9397-08002B2CF9AE}" pid="7" name="&lt;ModelTra&gt;">
    <vt:lpwstr>\\eiciBRUpr1\pdocep$\DocEP\TRANSFIL\EN\PR_COD_1amCom.EN(30/06/2017 07:41:14)</vt:lpwstr>
  </property>
  <property fmtid="{D5CDD505-2E9C-101B-9397-08002B2CF9AE}" pid="8" name="&lt;Model&gt;">
    <vt:lpwstr>PR_COD_1amCom</vt:lpwstr>
  </property>
  <property fmtid="{D5CDD505-2E9C-101B-9397-08002B2CF9AE}" pid="9" name="FooterPath">
    <vt:lpwstr>RR\1141605SK.docx</vt:lpwstr>
  </property>
  <property fmtid="{D5CDD505-2E9C-101B-9397-08002B2CF9AE}" pid="10" name="PE number">
    <vt:lpwstr>610.703</vt:lpwstr>
  </property>
  <property fmtid="{D5CDD505-2E9C-101B-9397-08002B2CF9AE}" pid="11" name="SubscribeElise">
    <vt:lpwstr/>
  </property>
  <property fmtid="{D5CDD505-2E9C-101B-9397-08002B2CF9AE}" pid="12" name="SendToEpades">
    <vt:lpwstr/>
  </property>
  <property fmtid="{D5CDD505-2E9C-101B-9397-08002B2CF9AE}" pid="13" name="CheckDocument">
    <vt:lpwstr>OK - 2017/12/07 19:10</vt:lpwstr>
  </property>
  <property fmtid="{D5CDD505-2E9C-101B-9397-08002B2CF9AE}" pid="14" name="SDLStudio">
    <vt:lpwstr/>
  </property>
  <property fmtid="{D5CDD505-2E9C-101B-9397-08002B2CF9AE}" pid="15" name="&lt;Extension&gt;">
    <vt:lpwstr>SK</vt:lpwstr>
  </property>
  <property fmtid="{D5CDD505-2E9C-101B-9397-08002B2CF9AE}" pid="16" name="Bookout">
    <vt:lpwstr>OK - 2017/12/21 12:33</vt:lpwstr>
  </property>
</Properties>
</file>