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7F9" w:rsidRDefault="006167F9" w:rsidP="006167F9">
      <w:pPr>
        <w:tabs>
          <w:tab w:val="right" w:pos="9184"/>
        </w:tabs>
      </w:pPr>
    </w:p>
    <w:p w:rsidR="006167F9" w:rsidRDefault="006167F9" w:rsidP="006167F9">
      <w:pPr>
        <w:tabs>
          <w:tab w:val="right" w:pos="9184"/>
        </w:tabs>
      </w:pPr>
    </w:p>
    <w:p w:rsidR="006167F9" w:rsidRDefault="006167F9" w:rsidP="006167F9">
      <w:pPr>
        <w:tabs>
          <w:tab w:val="right" w:pos="9184"/>
        </w:tabs>
      </w:pPr>
    </w:p>
    <w:p w:rsidR="006167F9" w:rsidRDefault="006167F9" w:rsidP="006167F9">
      <w:pPr>
        <w:tabs>
          <w:tab w:val="right" w:pos="9184"/>
        </w:tabs>
      </w:pPr>
    </w:p>
    <w:p w:rsidR="006167F9" w:rsidRDefault="006167F9" w:rsidP="006167F9">
      <w:pPr>
        <w:tabs>
          <w:tab w:val="right" w:pos="9184"/>
        </w:tabs>
      </w:pPr>
      <w:r w:rsidRPr="006167F9">
        <w:rPr>
          <w:rStyle w:val="HideTWBExt"/>
        </w:rPr>
        <w:t>&lt;Date&gt;</w:t>
      </w:r>
      <w:r>
        <w:t>21.3.2019</w:t>
      </w:r>
      <w:r w:rsidRPr="006167F9">
        <w:rPr>
          <w:rStyle w:val="HideTWBExt"/>
        </w:rPr>
        <w:t>&lt;/Date&gt;</w:t>
      </w:r>
      <w:r>
        <w:tab/>
        <w:t xml:space="preserve">A8-0039/ </w:t>
      </w:r>
      <w:r w:rsidRPr="006167F9">
        <w:rPr>
          <w:rStyle w:val="HideTWBExt"/>
        </w:rPr>
        <w:t>&lt;NumOfAM&gt;</w:t>
      </w:r>
      <w:r>
        <w:t>001-062</w:t>
      </w:r>
      <w:bookmarkStart w:id="0" w:name="_GoBack"/>
      <w:bookmarkEnd w:id="0"/>
      <w:r w:rsidRPr="006167F9">
        <w:rPr>
          <w:rStyle w:val="HideTWBExt"/>
        </w:rPr>
        <w:t>&lt;/NumOfAM&gt;</w:t>
      </w:r>
    </w:p>
    <w:p w:rsidR="006167F9" w:rsidRDefault="006167F9" w:rsidP="006167F9">
      <w:pPr>
        <w:tabs>
          <w:tab w:val="right" w:pos="9184"/>
        </w:tabs>
      </w:pPr>
    </w:p>
    <w:p w:rsidR="006167F9" w:rsidRDefault="006167F9" w:rsidP="006167F9">
      <w:pPr>
        <w:tabs>
          <w:tab w:val="right" w:pos="9184"/>
        </w:tabs>
      </w:pPr>
    </w:p>
    <w:p w:rsidR="006167F9" w:rsidRDefault="006167F9" w:rsidP="006167F9">
      <w:pPr>
        <w:tabs>
          <w:tab w:val="right" w:pos="9184"/>
        </w:tabs>
      </w:pPr>
      <w:r>
        <w:rPr>
          <w:b/>
        </w:rPr>
        <w:t xml:space="preserve">AMANDMANI 001-062 </w:t>
      </w:r>
    </w:p>
    <w:p w:rsidR="006167F9" w:rsidRDefault="006167F9" w:rsidP="006167F9">
      <w:pPr>
        <w:tabs>
          <w:tab w:val="right" w:pos="9184"/>
        </w:tabs>
      </w:pPr>
      <w:r>
        <w:t xml:space="preserve">podnositelj </w:t>
      </w:r>
      <w:r w:rsidRPr="006167F9">
        <w:rPr>
          <w:rStyle w:val="HideTWBExt"/>
        </w:rPr>
        <w:t>&lt;Committee&gt;</w:t>
      </w:r>
      <w:r>
        <w:t>Odbor za industriju, istraživanje i energetiku</w:t>
      </w:r>
      <w:r w:rsidRPr="006167F9">
        <w:rPr>
          <w:rStyle w:val="HideTWBExt"/>
        </w:rPr>
        <w:t>&lt;/Committee&gt;</w:t>
      </w:r>
    </w:p>
    <w:p w:rsidR="006167F9" w:rsidRDefault="006167F9" w:rsidP="006167F9">
      <w:pPr>
        <w:tabs>
          <w:tab w:val="right" w:pos="9184"/>
        </w:tabs>
      </w:pPr>
    </w:p>
    <w:p w:rsidR="006167F9" w:rsidRDefault="006167F9" w:rsidP="006167F9">
      <w:pPr>
        <w:tabs>
          <w:tab w:val="right" w:pos="9184"/>
        </w:tabs>
        <w:rPr>
          <w:b/>
        </w:rPr>
      </w:pPr>
      <w:r>
        <w:rPr>
          <w:b/>
        </w:rPr>
        <w:t>Izvješće</w:t>
      </w:r>
    </w:p>
    <w:p w:rsidR="006167F9" w:rsidRDefault="006167F9" w:rsidP="006167F9">
      <w:pPr>
        <w:tabs>
          <w:tab w:val="right" w:pos="9184"/>
        </w:tabs>
        <w:rPr>
          <w:b/>
        </w:rPr>
      </w:pPr>
      <w:r w:rsidRPr="006167F9">
        <w:rPr>
          <w:rStyle w:val="HideTWBExt"/>
        </w:rPr>
        <w:t>&lt;Chairman&gt;</w:t>
      </w:r>
      <w:r>
        <w:rPr>
          <w:b/>
        </w:rPr>
        <w:t>Flavio Zanonato</w:t>
      </w:r>
      <w:r w:rsidRPr="006167F9">
        <w:rPr>
          <w:rStyle w:val="HideTWBExt"/>
        </w:rPr>
        <w:t>&lt;/Chairman&gt;</w:t>
      </w:r>
      <w:r>
        <w:rPr>
          <w:b/>
        </w:rPr>
        <w:tab/>
      </w:r>
      <w:r w:rsidRPr="006167F9">
        <w:rPr>
          <w:rStyle w:val="HideTWBExt"/>
        </w:rPr>
        <w:t>&lt;A5Nr&gt;</w:t>
      </w:r>
      <w:r>
        <w:rPr>
          <w:b/>
        </w:rPr>
        <w:t>A8-0039/2018</w:t>
      </w:r>
      <w:r w:rsidRPr="006167F9">
        <w:rPr>
          <w:rStyle w:val="HideTWBExt"/>
        </w:rPr>
        <w:t>&lt;/A5Nr&gt;</w:t>
      </w:r>
    </w:p>
    <w:p w:rsidR="006167F9" w:rsidRDefault="006167F9" w:rsidP="006167F9">
      <w:pPr>
        <w:tabs>
          <w:tab w:val="right" w:pos="9184"/>
        </w:tabs>
      </w:pPr>
      <w:r w:rsidRPr="006167F9">
        <w:rPr>
          <w:rStyle w:val="HideTWBExt"/>
        </w:rPr>
        <w:t>&lt;ShortTitel&gt;</w:t>
      </w:r>
      <w:r>
        <w:t>Pripravnost na rizike u sektoru električne energije</w:t>
      </w:r>
      <w:r w:rsidRPr="006167F9">
        <w:rPr>
          <w:rStyle w:val="HideTWBExt"/>
        </w:rPr>
        <w:t>&lt;/ShortTitel&gt;</w:t>
      </w:r>
    </w:p>
    <w:p w:rsidR="006167F9" w:rsidRDefault="006167F9" w:rsidP="006167F9">
      <w:pPr>
        <w:tabs>
          <w:tab w:val="right" w:pos="9184"/>
        </w:tabs>
      </w:pPr>
    </w:p>
    <w:p w:rsidR="006167F9" w:rsidRDefault="006167F9" w:rsidP="006167F9">
      <w:pPr>
        <w:tabs>
          <w:tab w:val="right" w:pos="9184"/>
        </w:tabs>
      </w:pPr>
      <w:r w:rsidRPr="006167F9">
        <w:rPr>
          <w:rStyle w:val="HideTWBExt"/>
        </w:rPr>
        <w:t>&lt;Procedure&gt;</w:t>
      </w:r>
      <w:r>
        <w:t xml:space="preserve">Prijedlog uredbe </w:t>
      </w:r>
      <w:r w:rsidRPr="006167F9">
        <w:rPr>
          <w:rStyle w:val="HideTWBExt"/>
        </w:rPr>
        <w:t>&lt;/Procedure&gt;&lt;ReferenceNo&gt;</w:t>
      </w:r>
      <w:r>
        <w:t>(COM(2016)0862 – C8-0493/2016 – 2016/0377(COD))</w:t>
      </w:r>
      <w:r w:rsidRPr="006167F9">
        <w:rPr>
          <w:rStyle w:val="HideTWBExt"/>
        </w:rPr>
        <w:t>&lt;/ReferenceNo&gt;</w:t>
      </w:r>
    </w:p>
    <w:p w:rsidR="006167F9" w:rsidRDefault="006167F9" w:rsidP="006167F9">
      <w:pPr>
        <w:tabs>
          <w:tab w:val="right" w:pos="9184"/>
        </w:tabs>
      </w:pPr>
    </w:p>
    <w:p w:rsidR="006167F9" w:rsidRDefault="006167F9" w:rsidP="006167F9">
      <w:pPr>
        <w:tabs>
          <w:tab w:val="right" w:pos="9184"/>
        </w:tabs>
      </w:pPr>
    </w:p>
    <w:p w:rsidR="006167F9" w:rsidRDefault="006167F9" w:rsidP="006167F9">
      <w:pPr>
        <w:tabs>
          <w:tab w:val="right" w:pos="9184"/>
        </w:tabs>
      </w:pPr>
    </w:p>
    <w:p w:rsidR="006167F9" w:rsidRDefault="006167F9" w:rsidP="006167F9">
      <w:pPr>
        <w:tabs>
          <w:tab w:val="right" w:pos="9184"/>
        </w:tabs>
        <w:jc w:val="center"/>
      </w:pPr>
      <w:r>
        <w:t>_____________________________________________________________</w:t>
      </w:r>
    </w:p>
    <w:p w:rsidR="006167F9" w:rsidRDefault="006167F9" w:rsidP="006167F9">
      <w:pPr>
        <w:tabs>
          <w:tab w:val="right" w:pos="9184"/>
        </w:tabs>
        <w:jc w:val="center"/>
      </w:pPr>
    </w:p>
    <w:p w:rsidR="004D4C89" w:rsidRPr="006167F9" w:rsidRDefault="004D4C89" w:rsidP="006167F9">
      <w:pPr>
        <w:pStyle w:val="AMNumberTabs"/>
      </w:pPr>
      <w:r w:rsidRPr="006167F9">
        <w:t>Amandman</w:t>
      </w:r>
      <w:r w:rsidRPr="006167F9">
        <w:tab/>
      </w:r>
      <w:r w:rsidRPr="006167F9">
        <w:tab/>
        <w:t>1</w:t>
      </w:r>
    </w:p>
    <w:p w:rsidR="004D4C89" w:rsidRPr="006167F9" w:rsidRDefault="004D4C89" w:rsidP="004D4C89">
      <w:pPr>
        <w:pStyle w:val="NormalBold12b"/>
        <w:keepNext/>
      </w:pPr>
      <w:r w:rsidRPr="006167F9">
        <w:t>Prijedlog uredbe</w:t>
      </w:r>
    </w:p>
    <w:p w:rsidR="004D4C89" w:rsidRPr="006167F9" w:rsidRDefault="004D4C89" w:rsidP="004D4C89">
      <w:pPr>
        <w:pStyle w:val="NormalBold"/>
      </w:pPr>
      <w:r w:rsidRPr="006167F9">
        <w:t>Uvodna izjava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D4C89" w:rsidRPr="006167F9" w:rsidTr="00A90DD5">
        <w:trPr>
          <w:jc w:val="center"/>
        </w:trPr>
        <w:tc>
          <w:tcPr>
            <w:tcW w:w="9752" w:type="dxa"/>
            <w:gridSpan w:val="2"/>
          </w:tcPr>
          <w:p w:rsidR="004D4C89" w:rsidRPr="006167F9" w:rsidRDefault="004D4C89" w:rsidP="00A90DD5">
            <w:pPr>
              <w:keepNext/>
            </w:pPr>
          </w:p>
        </w:tc>
      </w:tr>
      <w:tr w:rsidR="004D4C89" w:rsidRPr="006167F9" w:rsidTr="00A90DD5">
        <w:trPr>
          <w:jc w:val="center"/>
        </w:trPr>
        <w:tc>
          <w:tcPr>
            <w:tcW w:w="4876" w:type="dxa"/>
          </w:tcPr>
          <w:p w:rsidR="004D4C89" w:rsidRPr="006167F9" w:rsidRDefault="004D4C89" w:rsidP="00A90DD5">
            <w:pPr>
              <w:pStyle w:val="ColumnHeading"/>
              <w:keepNext/>
            </w:pPr>
            <w:r w:rsidRPr="006167F9">
              <w:t>Tekst koji je predložila Komisija</w:t>
            </w:r>
          </w:p>
        </w:tc>
        <w:tc>
          <w:tcPr>
            <w:tcW w:w="4876" w:type="dxa"/>
          </w:tcPr>
          <w:p w:rsidR="004D4C89" w:rsidRPr="006167F9" w:rsidRDefault="004D4C89" w:rsidP="00A90DD5">
            <w:pPr>
              <w:pStyle w:val="ColumnHeading"/>
              <w:keepNext/>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(1)</w:t>
            </w:r>
            <w:r w:rsidRPr="006167F9">
              <w:rPr>
                <w:b/>
                <w:i/>
              </w:rPr>
              <w:tab/>
            </w:r>
            <w:r w:rsidRPr="006167F9">
              <w:t>Sektor električne energije u Uniji prolazi kroz proces duboke preobrazbe koji karakteriziraju decentraliziranija tržišta s više aktera,</w:t>
            </w:r>
            <w:r w:rsidRPr="006167F9">
              <w:rPr>
                <w:b/>
                <w:i/>
              </w:rPr>
              <w:t xml:space="preserve"> bolji međusobno povezani sustavi i</w:t>
            </w:r>
            <w:r w:rsidRPr="006167F9">
              <w:t xml:space="preserve"> viši udio energije iz obnovljivih izvora. Kao odgovor na to, Direktivom xxx / Uredbom xxx [upućivanje na predloženu Direktivu o električnoj energiji i Uredbu o električnoj energiji] nastoji se unaprijediti pravni okvir koji se primjenjuje na Unijino unutarnje tržište električne energije da bi se osiguralo optimalno funkcioniranje tržišta i mreža u korist gospodarstva i</w:t>
            </w:r>
            <w:r w:rsidRPr="006167F9">
              <w:rPr>
                <w:b/>
                <w:i/>
              </w:rPr>
              <w:t xml:space="preserve"> potrošača</w:t>
            </w:r>
            <w:r w:rsidRPr="006167F9">
              <w:t>.</w:t>
            </w:r>
          </w:p>
        </w:tc>
        <w:tc>
          <w:tcPr>
            <w:tcW w:w="4876" w:type="dxa"/>
          </w:tcPr>
          <w:p w:rsidR="004D4C89" w:rsidRPr="006167F9" w:rsidRDefault="004D4C89" w:rsidP="00A90DD5">
            <w:pPr>
              <w:pStyle w:val="Normal6"/>
              <w:rPr>
                <w:b/>
                <w:i/>
                <w:szCs w:val="24"/>
              </w:rPr>
            </w:pPr>
            <w:r w:rsidRPr="006167F9">
              <w:t>(1)</w:t>
            </w:r>
            <w:r w:rsidRPr="006167F9">
              <w:rPr>
                <w:b/>
                <w:i/>
              </w:rPr>
              <w:tab/>
            </w:r>
            <w:r w:rsidRPr="006167F9">
              <w:t>Sektor električne energije u Uniji prolazi kroz proces duboke preobrazbe koji karakteriziraju decentraliziranija tržišta s više aktera, viši udio energije iz obnovljivih izvora</w:t>
            </w:r>
            <w:r w:rsidRPr="006167F9">
              <w:rPr>
                <w:b/>
                <w:i/>
              </w:rPr>
              <w:t xml:space="preserve"> i bolje međusobno povezani sustavi, koji su, međutim, i dalje nedovoljni</w:t>
            </w:r>
            <w:r w:rsidRPr="006167F9">
              <w:t>. Kao odgovor na to, Direktivom xxx / Uredbom xxx [upućivanje na predloženu Direktivu o električnoj energiji i Uredbu o električnoj energiji] nastoji se unaprijediti pravni okvir koji se primjenjuje na Unijino unutarnje tržište električne energije da bi se osiguralo optimalno funkcioniranje tržišta i mreža u korist gospodarstva i</w:t>
            </w:r>
            <w:r w:rsidRPr="006167F9">
              <w:rPr>
                <w:b/>
                <w:i/>
              </w:rPr>
              <w:t xml:space="preserve"> građana Unije</w:t>
            </w:r>
            <w:r w:rsidRPr="006167F9">
              <w:t>.</w:t>
            </w:r>
            <w:r w:rsidRPr="006167F9">
              <w:rPr>
                <w:b/>
                <w:i/>
              </w:rPr>
              <w:t xml:space="preserve"> Ovom se Uredbom želi doprinijeti provedbi ciljeva energetske unije, koja se temelji na solidarnosti, načelu sadržanom u članku 194. Ugovora o funkcioniranju Europske unije.</w:t>
            </w:r>
          </w:p>
        </w:tc>
      </w:tr>
    </w:tbl>
    <w:p w:rsidR="00084A59" w:rsidRPr="006167F9" w:rsidRDefault="00084A59" w:rsidP="004D4C89"/>
    <w:p w:rsidR="004D4C89" w:rsidRPr="006167F9" w:rsidRDefault="004D4C89" w:rsidP="004D4C89">
      <w:pPr>
        <w:pStyle w:val="AMNumberTabs"/>
      </w:pPr>
      <w:r w:rsidRPr="006167F9">
        <w:t>Amandman</w:t>
      </w:r>
      <w:r w:rsidRPr="006167F9">
        <w:tab/>
      </w:r>
      <w:r w:rsidRPr="006167F9">
        <w:tab/>
        <w:t>2</w:t>
      </w:r>
    </w:p>
    <w:p w:rsidR="004D4C89" w:rsidRPr="006167F9" w:rsidRDefault="004D4C89" w:rsidP="004D4C89">
      <w:pPr>
        <w:pStyle w:val="NormalBold12b"/>
        <w:rPr>
          <w:b w:val="0"/>
        </w:rPr>
      </w:pPr>
      <w:r w:rsidRPr="006167F9">
        <w:rPr>
          <w:b w:val="0"/>
        </w:rPr>
        <w:t>Prijedlog uredbe</w:t>
      </w:r>
    </w:p>
    <w:p w:rsidR="004D4C89" w:rsidRPr="006167F9" w:rsidRDefault="004D4C89" w:rsidP="004D4C89">
      <w:pPr>
        <w:pStyle w:val="NormalBold"/>
      </w:pPr>
      <w:r w:rsidRPr="006167F9">
        <w:t>Uvodna izjava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D4C89" w:rsidRPr="006167F9" w:rsidTr="00A90DD5">
        <w:trPr>
          <w:jc w:val="center"/>
        </w:trPr>
        <w:tc>
          <w:tcPr>
            <w:tcW w:w="9752" w:type="dxa"/>
            <w:gridSpan w:val="2"/>
          </w:tcPr>
          <w:p w:rsidR="004D4C89" w:rsidRPr="006167F9" w:rsidRDefault="004D4C89" w:rsidP="00A90DD5">
            <w:pPr>
              <w:keepNext/>
            </w:pPr>
          </w:p>
        </w:tc>
      </w:tr>
      <w:tr w:rsidR="004D4C89" w:rsidRPr="006167F9" w:rsidTr="00A90DD5">
        <w:trPr>
          <w:jc w:val="center"/>
        </w:trPr>
        <w:tc>
          <w:tcPr>
            <w:tcW w:w="4876" w:type="dxa"/>
          </w:tcPr>
          <w:p w:rsidR="004D4C89" w:rsidRPr="006167F9" w:rsidRDefault="004D4C89" w:rsidP="00A90DD5">
            <w:pPr>
              <w:pStyle w:val="ColumnHeading"/>
              <w:keepNext/>
            </w:pPr>
            <w:r w:rsidRPr="006167F9">
              <w:t>Tekst koji je predložila Komisija</w:t>
            </w:r>
          </w:p>
        </w:tc>
        <w:tc>
          <w:tcPr>
            <w:tcW w:w="4876" w:type="dxa"/>
          </w:tcPr>
          <w:p w:rsidR="004D4C89" w:rsidRPr="006167F9" w:rsidRDefault="004D4C89" w:rsidP="00A90DD5">
            <w:pPr>
              <w:pStyle w:val="ColumnHeading"/>
              <w:keepNext/>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(2)</w:t>
            </w:r>
            <w:r w:rsidRPr="006167F9">
              <w:rPr>
                <w:b/>
                <w:i/>
              </w:rPr>
              <w:tab/>
              <w:t>Dobro funkcioniranje</w:t>
            </w:r>
            <w:r w:rsidRPr="006167F9">
              <w:t xml:space="preserve"> tržišta i sustava</w:t>
            </w:r>
            <w:r w:rsidRPr="006167F9">
              <w:rPr>
                <w:b/>
                <w:i/>
              </w:rPr>
              <w:t xml:space="preserve"> najbolje su jamstvo sigurnosti opskrbe</w:t>
            </w:r>
            <w:r w:rsidRPr="006167F9">
              <w:t>. Međutim, čak i kada tržišta i sustavi dobro funkcioniraju, nije moguće isključiti rizik pojave elektroenergetske krize</w:t>
            </w:r>
            <w:r w:rsidRPr="006167F9">
              <w:rPr>
                <w:b/>
                <w:i/>
              </w:rPr>
              <w:t xml:space="preserve"> </w:t>
            </w:r>
            <w:r w:rsidRPr="006167F9">
              <w:t>(koja može nastupiti kao rezultat ekstremnih vremenskih uvjeta, zlonamjernih napada</w:t>
            </w:r>
            <w:r w:rsidRPr="006167F9">
              <w:rPr>
                <w:b/>
                <w:i/>
              </w:rPr>
              <w:t>,</w:t>
            </w:r>
            <w:r w:rsidRPr="006167F9">
              <w:t xml:space="preserve"> nestašice goriva). Posljedice kriznih situacija često se šire preko nacionalnih granica. Čak i</w:t>
            </w:r>
            <w:r w:rsidRPr="006167F9">
              <w:rPr>
                <w:b/>
                <w:i/>
              </w:rPr>
              <w:t xml:space="preserve"> tamo gdje</w:t>
            </w:r>
            <w:r w:rsidRPr="006167F9">
              <w:t xml:space="preserve"> incidenti</w:t>
            </w:r>
            <w:r w:rsidRPr="006167F9">
              <w:rPr>
                <w:b/>
                <w:i/>
              </w:rPr>
              <w:t xml:space="preserve"> nastaju</w:t>
            </w:r>
            <w:r w:rsidRPr="006167F9">
              <w:t xml:space="preserve"> kao lokalna pojava</w:t>
            </w:r>
            <w:r w:rsidRPr="006167F9">
              <w:rPr>
                <w:b/>
                <w:i/>
              </w:rPr>
              <w:t>, njihovi se učinci</w:t>
            </w:r>
            <w:r w:rsidRPr="006167F9">
              <w:t xml:space="preserve"> brzo</w:t>
            </w:r>
            <w:r w:rsidRPr="006167F9">
              <w:rPr>
                <w:b/>
                <w:i/>
              </w:rPr>
              <w:t xml:space="preserve"> mogu proširiti preko granica</w:t>
            </w:r>
            <w:r w:rsidRPr="006167F9">
              <w:t>. Neke ekstremne okolnosti, poput vala hladnoće, toplinskog vala ili kibernetičkog napada, mogu istodobno pogoditi čitave regije.</w:t>
            </w:r>
          </w:p>
        </w:tc>
        <w:tc>
          <w:tcPr>
            <w:tcW w:w="4876" w:type="dxa"/>
          </w:tcPr>
          <w:p w:rsidR="004D4C89" w:rsidRPr="006167F9" w:rsidRDefault="004D4C89" w:rsidP="00A90DD5">
            <w:pPr>
              <w:pStyle w:val="Normal6"/>
              <w:rPr>
                <w:b/>
                <w:i/>
                <w:szCs w:val="24"/>
              </w:rPr>
            </w:pPr>
            <w:r w:rsidRPr="006167F9">
              <w:t>(2)</w:t>
            </w:r>
            <w:r w:rsidRPr="006167F9">
              <w:rPr>
                <w:b/>
                <w:i/>
              </w:rPr>
              <w:tab/>
              <w:t>Sigurnost opskrbe u Uniji na najbolji se način jamči dobrim funkcioniranjem</w:t>
            </w:r>
            <w:r w:rsidRPr="006167F9">
              <w:t xml:space="preserve"> tržišta i sustava</w:t>
            </w:r>
            <w:r w:rsidRPr="006167F9">
              <w:rPr>
                <w:b/>
                <w:i/>
              </w:rPr>
              <w:t xml:space="preserve"> uz razvijene i tehnološki suvremene elektroenergetske interkonekcije, čime se jamči slobodan protok energije preko granica, mjere energetske učinkovitosti i daljnji razvoj obnovljivih izvora energije</w:t>
            </w:r>
            <w:r w:rsidRPr="006167F9">
              <w:t>. Međutim, čak i kada tržišta i sustavi dobro funkcioniraju</w:t>
            </w:r>
            <w:r w:rsidRPr="006167F9">
              <w:rPr>
                <w:b/>
                <w:i/>
              </w:rPr>
              <w:t xml:space="preserve"> i međusobno su povezani</w:t>
            </w:r>
            <w:r w:rsidRPr="006167F9">
              <w:t>, nije moguće isključiti rizik pojave elektroenergetske krize</w:t>
            </w:r>
            <w:r w:rsidRPr="006167F9">
              <w:rPr>
                <w:b/>
                <w:i/>
              </w:rPr>
              <w:t xml:space="preserve"> </w:t>
            </w:r>
            <w:r w:rsidRPr="006167F9">
              <w:t>(koja može nastupiti</w:t>
            </w:r>
            <w:r w:rsidRPr="006167F9">
              <w:rPr>
                <w:b/>
                <w:i/>
              </w:rPr>
              <w:t xml:space="preserve"> posebno</w:t>
            </w:r>
            <w:r w:rsidRPr="006167F9">
              <w:t xml:space="preserve"> kao rezultat ekstremnih vremenskih uvjeta, zlonamjernih napada</w:t>
            </w:r>
            <w:r w:rsidRPr="006167F9">
              <w:rPr>
                <w:b/>
                <w:i/>
              </w:rPr>
              <w:t xml:space="preserve"> ili</w:t>
            </w:r>
            <w:r w:rsidRPr="006167F9">
              <w:t xml:space="preserve"> nestašice goriva). Posljedice kriznih situacija često se šire preko nacionalnih granica. Čak i incidenti</w:t>
            </w:r>
            <w:r w:rsidRPr="006167F9">
              <w:rPr>
                <w:b/>
                <w:i/>
              </w:rPr>
              <w:t xml:space="preserve"> koji nastanu</w:t>
            </w:r>
            <w:r w:rsidRPr="006167F9">
              <w:t xml:space="preserve"> kao lokalna pojava</w:t>
            </w:r>
            <w:r w:rsidRPr="006167F9">
              <w:rPr>
                <w:b/>
                <w:i/>
              </w:rPr>
              <w:t xml:space="preserve"> mogu</w:t>
            </w:r>
            <w:r w:rsidRPr="006167F9">
              <w:t xml:space="preserve"> brzo</w:t>
            </w:r>
            <w:r w:rsidRPr="006167F9">
              <w:rPr>
                <w:b/>
                <w:i/>
              </w:rPr>
              <w:t xml:space="preserve"> imati prekogranični učinak</w:t>
            </w:r>
            <w:r w:rsidRPr="006167F9">
              <w:t>. Neke ekstremne okolnosti, poput vala hladnoće, toplinskog vala ili kibernetičkog napada, mogu istodobno pogoditi čitave regije.</w:t>
            </w:r>
          </w:p>
        </w:tc>
      </w:tr>
    </w:tbl>
    <w:p w:rsidR="004D4C89" w:rsidRPr="006167F9" w:rsidRDefault="004D4C89" w:rsidP="004D4C89"/>
    <w:p w:rsidR="004D4C89" w:rsidRPr="006167F9" w:rsidRDefault="004D4C89" w:rsidP="004D4C89">
      <w:pPr>
        <w:pStyle w:val="AMNumberTabs"/>
      </w:pPr>
      <w:r w:rsidRPr="006167F9">
        <w:t>Amandman</w:t>
      </w:r>
      <w:r w:rsidRPr="006167F9">
        <w:tab/>
      </w:r>
      <w:r w:rsidRPr="006167F9">
        <w:tab/>
        <w:t>3</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Uvodna izjava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C89" w:rsidRPr="006167F9" w:rsidTr="00A90DD5">
        <w:trPr>
          <w:trHeight w:hRule="exact" w:val="240"/>
          <w:jc w:val="center"/>
        </w:trPr>
        <w:tc>
          <w:tcPr>
            <w:tcW w:w="9752" w:type="dxa"/>
            <w:gridSpan w:val="2"/>
          </w:tcPr>
          <w:p w:rsidR="004D4C89" w:rsidRPr="006167F9" w:rsidRDefault="004D4C89" w:rsidP="00A90DD5"/>
        </w:tc>
      </w:tr>
      <w:tr w:rsidR="004D4C89" w:rsidRPr="006167F9" w:rsidTr="00A90DD5">
        <w:trPr>
          <w:trHeight w:val="240"/>
          <w:jc w:val="center"/>
        </w:trPr>
        <w:tc>
          <w:tcPr>
            <w:tcW w:w="4876" w:type="dxa"/>
          </w:tcPr>
          <w:p w:rsidR="004D4C89" w:rsidRPr="006167F9" w:rsidRDefault="004D4C89" w:rsidP="00A90DD5">
            <w:pPr>
              <w:pStyle w:val="ColumnHeading"/>
            </w:pPr>
            <w:r w:rsidRPr="006167F9">
              <w:t>Tekst koji je predložila Komisija</w:t>
            </w:r>
          </w:p>
        </w:tc>
        <w:tc>
          <w:tcPr>
            <w:tcW w:w="4876" w:type="dxa"/>
          </w:tcPr>
          <w:p w:rsidR="004D4C89" w:rsidRPr="006167F9" w:rsidRDefault="004D4C89" w:rsidP="00A90DD5">
            <w:pPr>
              <w:pStyle w:val="ColumnHeading"/>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(3)</w:t>
            </w:r>
            <w:r w:rsidRPr="006167F9">
              <w:rPr>
                <w:b/>
                <w:i/>
              </w:rPr>
              <w:tab/>
            </w:r>
            <w:r w:rsidRPr="006167F9">
              <w:t>U kontekstu međusobno povezanih tržišta i sustava električne energije sprečavanje krize i upravljanje njome ne mogu se smatrati isključivo nacionalnom odgovornošću. Potreban je zajednički okvir pravila i koordiniranih postupaka kako bi se osigurala djelotvorna prekogranična suradnja država članica i drugih aktera</w:t>
            </w:r>
            <w:r w:rsidRPr="006167F9">
              <w:rPr>
                <w:b/>
                <w:i/>
              </w:rPr>
              <w:t xml:space="preserve"> u duhu transparentnosti i solidarnosti</w:t>
            </w:r>
            <w:r w:rsidRPr="006167F9">
              <w:t>.</w:t>
            </w:r>
          </w:p>
        </w:tc>
        <w:tc>
          <w:tcPr>
            <w:tcW w:w="4876" w:type="dxa"/>
          </w:tcPr>
          <w:p w:rsidR="004D4C89" w:rsidRPr="006167F9" w:rsidRDefault="004D4C89" w:rsidP="00A90DD5">
            <w:pPr>
              <w:pStyle w:val="Normal6"/>
              <w:rPr>
                <w:b/>
                <w:i/>
              </w:rPr>
            </w:pPr>
            <w:r w:rsidRPr="006167F9">
              <w:t>(3)</w:t>
            </w:r>
            <w:r w:rsidRPr="006167F9">
              <w:rPr>
                <w:b/>
                <w:i/>
              </w:rPr>
              <w:tab/>
            </w:r>
            <w:r w:rsidRPr="006167F9">
              <w:t>U kontekstu međusobno povezanih tržišta i sustava električne energije sprečavanje krize i upravljanje njome ne mogu se smatrati isključivo nacionalnom odgovornošću</w:t>
            </w:r>
            <w:r w:rsidRPr="006167F9">
              <w:rPr>
                <w:b/>
                <w:i/>
              </w:rPr>
              <w:t xml:space="preserve"> te bi trebalo bolje iskoristiti potencijal učinkovitijih i jeftinijih mjera u okviru regionalne suradnje</w:t>
            </w:r>
            <w:r w:rsidRPr="006167F9">
              <w:t>. Potreban je zajednički okvir pravila i</w:t>
            </w:r>
            <w:r w:rsidRPr="006167F9">
              <w:rPr>
                <w:b/>
                <w:i/>
              </w:rPr>
              <w:t xml:space="preserve"> bolje</w:t>
            </w:r>
            <w:r w:rsidRPr="006167F9">
              <w:t xml:space="preserve"> koordiniranih postupaka kako bi se osigurala djelotvorna prekogranična </w:t>
            </w:r>
            <w:r w:rsidRPr="006167F9">
              <w:lastRenderedPageBreak/>
              <w:t>suradnja država članica i drugih aktera</w:t>
            </w:r>
            <w:r w:rsidRPr="006167F9">
              <w:rPr>
                <w:b/>
                <w:i/>
              </w:rPr>
              <w:t xml:space="preserve"> te povećali transparentnost, povjerenje i solidarnost među državama članicama</w:t>
            </w:r>
            <w:r w:rsidRPr="006167F9">
              <w:t>.</w:t>
            </w:r>
          </w:p>
        </w:tc>
      </w:tr>
    </w:tbl>
    <w:p w:rsidR="004D4C89" w:rsidRPr="006167F9" w:rsidRDefault="004D4C89" w:rsidP="004D4C89"/>
    <w:p w:rsidR="004D4C89" w:rsidRPr="006167F9" w:rsidRDefault="004D4C89" w:rsidP="004D4C89">
      <w:pPr>
        <w:pStyle w:val="AMNumberTabs"/>
      </w:pPr>
      <w:r w:rsidRPr="006167F9">
        <w:t>Amandman</w:t>
      </w:r>
      <w:r w:rsidRPr="006167F9">
        <w:tab/>
      </w:r>
      <w:r w:rsidRPr="006167F9">
        <w:tab/>
        <w:t>4</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Uvodna izjava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C89" w:rsidRPr="006167F9" w:rsidTr="00A90DD5">
        <w:trPr>
          <w:trHeight w:hRule="exact" w:val="240"/>
          <w:jc w:val="center"/>
        </w:trPr>
        <w:tc>
          <w:tcPr>
            <w:tcW w:w="9752" w:type="dxa"/>
            <w:gridSpan w:val="2"/>
          </w:tcPr>
          <w:p w:rsidR="004D4C89" w:rsidRPr="006167F9" w:rsidRDefault="004D4C89" w:rsidP="00A90DD5"/>
        </w:tc>
      </w:tr>
      <w:tr w:rsidR="004D4C89" w:rsidRPr="006167F9" w:rsidTr="00A90DD5">
        <w:trPr>
          <w:trHeight w:val="240"/>
          <w:jc w:val="center"/>
        </w:trPr>
        <w:tc>
          <w:tcPr>
            <w:tcW w:w="4876" w:type="dxa"/>
          </w:tcPr>
          <w:p w:rsidR="004D4C89" w:rsidRPr="006167F9" w:rsidRDefault="004D4C89" w:rsidP="00A90DD5">
            <w:pPr>
              <w:pStyle w:val="ColumnHeading"/>
            </w:pPr>
            <w:r w:rsidRPr="006167F9">
              <w:t>Tekst koji je predložila Komisija</w:t>
            </w:r>
          </w:p>
        </w:tc>
        <w:tc>
          <w:tcPr>
            <w:tcW w:w="4876" w:type="dxa"/>
          </w:tcPr>
          <w:p w:rsidR="004D4C89" w:rsidRPr="006167F9" w:rsidRDefault="004D4C89" w:rsidP="00A90DD5">
            <w:pPr>
              <w:pStyle w:val="ColumnHeading"/>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(5)</w:t>
            </w:r>
            <w:r w:rsidRPr="006167F9">
              <w:rPr>
                <w:b/>
                <w:i/>
              </w:rPr>
              <w:tab/>
            </w:r>
            <w:r w:rsidRPr="006167F9">
              <w:t>Smjernice za pogon sustava</w:t>
            </w:r>
            <w:r w:rsidRPr="006167F9">
              <w:rPr>
                <w:rStyle w:val="Sup"/>
                <w:color w:val="auto"/>
              </w:rPr>
              <w:t>24</w:t>
            </w:r>
            <w:r w:rsidRPr="006167F9">
              <w:t xml:space="preserve"> i</w:t>
            </w:r>
            <w:r w:rsidRPr="006167F9">
              <w:rPr>
                <w:b/>
                <w:i/>
              </w:rPr>
              <w:t xml:space="preserve"> Kod mreže za izvanredno stanje</w:t>
            </w:r>
            <w:r w:rsidRPr="006167F9">
              <w:t xml:space="preserve"> i ponovnu uspostavu</w:t>
            </w:r>
            <w:r w:rsidRPr="006167F9">
              <w:rPr>
                <w:b/>
                <w:i/>
              </w:rPr>
              <w:t xml:space="preserve"> rada</w:t>
            </w:r>
            <w:r w:rsidRPr="006167F9">
              <w:rPr>
                <w:rStyle w:val="Sup"/>
                <w:b/>
                <w:i/>
                <w:color w:val="auto"/>
              </w:rPr>
              <w:t>25</w:t>
            </w:r>
            <w:r w:rsidRPr="006167F9">
              <w:t xml:space="preserve"> detaljni su</w:t>
            </w:r>
            <w:r w:rsidRPr="006167F9">
              <w:rPr>
                <w:b/>
                <w:i/>
              </w:rPr>
              <w:t xml:space="preserve"> pravilnik kojim</w:t>
            </w:r>
            <w:r w:rsidRPr="006167F9">
              <w:t xml:space="preserve"> se utvrđuje kako operatori prijenosnih sustava i drugi odgovarajući akteri trebaju djelovati i surađivati da bi osigurali sigurnost sustava. Tim tehničkim pravilima treba osigurati da se na operativnoj razini</w:t>
            </w:r>
            <w:r w:rsidRPr="006167F9">
              <w:rPr>
                <w:b/>
                <w:i/>
              </w:rPr>
              <w:t xml:space="preserve"> većinom elektroenergetskih incidenata</w:t>
            </w:r>
            <w:r w:rsidRPr="006167F9">
              <w:t xml:space="preserve"> upravlja na djelotvoran način. Ova Uredba usmjerena je na elektroenergetske krizne situacije koje bi mogle imati veći razmjer i učinak. Njome se utvrđuje što bi države članice trebale poduzeti u cilju sprečavanja takvih situacija i koje mjere mogu poduzeti ako operativna pravila sustava više nisu dovoljna. Međutim, čak i u kriznim situacijama trebalo bi se i dalje u potpunosti pridržavati operativnih pravila sustava.</w:t>
            </w:r>
          </w:p>
        </w:tc>
        <w:tc>
          <w:tcPr>
            <w:tcW w:w="4876" w:type="dxa"/>
          </w:tcPr>
          <w:p w:rsidR="004D4C89" w:rsidRPr="006167F9" w:rsidRDefault="004D4C89" w:rsidP="00A90DD5">
            <w:pPr>
              <w:pStyle w:val="Normal6"/>
              <w:rPr>
                <w:b/>
                <w:i/>
              </w:rPr>
            </w:pPr>
            <w:r w:rsidRPr="006167F9">
              <w:t>(5)</w:t>
            </w:r>
            <w:r w:rsidRPr="006167F9">
              <w:rPr>
                <w:b/>
                <w:i/>
              </w:rPr>
              <w:tab/>
            </w:r>
            <w:r w:rsidRPr="006167F9">
              <w:t>Smjernice za pogon sustava</w:t>
            </w:r>
            <w:r w:rsidRPr="006167F9">
              <w:rPr>
                <w:rStyle w:val="Sup"/>
                <w:color w:val="auto"/>
              </w:rPr>
              <w:t>24</w:t>
            </w:r>
            <w:r w:rsidRPr="006167F9">
              <w:t xml:space="preserve"> i</w:t>
            </w:r>
            <w:r w:rsidRPr="006167F9">
              <w:rPr>
                <w:b/>
                <w:i/>
              </w:rPr>
              <w:t xml:space="preserve"> mrežni kodeks za poremećeni pogon</w:t>
            </w:r>
            <w:r w:rsidRPr="006167F9">
              <w:t xml:space="preserve"> i ponovnu uspostavu</w:t>
            </w:r>
            <w:r w:rsidRPr="006167F9">
              <w:rPr>
                <w:b/>
                <w:i/>
              </w:rPr>
              <w:t xml:space="preserve"> elektroenergetskih sustava</w:t>
            </w:r>
            <w:r w:rsidRPr="006167F9">
              <w:rPr>
                <w:rStyle w:val="Sup"/>
                <w:b/>
                <w:i/>
                <w:color w:val="auto"/>
              </w:rPr>
              <w:t>25</w:t>
            </w:r>
            <w:r w:rsidRPr="006167F9">
              <w:t xml:space="preserve"> detaljni su</w:t>
            </w:r>
            <w:r w:rsidRPr="006167F9">
              <w:rPr>
                <w:b/>
                <w:i/>
              </w:rPr>
              <w:t xml:space="preserve"> pravilnici kojima</w:t>
            </w:r>
            <w:r w:rsidRPr="006167F9">
              <w:t xml:space="preserve"> se utvrđuje kako operatori prijenosnih sustava i drugi odgovarajući akteri trebaju djelovati i surađivati da bi osigurali sigurnost sustava. Tim tehničkim pravilima treba osigurati da se na operativnoj razini</w:t>
            </w:r>
            <w:r w:rsidRPr="006167F9">
              <w:rPr>
                <w:b/>
                <w:i/>
              </w:rPr>
              <w:t xml:space="preserve"> elektroenergetskim incidentima</w:t>
            </w:r>
            <w:r w:rsidRPr="006167F9">
              <w:t xml:space="preserve"> upravlja na djelotvoran način. Ova Uredba usmjerena je na elektroenergetske krizne situacije koje bi mogle imati veći razmjer i učinak. Njome se utvrđuje što bi države članice trebale poduzeti u cilju sprečavanja takvih situacija i koje mjere mogu poduzeti ako operativna pravila sustava više nisu dovoljna. Međutim, čak i u kriznim situacijama trebalo bi se i dalje u potpunosti pridržavati operativnih pravila sustava</w:t>
            </w:r>
            <w:r w:rsidRPr="006167F9">
              <w:rPr>
                <w:b/>
                <w:i/>
              </w:rPr>
              <w:t xml:space="preserve"> te zajamčiti usklađenost odredbi utvrđenih ovom Uredbom i mrežnog kodeksa za poremećeni pogon i ponovnu uspostavu elektroenergetskih sustava</w:t>
            </w:r>
            <w:r w:rsidRPr="006167F9">
              <w:t>.</w:t>
            </w:r>
            <w:r w:rsidRPr="006167F9">
              <w:rPr>
                <w:b/>
                <w:i/>
              </w:rPr>
              <w:t xml:space="preserve"> </w:t>
            </w:r>
          </w:p>
        </w:tc>
      </w:tr>
      <w:tr w:rsidR="004D4C89" w:rsidRPr="006167F9" w:rsidTr="00A90DD5">
        <w:trPr>
          <w:jc w:val="center"/>
        </w:trPr>
        <w:tc>
          <w:tcPr>
            <w:tcW w:w="4876" w:type="dxa"/>
          </w:tcPr>
          <w:p w:rsidR="004D4C89" w:rsidRPr="006167F9" w:rsidRDefault="004D4C89" w:rsidP="00A90DD5">
            <w:pPr>
              <w:pStyle w:val="Normal6"/>
              <w:rPr>
                <w:b/>
                <w:i/>
              </w:rPr>
            </w:pPr>
            <w:r w:rsidRPr="006167F9">
              <w:t>_________________</w:t>
            </w:r>
          </w:p>
        </w:tc>
        <w:tc>
          <w:tcPr>
            <w:tcW w:w="4876" w:type="dxa"/>
          </w:tcPr>
          <w:p w:rsidR="004D4C89" w:rsidRPr="006167F9" w:rsidRDefault="004D4C89" w:rsidP="00A90DD5">
            <w:pPr>
              <w:pStyle w:val="Normal6"/>
              <w:rPr>
                <w:b/>
                <w:i/>
              </w:rPr>
            </w:pPr>
            <w:r w:rsidRPr="006167F9">
              <w:t>_________________</w:t>
            </w:r>
          </w:p>
        </w:tc>
      </w:tr>
      <w:tr w:rsidR="004D4C89" w:rsidRPr="006167F9" w:rsidTr="00A90DD5">
        <w:trPr>
          <w:jc w:val="center"/>
        </w:trPr>
        <w:tc>
          <w:tcPr>
            <w:tcW w:w="4876" w:type="dxa"/>
          </w:tcPr>
          <w:p w:rsidR="004D4C89" w:rsidRPr="006167F9" w:rsidRDefault="004D4C89" w:rsidP="00A90DD5">
            <w:pPr>
              <w:pStyle w:val="Normal6"/>
              <w:rPr>
                <w:b/>
                <w:i/>
              </w:rPr>
            </w:pPr>
            <w:r w:rsidRPr="006167F9">
              <w:rPr>
                <w:rStyle w:val="Sup"/>
                <w:color w:val="auto"/>
              </w:rPr>
              <w:t>24</w:t>
            </w:r>
            <w:r w:rsidRPr="006167F9">
              <w:t xml:space="preserve"> Uredba Komisije</w:t>
            </w:r>
            <w:r w:rsidRPr="006167F9">
              <w:rPr>
                <w:b/>
                <w:i/>
              </w:rPr>
              <w:t xml:space="preserve"> </w:t>
            </w:r>
            <w:r w:rsidRPr="006167F9">
              <w:t>(EU)</w:t>
            </w:r>
            <w:r w:rsidRPr="006167F9">
              <w:rPr>
                <w:b/>
                <w:i/>
              </w:rPr>
              <w:t xml:space="preserve"> </w:t>
            </w:r>
            <w:r w:rsidRPr="006167F9">
              <w:t>.../... od XXX o uspostavljanju smjernica za pogon elektroenergetskog prijenosnog sustava</w:t>
            </w:r>
            <w:r w:rsidRPr="006167F9">
              <w:rPr>
                <w:b/>
                <w:i/>
              </w:rPr>
              <w:t xml:space="preserve"> </w:t>
            </w:r>
            <w:r w:rsidRPr="006167F9">
              <w:t>(SL [...]).</w:t>
            </w:r>
          </w:p>
        </w:tc>
        <w:tc>
          <w:tcPr>
            <w:tcW w:w="4876" w:type="dxa"/>
          </w:tcPr>
          <w:p w:rsidR="004D4C89" w:rsidRPr="006167F9" w:rsidRDefault="004D4C89" w:rsidP="00A90DD5">
            <w:pPr>
              <w:pStyle w:val="Normal6"/>
              <w:rPr>
                <w:b/>
                <w:i/>
              </w:rPr>
            </w:pPr>
            <w:r w:rsidRPr="006167F9">
              <w:rPr>
                <w:rStyle w:val="Sup"/>
                <w:color w:val="auto"/>
              </w:rPr>
              <w:t>24</w:t>
            </w:r>
            <w:r w:rsidRPr="006167F9">
              <w:t xml:space="preserve"> Uredba Komisije</w:t>
            </w:r>
            <w:r w:rsidRPr="006167F9">
              <w:rPr>
                <w:b/>
                <w:i/>
              </w:rPr>
              <w:t xml:space="preserve"> </w:t>
            </w:r>
            <w:r w:rsidRPr="006167F9">
              <w:t>(EU)</w:t>
            </w:r>
            <w:r w:rsidRPr="006167F9">
              <w:rPr>
                <w:b/>
                <w:i/>
              </w:rPr>
              <w:t xml:space="preserve"> </w:t>
            </w:r>
            <w:r w:rsidRPr="006167F9">
              <w:t>.../... od XXX o uspostavljanju smjernica za pogon elektroenergetskog prijenosnog sustava</w:t>
            </w:r>
            <w:r w:rsidRPr="006167F9">
              <w:rPr>
                <w:b/>
                <w:i/>
              </w:rPr>
              <w:t xml:space="preserve"> </w:t>
            </w:r>
            <w:r w:rsidRPr="006167F9">
              <w:t>(SL [...]).</w:t>
            </w:r>
          </w:p>
        </w:tc>
      </w:tr>
      <w:tr w:rsidR="004D4C89" w:rsidRPr="006167F9" w:rsidTr="00A90DD5">
        <w:trPr>
          <w:jc w:val="center"/>
        </w:trPr>
        <w:tc>
          <w:tcPr>
            <w:tcW w:w="4876" w:type="dxa"/>
          </w:tcPr>
          <w:p w:rsidR="004D4C89" w:rsidRPr="006167F9" w:rsidRDefault="004D4C89" w:rsidP="00A90DD5">
            <w:pPr>
              <w:pStyle w:val="Normal6"/>
              <w:rPr>
                <w:b/>
                <w:i/>
              </w:rPr>
            </w:pPr>
            <w:r w:rsidRPr="006167F9">
              <w:rPr>
                <w:rStyle w:val="Sup"/>
                <w:color w:val="auto"/>
              </w:rPr>
              <w:t>25</w:t>
            </w:r>
            <w:r w:rsidRPr="006167F9">
              <w:t xml:space="preserve"> Uredba Komisije</w:t>
            </w:r>
            <w:r w:rsidRPr="006167F9">
              <w:rPr>
                <w:b/>
                <w:i/>
              </w:rPr>
              <w:t xml:space="preserve"> </w:t>
            </w:r>
            <w:r w:rsidRPr="006167F9">
              <w:t>(EU)</w:t>
            </w:r>
            <w:r w:rsidRPr="006167F9">
              <w:rPr>
                <w:b/>
                <w:i/>
              </w:rPr>
              <w:t xml:space="preserve"> </w:t>
            </w:r>
            <w:r w:rsidRPr="006167F9">
              <w:t>.../... od XXX o uspostavljanju</w:t>
            </w:r>
            <w:r w:rsidRPr="006167F9">
              <w:rPr>
                <w:b/>
                <w:i/>
              </w:rPr>
              <w:t xml:space="preserve"> koda mreže za izvanredno stanje</w:t>
            </w:r>
            <w:r w:rsidRPr="006167F9">
              <w:t xml:space="preserve"> i ponovnu uspostavu</w:t>
            </w:r>
            <w:r w:rsidRPr="006167F9">
              <w:rPr>
                <w:b/>
                <w:i/>
              </w:rPr>
              <w:t xml:space="preserve"> rada elektroenergetskog</w:t>
            </w:r>
            <w:r w:rsidRPr="006167F9">
              <w:t xml:space="preserve"> sustava</w:t>
            </w:r>
            <w:r w:rsidRPr="006167F9">
              <w:rPr>
                <w:b/>
                <w:i/>
              </w:rPr>
              <w:t xml:space="preserve"> </w:t>
            </w:r>
            <w:r w:rsidRPr="006167F9">
              <w:t>(SL [...]).</w:t>
            </w:r>
          </w:p>
        </w:tc>
        <w:tc>
          <w:tcPr>
            <w:tcW w:w="4876" w:type="dxa"/>
          </w:tcPr>
          <w:p w:rsidR="004D4C89" w:rsidRPr="006167F9" w:rsidRDefault="004D4C89" w:rsidP="00A90DD5">
            <w:pPr>
              <w:pStyle w:val="Normal6"/>
              <w:rPr>
                <w:b/>
                <w:i/>
              </w:rPr>
            </w:pPr>
            <w:r w:rsidRPr="006167F9">
              <w:rPr>
                <w:rStyle w:val="Sup"/>
                <w:color w:val="auto"/>
              </w:rPr>
              <w:t>25</w:t>
            </w:r>
            <w:r w:rsidRPr="006167F9">
              <w:t xml:space="preserve"> Uredba Komisije</w:t>
            </w:r>
            <w:r w:rsidRPr="006167F9">
              <w:rPr>
                <w:b/>
                <w:i/>
              </w:rPr>
              <w:t xml:space="preserve"> </w:t>
            </w:r>
            <w:r w:rsidRPr="006167F9">
              <w:t>(EU)</w:t>
            </w:r>
            <w:r w:rsidRPr="006167F9">
              <w:rPr>
                <w:b/>
                <w:i/>
              </w:rPr>
              <w:t xml:space="preserve"> </w:t>
            </w:r>
            <w:r w:rsidRPr="006167F9">
              <w:t>.../... od XXX o uspostavljanju</w:t>
            </w:r>
            <w:r w:rsidRPr="006167F9">
              <w:rPr>
                <w:b/>
                <w:i/>
              </w:rPr>
              <w:t xml:space="preserve"> mrežnog kodeksa za poremećeni pogon</w:t>
            </w:r>
            <w:r w:rsidRPr="006167F9">
              <w:t xml:space="preserve"> i ponovnu uspostavu</w:t>
            </w:r>
            <w:r w:rsidRPr="006167F9">
              <w:rPr>
                <w:b/>
                <w:i/>
              </w:rPr>
              <w:t xml:space="preserve"> elektroenergetskih</w:t>
            </w:r>
            <w:r w:rsidRPr="006167F9">
              <w:t xml:space="preserve"> sustava</w:t>
            </w:r>
            <w:r w:rsidRPr="006167F9">
              <w:rPr>
                <w:b/>
                <w:i/>
              </w:rPr>
              <w:t xml:space="preserve"> </w:t>
            </w:r>
            <w:r w:rsidRPr="006167F9">
              <w:t>(SL [...]).</w:t>
            </w:r>
          </w:p>
        </w:tc>
      </w:tr>
    </w:tbl>
    <w:p w:rsidR="00084A59" w:rsidRPr="006167F9" w:rsidRDefault="00084A59" w:rsidP="004D4C89"/>
    <w:p w:rsidR="004D4C89" w:rsidRPr="006167F9" w:rsidRDefault="004D4C89" w:rsidP="004D4C89">
      <w:pPr>
        <w:pStyle w:val="AMNumberTabs"/>
        <w:keepNext/>
      </w:pPr>
      <w:r w:rsidRPr="006167F9">
        <w:lastRenderedPageBreak/>
        <w:t>Amandman</w:t>
      </w:r>
      <w:r w:rsidRPr="006167F9">
        <w:tab/>
      </w:r>
      <w:r w:rsidRPr="006167F9">
        <w:tab/>
        <w:t>5</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Uvodna izjava 6.</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D4C89" w:rsidRPr="006167F9" w:rsidTr="00A90DD5">
        <w:trPr>
          <w:jc w:val="center"/>
        </w:trPr>
        <w:tc>
          <w:tcPr>
            <w:tcW w:w="9752" w:type="dxa"/>
            <w:gridSpan w:val="2"/>
          </w:tcPr>
          <w:p w:rsidR="004D4C89" w:rsidRPr="006167F9" w:rsidRDefault="004D4C89" w:rsidP="00A90DD5">
            <w:pPr>
              <w:keepNext/>
            </w:pPr>
          </w:p>
        </w:tc>
      </w:tr>
      <w:tr w:rsidR="004D4C89" w:rsidRPr="006167F9" w:rsidTr="00A90DD5">
        <w:trPr>
          <w:jc w:val="center"/>
        </w:trPr>
        <w:tc>
          <w:tcPr>
            <w:tcW w:w="4876" w:type="dxa"/>
          </w:tcPr>
          <w:p w:rsidR="004D4C89" w:rsidRPr="006167F9" w:rsidRDefault="004D4C89" w:rsidP="00A90DD5">
            <w:pPr>
              <w:pStyle w:val="ColumnHeading"/>
              <w:keepNext/>
            </w:pPr>
            <w:r w:rsidRPr="006167F9">
              <w:t>Tekst koji je predložila Komisija</w:t>
            </w:r>
          </w:p>
        </w:tc>
        <w:tc>
          <w:tcPr>
            <w:tcW w:w="4876" w:type="dxa"/>
          </w:tcPr>
          <w:p w:rsidR="004D4C89" w:rsidRPr="006167F9" w:rsidRDefault="004D4C89" w:rsidP="00A90DD5">
            <w:pPr>
              <w:pStyle w:val="ColumnHeading"/>
              <w:keepNext/>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(6)</w:t>
            </w:r>
            <w:r w:rsidRPr="006167F9">
              <w:rPr>
                <w:b/>
                <w:i/>
              </w:rPr>
              <w:tab/>
            </w:r>
            <w:r w:rsidRPr="006167F9">
              <w:t>Ovom Uredbom utvrđuje se zajednički okvir pravila o načinu sprečavanja elektroenergetskih kriznih situacija, pripremanja za njih i upravljanja njima, pri čemu se uvodi više transparentnosti u pripremnoj fazi i tijekom elektroenergetske krize i osigurava da, čak i u krizi, opskrba električnom energijom bude dostupna tamo gdje je najpotrebnija. Od država članica zahtijeva se suradnja na regionalnoj razini u duhu solidarnosti. U njoj se ujedno utvrđuje i okvir za djelotvorno praćenje sigurnosti opskrbe preko Koordinacijske skupine za električnu energiju. To bi trebalo dovesti do bolje pripremljenosti za rizike uz niže troškove. Osim toga</w:t>
            </w:r>
            <w:r w:rsidRPr="006167F9">
              <w:rPr>
                <w:b/>
                <w:i/>
              </w:rPr>
              <w:t>.</w:t>
            </w:r>
            <w:r w:rsidRPr="006167F9">
              <w:t xml:space="preserve"> time bi se unutarnje tržište energije trebalo učvrstiti jačanjem povjerenja među državama članicama i isključivanjem neprikladnih državnih intervencija u kriznim situacijama, osobito izbjegavanjem neprikladnog ograničavanja prekograničnih tokova.</w:t>
            </w:r>
          </w:p>
        </w:tc>
        <w:tc>
          <w:tcPr>
            <w:tcW w:w="4876" w:type="dxa"/>
          </w:tcPr>
          <w:p w:rsidR="004D4C89" w:rsidRPr="006167F9" w:rsidRDefault="004D4C89" w:rsidP="00A90DD5">
            <w:pPr>
              <w:pStyle w:val="Normal6"/>
              <w:rPr>
                <w:b/>
                <w:i/>
                <w:szCs w:val="24"/>
              </w:rPr>
            </w:pPr>
            <w:r w:rsidRPr="006167F9">
              <w:t>(6)</w:t>
            </w:r>
            <w:r w:rsidRPr="006167F9">
              <w:rPr>
                <w:b/>
                <w:i/>
              </w:rPr>
              <w:tab/>
            </w:r>
            <w:r w:rsidRPr="006167F9">
              <w:t>Ovom Uredbom utvrđuje se zajednički okvir pravila o načinu sprečavanja elektroenergetskih kriznih situacija, pripremanja za njih i upravljanja njima, pri čemu se uvodi više transparentnosti u pripremnoj fazi i tijekom elektroenergetske krize i osigurava da</w:t>
            </w:r>
            <w:r w:rsidRPr="006167F9">
              <w:rPr>
                <w:b/>
                <w:i/>
              </w:rPr>
              <w:t xml:space="preserve"> se</w:t>
            </w:r>
            <w:r w:rsidRPr="006167F9">
              <w:t>, čak i u krizi,</w:t>
            </w:r>
            <w:r w:rsidRPr="006167F9">
              <w:rPr>
                <w:b/>
                <w:i/>
              </w:rPr>
              <w:t xml:space="preserve"> mjere poduzimaju koordinirano i učinkovito te da</w:t>
            </w:r>
            <w:r w:rsidRPr="006167F9">
              <w:t xml:space="preserve"> opskrba električnom energijom bude dostupna tamo gdje je najpotrebnija. Od država članica zahtijeva se suradnja na regionalnoj razini u duhu solidarnosti. U njoj se ujedno utvrđuje i okvir za djelotvorno praćenje sigurnosti opskrbe</w:t>
            </w:r>
            <w:r w:rsidRPr="006167F9">
              <w:rPr>
                <w:b/>
                <w:i/>
              </w:rPr>
              <w:t xml:space="preserve"> u Europi</w:t>
            </w:r>
            <w:r w:rsidRPr="006167F9">
              <w:t xml:space="preserve"> preko Koordinacijske skupine za električnu energiju. To bi trebalo dovesti do bolje pripremljenosti za rizike uz niže troškove</w:t>
            </w:r>
            <w:r w:rsidRPr="006167F9">
              <w:rPr>
                <w:b/>
                <w:i/>
              </w:rPr>
              <w:t>, optimizacije resursa i ublaženog učinka na građane i poduzeća tijekom kriznih razdoblja</w:t>
            </w:r>
            <w:r w:rsidRPr="006167F9">
              <w:t>. Osim toga</w:t>
            </w:r>
            <w:r w:rsidRPr="006167F9">
              <w:rPr>
                <w:b/>
                <w:i/>
              </w:rPr>
              <w:t>,</w:t>
            </w:r>
            <w:r w:rsidRPr="006167F9">
              <w:t xml:space="preserve"> time bi se unutarnje tržište energije trebalo učvrstiti jačanjem povjerenja među državama članicama i isključivanjem neprikladnih državnih intervencija u kriznim situacijama, osobito izbjegavanjem</w:t>
            </w:r>
            <w:r w:rsidRPr="006167F9">
              <w:rPr>
                <w:b/>
                <w:i/>
              </w:rPr>
              <w:t xml:space="preserve"> nepotrebne primjene netržišnih mjera i</w:t>
            </w:r>
            <w:r w:rsidRPr="006167F9">
              <w:t xml:space="preserve"> neprikladnog ograničavanja prekograničnih tokova</w:t>
            </w:r>
            <w:r w:rsidRPr="006167F9">
              <w:rPr>
                <w:b/>
                <w:i/>
              </w:rPr>
              <w:t xml:space="preserve"> i prekozonskih kapaciteta prijenosa, čime se smanjuje rizik negativnih učinaka prelijevanja na susjedne države članice</w:t>
            </w:r>
            <w:r w:rsidRPr="006167F9">
              <w:t>.</w:t>
            </w:r>
          </w:p>
        </w:tc>
      </w:tr>
    </w:tbl>
    <w:p w:rsidR="004D4C89" w:rsidRPr="006167F9" w:rsidRDefault="004D4C89" w:rsidP="004D4C89"/>
    <w:p w:rsidR="004D4C89" w:rsidRPr="006167F9" w:rsidRDefault="004D4C89" w:rsidP="004D4C89">
      <w:pPr>
        <w:pStyle w:val="AMNumberTabs"/>
        <w:keepNext/>
      </w:pPr>
      <w:r w:rsidRPr="006167F9">
        <w:t>Amandman</w:t>
      </w:r>
      <w:r w:rsidRPr="006167F9">
        <w:tab/>
      </w:r>
      <w:r w:rsidRPr="006167F9">
        <w:tab/>
        <w:t>6</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Uvodna izjava 10.</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D4C89" w:rsidRPr="006167F9" w:rsidTr="00A90DD5">
        <w:trPr>
          <w:jc w:val="center"/>
        </w:trPr>
        <w:tc>
          <w:tcPr>
            <w:tcW w:w="9752" w:type="dxa"/>
            <w:gridSpan w:val="2"/>
          </w:tcPr>
          <w:p w:rsidR="004D4C89" w:rsidRPr="006167F9" w:rsidRDefault="004D4C89" w:rsidP="00A90DD5">
            <w:pPr>
              <w:keepNext/>
            </w:pPr>
          </w:p>
        </w:tc>
      </w:tr>
      <w:tr w:rsidR="004D4C89" w:rsidRPr="006167F9" w:rsidTr="00A90DD5">
        <w:trPr>
          <w:jc w:val="center"/>
        </w:trPr>
        <w:tc>
          <w:tcPr>
            <w:tcW w:w="4876" w:type="dxa"/>
          </w:tcPr>
          <w:p w:rsidR="004D4C89" w:rsidRPr="006167F9" w:rsidRDefault="004D4C89" w:rsidP="00A90DD5">
            <w:pPr>
              <w:pStyle w:val="ColumnHeading"/>
              <w:keepNext/>
            </w:pPr>
            <w:r w:rsidRPr="006167F9">
              <w:t>Tekst koji je predložila Komisija</w:t>
            </w:r>
          </w:p>
        </w:tc>
        <w:tc>
          <w:tcPr>
            <w:tcW w:w="4876" w:type="dxa"/>
          </w:tcPr>
          <w:p w:rsidR="004D4C89" w:rsidRPr="006167F9" w:rsidRDefault="004D4C89" w:rsidP="00A90DD5">
            <w:pPr>
              <w:pStyle w:val="ColumnHeading"/>
              <w:keepNext/>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(10)</w:t>
            </w:r>
            <w:r w:rsidRPr="006167F9">
              <w:rPr>
                <w:b/>
                <w:i/>
              </w:rPr>
              <w:tab/>
              <w:t>Da bi se olakšalo sprečavanje, razmjena</w:t>
            </w:r>
            <w:r w:rsidRPr="006167F9">
              <w:t xml:space="preserve"> informacija i</w:t>
            </w:r>
            <w:r w:rsidRPr="006167F9">
              <w:rPr>
                <w:b/>
                <w:i/>
              </w:rPr>
              <w:t xml:space="preserve"> ex post evaluacija elektroenergetskih</w:t>
            </w:r>
            <w:r w:rsidRPr="006167F9">
              <w:t xml:space="preserve"> kriza, države članice </w:t>
            </w:r>
            <w:r w:rsidRPr="006167F9">
              <w:lastRenderedPageBreak/>
              <w:t>trebale bi</w:t>
            </w:r>
            <w:r w:rsidRPr="006167F9">
              <w:rPr>
                <w:b/>
                <w:i/>
              </w:rPr>
              <w:t xml:space="preserve"> odrediti jedno nadležno tijelo</w:t>
            </w:r>
            <w:r w:rsidRPr="006167F9">
              <w:t xml:space="preserve"> kao kontaktnu točku. To može biti postojeće ili novo tijelo.</w:t>
            </w:r>
          </w:p>
        </w:tc>
        <w:tc>
          <w:tcPr>
            <w:tcW w:w="4876" w:type="dxa"/>
          </w:tcPr>
          <w:p w:rsidR="004D4C89" w:rsidRPr="006167F9" w:rsidRDefault="004D4C89" w:rsidP="00A90DD5">
            <w:pPr>
              <w:pStyle w:val="Normal6"/>
              <w:rPr>
                <w:b/>
                <w:i/>
                <w:szCs w:val="24"/>
              </w:rPr>
            </w:pPr>
            <w:r w:rsidRPr="006167F9">
              <w:lastRenderedPageBreak/>
              <w:t>(10)</w:t>
            </w:r>
            <w:r w:rsidRPr="006167F9">
              <w:rPr>
                <w:b/>
                <w:i/>
              </w:rPr>
              <w:tab/>
              <w:t xml:space="preserve">Sigurnost opskrbe zajednička je odgovornost mnogih aktera, od kojih svaki ima jasno definiranu ulogu u </w:t>
            </w:r>
            <w:r w:rsidRPr="006167F9">
              <w:rPr>
                <w:b/>
                <w:i/>
              </w:rPr>
              <w:lastRenderedPageBreak/>
              <w:t>upravljanju elektroenergetskim sustavima. Operatori distribucijskih sustava i operatori prijenosnih sustava imaju ključnu ulogu u osiguravanju sigurnog, pouzdanog i učinkovitog elektroenergetskog sustava u skladu s člancima 31. i 40. Direktive (EU) .../... Europskog parlamenta i Vijeća [predložena Direktiva o električnoj energiji, COD 2016/380]. Regulatorna tijela i druga relevantna nacionalna tijela također imaju važnu ulogu u osiguravanju i nadziranju sigurnosti opskrbe električnom energijom, u okviru zadaća koje su im dodijeljene u skladu s člankom 59. Direktive (EU) .../... [predložena Direktiva o električnoj energiji]. U cilju jamčenja transparentnog i uključivog sudjelovanja svih uključenih aktera, učinkovite pripreme i odgovarajuće provedbe planova pripremljenosti za rizike i regionalnih sporazuma, kao i olakšavanja prevencije, razmjene</w:t>
            </w:r>
            <w:r w:rsidRPr="006167F9">
              <w:t xml:space="preserve"> informacija i</w:t>
            </w:r>
            <w:r w:rsidRPr="006167F9">
              <w:rPr>
                <w:b/>
                <w:i/>
              </w:rPr>
              <w:t xml:space="preserve"> ex-post evaluacije električnih</w:t>
            </w:r>
            <w:r w:rsidRPr="006167F9">
              <w:t xml:space="preserve"> kriza, države članice trebale bi kao kontaktnu točku</w:t>
            </w:r>
            <w:r w:rsidRPr="006167F9">
              <w:rPr>
                <w:b/>
                <w:i/>
              </w:rPr>
              <w:t xml:space="preserve"> imenovati jedinstveno nadležno nacionalno vladino ili regulatorno tijelo</w:t>
            </w:r>
            <w:r w:rsidRPr="006167F9">
              <w:t>. To može biti postojeće ili novo tijelo.</w:t>
            </w:r>
          </w:p>
        </w:tc>
      </w:tr>
    </w:tbl>
    <w:p w:rsidR="004D4C89" w:rsidRPr="006167F9" w:rsidRDefault="004D4C89" w:rsidP="004D4C89"/>
    <w:p w:rsidR="004D4C89" w:rsidRPr="006167F9" w:rsidRDefault="004D4C89" w:rsidP="004D4C89">
      <w:pPr>
        <w:pStyle w:val="AMNumberTabs"/>
        <w:keepNext/>
      </w:pPr>
      <w:r w:rsidRPr="006167F9">
        <w:t>Amandman</w:t>
      </w:r>
      <w:r w:rsidRPr="006167F9">
        <w:tab/>
      </w:r>
      <w:r w:rsidRPr="006167F9">
        <w:tab/>
        <w:t>7</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Uvodna izjava 10.a (nova)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C89" w:rsidRPr="006167F9" w:rsidTr="00A90DD5">
        <w:trPr>
          <w:jc w:val="center"/>
        </w:trPr>
        <w:tc>
          <w:tcPr>
            <w:tcW w:w="9752" w:type="dxa"/>
            <w:gridSpan w:val="2"/>
          </w:tcPr>
          <w:p w:rsidR="004D4C89" w:rsidRPr="006167F9" w:rsidRDefault="004D4C89" w:rsidP="00A90DD5">
            <w:pPr>
              <w:keepNext/>
            </w:pPr>
          </w:p>
        </w:tc>
      </w:tr>
      <w:tr w:rsidR="004D4C89" w:rsidRPr="006167F9" w:rsidTr="00A90DD5">
        <w:trPr>
          <w:jc w:val="center"/>
        </w:trPr>
        <w:tc>
          <w:tcPr>
            <w:tcW w:w="4876" w:type="dxa"/>
            <w:hideMark/>
          </w:tcPr>
          <w:p w:rsidR="004D4C89" w:rsidRPr="006167F9" w:rsidRDefault="004D4C89" w:rsidP="00A90DD5">
            <w:pPr>
              <w:pStyle w:val="ColumnHeading"/>
              <w:keepNext/>
            </w:pPr>
            <w:r w:rsidRPr="006167F9">
              <w:t>Tekst koji je predložila Komisija</w:t>
            </w:r>
          </w:p>
        </w:tc>
        <w:tc>
          <w:tcPr>
            <w:tcW w:w="4876" w:type="dxa"/>
            <w:hideMark/>
          </w:tcPr>
          <w:p w:rsidR="004D4C89" w:rsidRPr="006167F9" w:rsidRDefault="004D4C89" w:rsidP="00A90DD5">
            <w:pPr>
              <w:pStyle w:val="ColumnHeading"/>
              <w:keepNext/>
            </w:pPr>
            <w:r w:rsidRPr="006167F9">
              <w:t>Izmjena</w:t>
            </w:r>
          </w:p>
        </w:tc>
      </w:tr>
      <w:tr w:rsidR="004D4C89" w:rsidRPr="006167F9" w:rsidTr="00A90DD5">
        <w:trPr>
          <w:jc w:val="center"/>
        </w:trPr>
        <w:tc>
          <w:tcPr>
            <w:tcW w:w="4876" w:type="dxa"/>
            <w:hideMark/>
          </w:tcPr>
          <w:p w:rsidR="004D4C89" w:rsidRPr="006167F9" w:rsidRDefault="004D4C89" w:rsidP="00A90DD5">
            <w:pPr>
              <w:pStyle w:val="Normal6"/>
            </w:pPr>
          </w:p>
        </w:tc>
        <w:tc>
          <w:tcPr>
            <w:tcW w:w="4876" w:type="dxa"/>
            <w:hideMark/>
          </w:tcPr>
          <w:p w:rsidR="004D4C89" w:rsidRPr="006167F9" w:rsidRDefault="004D4C89" w:rsidP="00A90DD5">
            <w:pPr>
              <w:pStyle w:val="Normal6"/>
              <w:rPr>
                <w:b/>
                <w:i/>
                <w:szCs w:val="24"/>
              </w:rPr>
            </w:pPr>
            <w:r w:rsidRPr="006167F9">
              <w:rPr>
                <w:b/>
                <w:i/>
              </w:rPr>
              <w:t>(10 a)</w:t>
            </w:r>
            <w:r w:rsidRPr="006167F9">
              <w:rPr>
                <w:b/>
                <w:i/>
              </w:rPr>
              <w:tab/>
              <w:t xml:space="preserve">Zajednički pristup sprečavanju kriza i upravljanju iziskuje zajedničku definiciju elektroenergetske krize. Kako bi se prevladale postojeće razlike u pristupima diljem Unije, ovom bi se Uredbom elektroenergetska kriza trebala, u širem smislu, definirati kao situacija u kojoj postoji ili prijeti znatna nestašica ili nemogućnost isporuke električne energije. Države bi članice trebale biti obvezne utvrditi konkretne </w:t>
            </w:r>
            <w:r w:rsidRPr="006167F9">
              <w:rPr>
                <w:b/>
                <w:i/>
              </w:rPr>
              <w:lastRenderedPageBreak/>
              <w:t>elektroenergetske krizne scenarije na regionalnoj i nacionalnoj razini, a potom u svojim planovima pripremljenosti za rizike osmisliti konkretne mjere za rješavanje takvih situacija. Tim bi se pristupom trebalo osigurati obuhvaćenost svih mogućih kriznih situacija, imajući na umu regionalne i nacionalne posebnosti kao što su topografija mreže, kombinacija električne energije, količina proizvodnje i potrošnje te disperzija stanovništva.</w:t>
            </w:r>
          </w:p>
        </w:tc>
      </w:tr>
    </w:tbl>
    <w:p w:rsidR="004D4C89" w:rsidRPr="006167F9" w:rsidRDefault="004D4C89" w:rsidP="004D4C89">
      <w:pPr>
        <w:pStyle w:val="JustificationTitle"/>
      </w:pPr>
      <w:r w:rsidRPr="006167F9">
        <w:lastRenderedPageBreak/>
        <w:t>Obrazloženje</w:t>
      </w:r>
    </w:p>
    <w:p w:rsidR="00084A59" w:rsidRPr="006167F9" w:rsidRDefault="004D4C89" w:rsidP="004D4C89">
      <w:pPr>
        <w:pStyle w:val="Normal12Italic"/>
      </w:pPr>
      <w:r w:rsidRPr="006167F9">
        <w:t>Trenutačno ne postoji zajednički europski stav o tome što znači i podrazumijeva krizna situacija. Zbog toga, te kako bi se državama članicama omogućilo da u svojim nacionalnim planovima pripremljenosti za rizike definiraju/kvantificiraju što točno znači „znatna nestašica električne energije” ili „nemogućnost isporuke”, definicija „krizne situacije” treba biti široka kako bi obuhvatila sve moguće krizne situacije diljem Europe.</w:t>
      </w:r>
    </w:p>
    <w:p w:rsidR="004D4C89" w:rsidRPr="006167F9" w:rsidRDefault="004D4C89" w:rsidP="004D4C89">
      <w:pPr>
        <w:pStyle w:val="AMNumberTabs"/>
        <w:keepNext/>
      </w:pPr>
      <w:r w:rsidRPr="006167F9">
        <w:t>Amandman</w:t>
      </w:r>
      <w:r w:rsidRPr="006167F9">
        <w:tab/>
      </w:r>
      <w:r w:rsidRPr="006167F9">
        <w:tab/>
        <w:t>8</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Uvodna izjava 11.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D4C89" w:rsidRPr="006167F9" w:rsidTr="00A90DD5">
        <w:trPr>
          <w:jc w:val="center"/>
        </w:trPr>
        <w:tc>
          <w:tcPr>
            <w:tcW w:w="9752" w:type="dxa"/>
            <w:gridSpan w:val="2"/>
          </w:tcPr>
          <w:p w:rsidR="004D4C89" w:rsidRPr="006167F9" w:rsidRDefault="004D4C89" w:rsidP="00A90DD5">
            <w:pPr>
              <w:keepNext/>
            </w:pPr>
          </w:p>
        </w:tc>
      </w:tr>
      <w:tr w:rsidR="004D4C89" w:rsidRPr="006167F9" w:rsidTr="00A90DD5">
        <w:trPr>
          <w:jc w:val="center"/>
        </w:trPr>
        <w:tc>
          <w:tcPr>
            <w:tcW w:w="4876" w:type="dxa"/>
          </w:tcPr>
          <w:p w:rsidR="004D4C89" w:rsidRPr="006167F9" w:rsidRDefault="004D4C89" w:rsidP="00A90DD5">
            <w:pPr>
              <w:pStyle w:val="ColumnHeading"/>
              <w:keepNext/>
            </w:pPr>
            <w:r w:rsidRPr="006167F9">
              <w:t>Tekst koji je predložila Komisija</w:t>
            </w:r>
          </w:p>
        </w:tc>
        <w:tc>
          <w:tcPr>
            <w:tcW w:w="4876" w:type="dxa"/>
          </w:tcPr>
          <w:p w:rsidR="004D4C89" w:rsidRPr="006167F9" w:rsidRDefault="004D4C89" w:rsidP="00A90DD5">
            <w:pPr>
              <w:pStyle w:val="ColumnHeading"/>
              <w:keepNext/>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(11)</w:t>
            </w:r>
            <w:r w:rsidRPr="006167F9">
              <w:rPr>
                <w:b/>
                <w:i/>
              </w:rPr>
              <w:tab/>
              <w:t>Zajednički pristup sprečavanju krize i upravljanju njome zahtijeva, prije svega,</w:t>
            </w:r>
            <w:r w:rsidRPr="006167F9">
              <w:t xml:space="preserve"> da države članice upotrebljavaju</w:t>
            </w:r>
            <w:r w:rsidRPr="006167F9">
              <w:rPr>
                <w:b/>
                <w:i/>
              </w:rPr>
              <w:t xml:space="preserve"> iste</w:t>
            </w:r>
            <w:r w:rsidRPr="006167F9">
              <w:t xml:space="preserve"> metode i definicije</w:t>
            </w:r>
            <w:r w:rsidRPr="006167F9">
              <w:rPr>
                <w:b/>
                <w:i/>
              </w:rPr>
              <w:t xml:space="preserve"> kojima utvrđuju rizike povezane</w:t>
            </w:r>
            <w:r w:rsidRPr="006167F9">
              <w:t xml:space="preserve"> sa sigurnošću opskrbe električnom energijom</w:t>
            </w:r>
            <w:r w:rsidRPr="006167F9">
              <w:rPr>
                <w:b/>
                <w:i/>
              </w:rPr>
              <w:t xml:space="preserve"> i da su u položaju da mogu djelotvorno usporediti</w:t>
            </w:r>
            <w:r w:rsidRPr="006167F9">
              <w:t xml:space="preserve"> koliko dobro one i njihovi susjedi obavljaju svoje zadatke u tom području. Uredbom se utvrđuju dva pokazatelja kojima se prati sigurnost opskrbe električnom energijom u Uniji:</w:t>
            </w:r>
            <w:r w:rsidRPr="006167F9">
              <w:rPr>
                <w:b/>
                <w:i/>
              </w:rPr>
              <w:t xml:space="preserve"> </w:t>
            </w:r>
            <w:r w:rsidRPr="006167F9">
              <w:t>„očekivana količina neisporučene energije”</w:t>
            </w:r>
            <w:r w:rsidRPr="006167F9">
              <w:rPr>
                <w:b/>
                <w:i/>
              </w:rPr>
              <w:t xml:space="preserve"> </w:t>
            </w:r>
            <w:r w:rsidRPr="006167F9">
              <w:t>(EENS),</w:t>
            </w:r>
            <w:r w:rsidRPr="006167F9">
              <w:rPr>
                <w:b/>
                <w:i/>
              </w:rPr>
              <w:t xml:space="preserve"> koji</w:t>
            </w:r>
            <w:r w:rsidRPr="006167F9">
              <w:t xml:space="preserve"> se izražava u GWh/godišnje, i</w:t>
            </w:r>
            <w:r w:rsidRPr="006167F9">
              <w:rPr>
                <w:b/>
                <w:i/>
              </w:rPr>
              <w:t xml:space="preserve"> </w:t>
            </w:r>
            <w:r w:rsidRPr="006167F9">
              <w:t>„očekivani gubitak opterećenja”</w:t>
            </w:r>
            <w:r w:rsidRPr="006167F9">
              <w:rPr>
                <w:b/>
                <w:i/>
              </w:rPr>
              <w:t xml:space="preserve"> </w:t>
            </w:r>
            <w:r w:rsidRPr="006167F9">
              <w:t>(LOLE), koji se izražava u satima/godišnje. Ti pokazatelji dio su europske procjene adekvatnosti resursa koju izrađuje Europska mreža operatora prijenosnih sustava za električnu energiju</w:t>
            </w:r>
            <w:r w:rsidRPr="006167F9">
              <w:rPr>
                <w:b/>
                <w:i/>
              </w:rPr>
              <w:t xml:space="preserve"> </w:t>
            </w:r>
            <w:r w:rsidRPr="006167F9">
              <w:t xml:space="preserve">(ENTSO-E) na temelju [članka 19. predložene Uredbe o električnoj energiji]. Koordinacijska skupina za električnu energiju provodi redovito praćenje </w:t>
            </w:r>
            <w:r w:rsidRPr="006167F9">
              <w:lastRenderedPageBreak/>
              <w:t>sigurnosti opskrbe na temelju rezultata dobivenih tim pokazateljima. Agencija za suradnju energetskih regulatora</w:t>
            </w:r>
            <w:r w:rsidRPr="006167F9">
              <w:rPr>
                <w:b/>
                <w:i/>
              </w:rPr>
              <w:t xml:space="preserve"> </w:t>
            </w:r>
            <w:r w:rsidRPr="006167F9">
              <w:t>(Agencija) trebala bi isto upotrebljavati te pokazatelje pri izvješćivanju o postignućima država članica u području sigurnosti opskrbe u svojim godišnjim izvješćima o praćenju tržišta električne energije na temelju [članka 16. predložene Uredbe o Agenciji za suradnju energetskih regulatora].</w:t>
            </w:r>
          </w:p>
        </w:tc>
        <w:tc>
          <w:tcPr>
            <w:tcW w:w="4876" w:type="dxa"/>
          </w:tcPr>
          <w:p w:rsidR="004D4C89" w:rsidRPr="006167F9" w:rsidRDefault="004D4C89" w:rsidP="00A90DD5">
            <w:pPr>
              <w:pStyle w:val="Normal6"/>
              <w:rPr>
                <w:b/>
                <w:i/>
                <w:szCs w:val="24"/>
              </w:rPr>
            </w:pPr>
            <w:r w:rsidRPr="006167F9">
              <w:lastRenderedPageBreak/>
              <w:t>(11)</w:t>
            </w:r>
            <w:r w:rsidRPr="006167F9">
              <w:rPr>
                <w:b/>
                <w:i/>
              </w:rPr>
              <w:tab/>
              <w:t>Postoji potreba</w:t>
            </w:r>
            <w:r w:rsidRPr="006167F9">
              <w:t xml:space="preserve"> da države članice upotrebljavaju</w:t>
            </w:r>
            <w:r w:rsidRPr="006167F9">
              <w:rPr>
                <w:b/>
                <w:i/>
              </w:rPr>
              <w:t xml:space="preserve"> zajedničke</w:t>
            </w:r>
            <w:r w:rsidRPr="006167F9">
              <w:t xml:space="preserve"> metode i definicije</w:t>
            </w:r>
            <w:r w:rsidRPr="006167F9">
              <w:rPr>
                <w:b/>
                <w:i/>
              </w:rPr>
              <w:t xml:space="preserve"> za utvrđivanje rizika povezanih</w:t>
            </w:r>
            <w:r w:rsidRPr="006167F9">
              <w:t xml:space="preserve"> sa sigurnošću opskrbe električnom energijom</w:t>
            </w:r>
            <w:r w:rsidRPr="006167F9">
              <w:rPr>
                <w:b/>
                <w:i/>
              </w:rPr>
              <w:t>, što bi im omogućilo da efektivno uspoređuju</w:t>
            </w:r>
            <w:r w:rsidRPr="006167F9">
              <w:t xml:space="preserve"> koliko dobro one i njihovi susjedi obavljaju svoje zadatke u tom području. Uredbom se utvrđuju dva pokazatelja kojima se prati sigurnost opskrbe električnom energijom u Uniji:</w:t>
            </w:r>
            <w:r w:rsidRPr="006167F9">
              <w:rPr>
                <w:b/>
                <w:i/>
              </w:rPr>
              <w:t xml:space="preserve"> </w:t>
            </w:r>
            <w:r w:rsidRPr="006167F9">
              <w:t>„očekivana količina neisporučene energije”</w:t>
            </w:r>
            <w:r w:rsidRPr="006167F9">
              <w:rPr>
                <w:b/>
                <w:i/>
              </w:rPr>
              <w:t xml:space="preserve"> </w:t>
            </w:r>
            <w:r w:rsidRPr="006167F9">
              <w:t>(EENS),</w:t>
            </w:r>
            <w:r w:rsidRPr="006167F9">
              <w:rPr>
                <w:b/>
                <w:i/>
              </w:rPr>
              <w:t xml:space="preserve"> koja</w:t>
            </w:r>
            <w:r w:rsidRPr="006167F9">
              <w:t xml:space="preserve"> se izražava u GWh/godišnje, i</w:t>
            </w:r>
            <w:r w:rsidRPr="006167F9">
              <w:rPr>
                <w:b/>
                <w:i/>
              </w:rPr>
              <w:t xml:space="preserve"> </w:t>
            </w:r>
            <w:r w:rsidRPr="006167F9">
              <w:t>„očekivani gubitak opterećenja”</w:t>
            </w:r>
            <w:r w:rsidRPr="006167F9">
              <w:rPr>
                <w:b/>
                <w:i/>
              </w:rPr>
              <w:t xml:space="preserve"> </w:t>
            </w:r>
            <w:r w:rsidRPr="006167F9">
              <w:t>(LOLE), koji se izražava u satima/godišnje. Ti pokazatelji dio su europske procjene adekvatnosti resursa koju izrađuje Europska mreža operatora prijenosnih sustava za električnu energiju</w:t>
            </w:r>
            <w:r w:rsidRPr="006167F9">
              <w:rPr>
                <w:b/>
                <w:i/>
              </w:rPr>
              <w:t xml:space="preserve"> </w:t>
            </w:r>
            <w:r w:rsidRPr="006167F9">
              <w:t xml:space="preserve">(ENTSO-E) na temelju [članka 19. predložene Uredbe o električnoj energiji]. Koordinacijska skupina za električnu energiju provodi redovito praćenje sigurnosti opskrbe na temelju rezultata dobivenih tim </w:t>
            </w:r>
            <w:r w:rsidRPr="006167F9">
              <w:lastRenderedPageBreak/>
              <w:t>pokazateljima. Agencija za suradnju energetskih regulatora</w:t>
            </w:r>
            <w:r w:rsidRPr="006167F9">
              <w:rPr>
                <w:b/>
                <w:i/>
              </w:rPr>
              <w:t xml:space="preserve"> </w:t>
            </w:r>
            <w:r w:rsidRPr="006167F9">
              <w:t>(Agencija) trebala bi isto upotrebljavati te pokazatelje pri izvješćivanju o postignućima država članica u području sigurnosti opskrbe u svojim godišnjim izvješćima o praćenju tržišta električne energije na temelju [članka 16. predložene Uredbe o Agenciji za suradnju energetskih regulatora].</w:t>
            </w:r>
          </w:p>
        </w:tc>
      </w:tr>
    </w:tbl>
    <w:p w:rsidR="004D4C89" w:rsidRPr="006167F9" w:rsidRDefault="004D4C89" w:rsidP="004D4C89"/>
    <w:p w:rsidR="004D4C89" w:rsidRPr="006167F9" w:rsidRDefault="004D4C89" w:rsidP="004D4C89">
      <w:pPr>
        <w:pStyle w:val="AMNumberTabs"/>
        <w:keepNext/>
      </w:pPr>
      <w:r w:rsidRPr="006167F9">
        <w:t>Amandman</w:t>
      </w:r>
      <w:r w:rsidRPr="006167F9">
        <w:tab/>
      </w:r>
      <w:r w:rsidRPr="006167F9">
        <w:tab/>
        <w:t>9</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Uvodna izjava 12.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D4C89" w:rsidRPr="006167F9" w:rsidTr="00A90DD5">
        <w:trPr>
          <w:jc w:val="center"/>
        </w:trPr>
        <w:tc>
          <w:tcPr>
            <w:tcW w:w="9752" w:type="dxa"/>
            <w:gridSpan w:val="2"/>
          </w:tcPr>
          <w:p w:rsidR="004D4C89" w:rsidRPr="006167F9" w:rsidRDefault="004D4C89" w:rsidP="00A90DD5">
            <w:pPr>
              <w:keepNext/>
            </w:pPr>
          </w:p>
        </w:tc>
      </w:tr>
      <w:tr w:rsidR="004D4C89" w:rsidRPr="006167F9" w:rsidTr="00A90DD5">
        <w:trPr>
          <w:jc w:val="center"/>
        </w:trPr>
        <w:tc>
          <w:tcPr>
            <w:tcW w:w="4876" w:type="dxa"/>
          </w:tcPr>
          <w:p w:rsidR="004D4C89" w:rsidRPr="006167F9" w:rsidRDefault="004D4C89" w:rsidP="00A90DD5">
            <w:pPr>
              <w:pStyle w:val="ColumnHeading"/>
              <w:keepNext/>
            </w:pPr>
            <w:r w:rsidRPr="006167F9">
              <w:t>Tekst koji je predložila Komisija</w:t>
            </w:r>
          </w:p>
        </w:tc>
        <w:tc>
          <w:tcPr>
            <w:tcW w:w="4876" w:type="dxa"/>
          </w:tcPr>
          <w:p w:rsidR="004D4C89" w:rsidRPr="006167F9" w:rsidRDefault="004D4C89" w:rsidP="00A90DD5">
            <w:pPr>
              <w:pStyle w:val="ColumnHeading"/>
              <w:keepNext/>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(12)</w:t>
            </w:r>
            <w:r w:rsidRPr="006167F9">
              <w:rPr>
                <w:b/>
                <w:i/>
              </w:rPr>
              <w:tab/>
            </w:r>
            <w:r w:rsidRPr="006167F9">
              <w:t>Radi osiguravanja usklađenosti procjena rizika</w:t>
            </w:r>
            <w:r w:rsidRPr="006167F9">
              <w:rPr>
                <w:b/>
                <w:i/>
              </w:rPr>
              <w:t xml:space="preserve"> kojima se izgrađuje povjerenje</w:t>
            </w:r>
            <w:r w:rsidRPr="006167F9">
              <w:t xml:space="preserve"> među državama članicama u kriznim situacijama potreban je zajednički pristup utvrđivanju scenarija rizika. Stoga bi ENTSO-E trebao u suradnji s Agencijom izraditi zajedničku metodologiju za utvrđivanje rizika, pri čemu ENTSO-E predlaže metodologiju, a Agencija</w:t>
            </w:r>
            <w:r w:rsidRPr="006167F9">
              <w:rPr>
                <w:b/>
                <w:i/>
              </w:rPr>
              <w:t xml:space="preserve"> je</w:t>
            </w:r>
            <w:r w:rsidRPr="006167F9">
              <w:t xml:space="preserve"> odobrava.</w:t>
            </w:r>
          </w:p>
        </w:tc>
        <w:tc>
          <w:tcPr>
            <w:tcW w:w="4876" w:type="dxa"/>
          </w:tcPr>
          <w:p w:rsidR="004D4C89" w:rsidRPr="006167F9" w:rsidRDefault="004D4C89" w:rsidP="00A90DD5">
            <w:pPr>
              <w:pStyle w:val="Normal6"/>
              <w:rPr>
                <w:b/>
                <w:i/>
                <w:szCs w:val="24"/>
              </w:rPr>
            </w:pPr>
            <w:r w:rsidRPr="006167F9">
              <w:t>(12)</w:t>
            </w:r>
            <w:r w:rsidRPr="006167F9">
              <w:rPr>
                <w:b/>
                <w:i/>
              </w:rPr>
              <w:tab/>
            </w:r>
            <w:r w:rsidRPr="006167F9">
              <w:t>Radi osiguravanja usklađenosti procjena rizika</w:t>
            </w:r>
            <w:r w:rsidRPr="006167F9">
              <w:rPr>
                <w:b/>
                <w:i/>
              </w:rPr>
              <w:t xml:space="preserve"> i izgradnje povjerenja</w:t>
            </w:r>
            <w:r w:rsidRPr="006167F9">
              <w:t xml:space="preserve"> među državama članicama u kriznim situacijama potreban je zajednički pristup utvrđivanju scenarija rizika. Stoga bi ENTSO-E</w:t>
            </w:r>
            <w:r w:rsidRPr="006167F9">
              <w:rPr>
                <w:b/>
                <w:i/>
              </w:rPr>
              <w:t xml:space="preserve"> nakon savjetovanja s relevantnim dionicima, uključujući proizvođače konvencionalne i obnovljive energije,</w:t>
            </w:r>
            <w:r w:rsidRPr="006167F9">
              <w:t xml:space="preserve"> trebao u suradnji s Agencijom izraditi</w:t>
            </w:r>
            <w:r w:rsidRPr="006167F9">
              <w:rPr>
                <w:b/>
                <w:i/>
              </w:rPr>
              <w:t xml:space="preserve"> i redovito ažurirati</w:t>
            </w:r>
            <w:r w:rsidRPr="006167F9">
              <w:t xml:space="preserve"> zajedničku metodologiju za utvrđivanje rizika, pri čemu ENTSO-E predlaže metodologiju</w:t>
            </w:r>
            <w:r w:rsidRPr="006167F9">
              <w:rPr>
                <w:b/>
                <w:i/>
              </w:rPr>
              <w:t xml:space="preserve"> i njezina ažuriranja</w:t>
            </w:r>
            <w:r w:rsidRPr="006167F9">
              <w:t>, a Agencija</w:t>
            </w:r>
            <w:r w:rsidRPr="006167F9">
              <w:rPr>
                <w:b/>
                <w:i/>
              </w:rPr>
              <w:t xml:space="preserve"> to</w:t>
            </w:r>
            <w:r w:rsidRPr="006167F9">
              <w:t xml:space="preserve"> odobrava.</w:t>
            </w:r>
          </w:p>
        </w:tc>
      </w:tr>
    </w:tbl>
    <w:p w:rsidR="004D4C89" w:rsidRPr="006167F9" w:rsidRDefault="004D4C89" w:rsidP="004D4C89"/>
    <w:p w:rsidR="004D4C89" w:rsidRPr="006167F9" w:rsidRDefault="004D4C89" w:rsidP="004D4C89">
      <w:pPr>
        <w:pStyle w:val="AMNumberTabs"/>
        <w:keepNext/>
      </w:pPr>
      <w:r w:rsidRPr="006167F9">
        <w:t>Amandman</w:t>
      </w:r>
      <w:r w:rsidRPr="006167F9">
        <w:tab/>
      </w:r>
      <w:r w:rsidRPr="006167F9">
        <w:tab/>
        <w:t>10</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Uvodna izjava 13.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D4C89" w:rsidRPr="006167F9" w:rsidTr="00A90DD5">
        <w:trPr>
          <w:jc w:val="center"/>
        </w:trPr>
        <w:tc>
          <w:tcPr>
            <w:tcW w:w="9752" w:type="dxa"/>
            <w:gridSpan w:val="2"/>
          </w:tcPr>
          <w:p w:rsidR="004D4C89" w:rsidRPr="006167F9" w:rsidRDefault="004D4C89" w:rsidP="00A90DD5">
            <w:pPr>
              <w:keepNext/>
            </w:pPr>
          </w:p>
        </w:tc>
      </w:tr>
      <w:tr w:rsidR="004D4C89" w:rsidRPr="006167F9" w:rsidTr="00A90DD5">
        <w:trPr>
          <w:jc w:val="center"/>
        </w:trPr>
        <w:tc>
          <w:tcPr>
            <w:tcW w:w="4876" w:type="dxa"/>
          </w:tcPr>
          <w:p w:rsidR="004D4C89" w:rsidRPr="006167F9" w:rsidRDefault="004D4C89" w:rsidP="00A90DD5">
            <w:pPr>
              <w:pStyle w:val="ColumnHeading"/>
              <w:keepNext/>
            </w:pPr>
            <w:r w:rsidRPr="006167F9">
              <w:t>Tekst koji je predložila Komisija</w:t>
            </w:r>
          </w:p>
        </w:tc>
        <w:tc>
          <w:tcPr>
            <w:tcW w:w="4876" w:type="dxa"/>
          </w:tcPr>
          <w:p w:rsidR="004D4C89" w:rsidRPr="006167F9" w:rsidRDefault="004D4C89" w:rsidP="00A90DD5">
            <w:pPr>
              <w:pStyle w:val="ColumnHeading"/>
              <w:keepNext/>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(13)</w:t>
            </w:r>
            <w:r w:rsidRPr="006167F9">
              <w:rPr>
                <w:b/>
                <w:i/>
              </w:rPr>
              <w:tab/>
            </w:r>
            <w:r w:rsidRPr="006167F9">
              <w:t>Na temelju te zajedničke metodologije ENTSO-E bi trebao redovito izrađivati i ažurirati regionalne krizne scenarije i utvrđivati najrelevantnije rizike za svaku regiju, kao što su ekstremni vremenski uvjeti, prirodne katastrofe, nestašice goriva ili zlonamjerni napadi. Pri razmatranju kriznog scenarija nestašice plina rizik prekida opskrbe plinom trebalo bi procjenjivati na temelju scenarija prekida opskrbe plinom i ometanja rada infrastrukture koje izrađuje Europska mreža operatora prijenosnih sustava za plin na temelju članka 6. stavka 6. Uredbe o sigurnosti opskrbe plinom [ predložena Uredba o sigurnosti opskrbe plinom]. Države članice trebale bi izraditi i ažurirati svoje nacionalne krizne scenarije</w:t>
            </w:r>
            <w:r w:rsidRPr="006167F9">
              <w:rPr>
                <w:b/>
                <w:i/>
              </w:rPr>
              <w:t xml:space="preserve"> na toj osnovi</w:t>
            </w:r>
            <w:r w:rsidRPr="006167F9">
              <w:t>, načelno svake tri godine. Scenariji bi trebali biti osnova za planove pripremljenosti za rizike. Pri utvrđivanju rizika na nacionalnoj razini države članice trebale bi i opisati moguće rizike koje vide u odnosu na vlasništvo nad infrastrukturom koja je važna za sigurnost opskrbe i opisati poduzete mjere</w:t>
            </w:r>
            <w:r w:rsidRPr="006167F9">
              <w:rPr>
                <w:b/>
                <w:i/>
              </w:rPr>
              <w:t>, ako ih je bilo,</w:t>
            </w:r>
            <w:r w:rsidRPr="006167F9">
              <w:t xml:space="preserve"> kojima se ti rizici otklanjaju</w:t>
            </w:r>
            <w:r w:rsidRPr="006167F9">
              <w:rPr>
                <w:b/>
                <w:i/>
              </w:rPr>
              <w:t xml:space="preserve"> </w:t>
            </w:r>
            <w:r w:rsidRPr="006167F9">
              <w:t>(kao što su opći ili sektorski zakoni o provjeravanju investicija, posebna prava za određene dioničare itd.), pri čemu trebaju naznačiti zašto</w:t>
            </w:r>
            <w:r w:rsidRPr="006167F9">
              <w:rPr>
                <w:b/>
                <w:i/>
              </w:rPr>
              <w:t xml:space="preserve"> su</w:t>
            </w:r>
            <w:r w:rsidRPr="006167F9">
              <w:t xml:space="preserve"> te mjere, prema njihovu mišljenju,</w:t>
            </w:r>
            <w:r w:rsidRPr="006167F9">
              <w:rPr>
                <w:b/>
                <w:i/>
              </w:rPr>
              <w:t xml:space="preserve"> opravdane</w:t>
            </w:r>
            <w:r w:rsidRPr="006167F9">
              <w:t>.</w:t>
            </w:r>
          </w:p>
        </w:tc>
        <w:tc>
          <w:tcPr>
            <w:tcW w:w="4876" w:type="dxa"/>
          </w:tcPr>
          <w:p w:rsidR="004D4C89" w:rsidRPr="006167F9" w:rsidRDefault="004D4C89" w:rsidP="00A90DD5">
            <w:pPr>
              <w:pStyle w:val="Normal6"/>
              <w:rPr>
                <w:b/>
                <w:i/>
                <w:szCs w:val="24"/>
              </w:rPr>
            </w:pPr>
            <w:r w:rsidRPr="006167F9">
              <w:t>(13)</w:t>
            </w:r>
            <w:r w:rsidRPr="006167F9">
              <w:rPr>
                <w:b/>
                <w:i/>
              </w:rPr>
              <w:tab/>
            </w:r>
            <w:r w:rsidRPr="006167F9">
              <w:t>Na temelju te zajedničke metodologije ENTSO-E bi trebao redovito izrađivati i ažurirati regionalne krizne scenarije i utvrđivati najrelevantnije rizike za svaku regiju, kao što su ekstremni vremenski uvjeti, prirodne katastrofe, nestašice goriva ili zlonamjerni napadi. Pri razmatranju kriznog scenarija nestašice plina rizik prekida opskrbe plinom trebalo bi procjenjivati na temelju scenarija prekida opskrbe plinom i ometanja rada infrastrukture koje izrađuje Europska mreža operatora prijenosnih sustava za plin na temelju članka 6. stavka 6. Uredbe o sigurnosti opskrbe plinom [ predložena Uredba o sigurnosti opskrbe plinom].</w:t>
            </w:r>
            <w:r w:rsidRPr="006167F9">
              <w:rPr>
                <w:b/>
                <w:i/>
              </w:rPr>
              <w:t>U cilju jačanja regionalnog pristupa procjeni rizika ENTSO-E bi trebao moći regionalnim koordinacijskim centrima delegirati zadatke povezane s utvrđivanjem regionalnih kriznih scenarija.</w:t>
            </w:r>
            <w:r w:rsidRPr="006167F9">
              <w:t xml:space="preserve"> Države članice trebale bi</w:t>
            </w:r>
            <w:r w:rsidRPr="006167F9">
              <w:rPr>
                <w:b/>
                <w:i/>
              </w:rPr>
              <w:t>, na temelju tih regionalnih kriznih scenarija,</w:t>
            </w:r>
            <w:r w:rsidRPr="006167F9">
              <w:t xml:space="preserve"> izraditi i ažurirati svoje nacionalne krizne scenarije, načelno svake tri godine. Scenariji bi</w:t>
            </w:r>
            <w:r w:rsidRPr="006167F9">
              <w:rPr>
                <w:b/>
                <w:i/>
              </w:rPr>
              <w:t xml:space="preserve"> zatim</w:t>
            </w:r>
            <w:r w:rsidRPr="006167F9">
              <w:t xml:space="preserve"> trebali biti osnova za planove pripremljenosti za rizike. Pri utvrđivanju rizika na nacionalnoj razini države članice trebale bi i opisati moguće rizike koje vide u odnosu na vlasništvo nad infrastrukturom koja je važna za sigurnost opskrbe i opisati</w:t>
            </w:r>
            <w:r w:rsidRPr="006167F9">
              <w:rPr>
                <w:b/>
                <w:i/>
              </w:rPr>
              <w:t xml:space="preserve"> sve</w:t>
            </w:r>
            <w:r w:rsidRPr="006167F9">
              <w:t xml:space="preserve"> poduzete mjere kojima se ti rizici otklanjaju</w:t>
            </w:r>
            <w:r w:rsidRPr="006167F9">
              <w:rPr>
                <w:b/>
                <w:i/>
              </w:rPr>
              <w:t xml:space="preserve"> </w:t>
            </w:r>
            <w:r w:rsidRPr="006167F9">
              <w:t>(kao što su opći ili sektorski zakoni o provjeravanju investicija, posebna prava za određene dioničare itd.), pri čemu trebaju naznačiti zašto</w:t>
            </w:r>
            <w:r w:rsidRPr="006167F9">
              <w:rPr>
                <w:b/>
                <w:i/>
              </w:rPr>
              <w:t xml:space="preserve"> se</w:t>
            </w:r>
            <w:r w:rsidRPr="006167F9">
              <w:t xml:space="preserve"> te mjere, prema njihovu mišljenju,</w:t>
            </w:r>
            <w:r w:rsidRPr="006167F9">
              <w:rPr>
                <w:b/>
                <w:i/>
              </w:rPr>
              <w:t xml:space="preserve"> smatraju nužnima i proporcionalnima</w:t>
            </w:r>
            <w:r w:rsidRPr="006167F9">
              <w:t>.</w:t>
            </w:r>
          </w:p>
        </w:tc>
      </w:tr>
    </w:tbl>
    <w:p w:rsidR="00084A59" w:rsidRPr="006167F9" w:rsidRDefault="00084A59" w:rsidP="004D4C89"/>
    <w:p w:rsidR="004D4C89" w:rsidRPr="006167F9" w:rsidRDefault="004D4C89" w:rsidP="004D4C89">
      <w:pPr>
        <w:pStyle w:val="AMNumberTabs"/>
      </w:pPr>
      <w:r w:rsidRPr="006167F9">
        <w:t>Amandman</w:t>
      </w:r>
      <w:r w:rsidRPr="006167F9">
        <w:tab/>
      </w:r>
      <w:r w:rsidRPr="006167F9">
        <w:tab/>
        <w:t>11</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Uvodna izjava 15.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C89" w:rsidRPr="006167F9" w:rsidTr="00A90DD5">
        <w:trPr>
          <w:trHeight w:hRule="exact" w:val="240"/>
          <w:jc w:val="center"/>
        </w:trPr>
        <w:tc>
          <w:tcPr>
            <w:tcW w:w="9752" w:type="dxa"/>
            <w:gridSpan w:val="2"/>
          </w:tcPr>
          <w:p w:rsidR="004D4C89" w:rsidRPr="006167F9" w:rsidRDefault="004D4C89" w:rsidP="00A90DD5"/>
        </w:tc>
      </w:tr>
      <w:tr w:rsidR="004D4C89" w:rsidRPr="006167F9" w:rsidTr="00A90DD5">
        <w:trPr>
          <w:trHeight w:val="240"/>
          <w:jc w:val="center"/>
        </w:trPr>
        <w:tc>
          <w:tcPr>
            <w:tcW w:w="4876" w:type="dxa"/>
          </w:tcPr>
          <w:p w:rsidR="004D4C89" w:rsidRPr="006167F9" w:rsidRDefault="004D4C89" w:rsidP="00A90DD5">
            <w:pPr>
              <w:pStyle w:val="ColumnHeading"/>
            </w:pPr>
            <w:r w:rsidRPr="006167F9">
              <w:t>Tekst koji je predložila Komisija</w:t>
            </w:r>
          </w:p>
        </w:tc>
        <w:tc>
          <w:tcPr>
            <w:tcW w:w="4876" w:type="dxa"/>
          </w:tcPr>
          <w:p w:rsidR="004D4C89" w:rsidRPr="006167F9" w:rsidRDefault="004D4C89" w:rsidP="00A90DD5">
            <w:pPr>
              <w:pStyle w:val="ColumnHeading"/>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(15)</w:t>
            </w:r>
            <w:r w:rsidRPr="006167F9">
              <w:rPr>
                <w:b/>
                <w:i/>
              </w:rPr>
              <w:tab/>
            </w:r>
            <w:r w:rsidRPr="006167F9">
              <w:t>U skladu s navedenim u [predloženoj Uredbi o električnoj energiji]</w:t>
            </w:r>
            <w:r w:rsidRPr="006167F9">
              <w:rPr>
                <w:b/>
                <w:i/>
              </w:rPr>
              <w:t xml:space="preserve"> regionalna operativna središta trebala</w:t>
            </w:r>
            <w:r w:rsidRPr="006167F9">
              <w:t xml:space="preserve"> bi redovito procjenjivati odgovarajuće rizike s obzirom na to da je njima povjereno operativno upravljanje</w:t>
            </w:r>
            <w:r w:rsidRPr="006167F9">
              <w:rPr>
                <w:b/>
                <w:i/>
              </w:rPr>
              <w:t xml:space="preserve"> u</w:t>
            </w:r>
            <w:r w:rsidRPr="006167F9">
              <w:t xml:space="preserve"> tim situacijama. Da bi se osiguralo djelotvorno provođenje njihovih zadataka i djelovanje u bliskoj suradnji s odgovarajućim nacionalnim tijelima radi sprečavanja i ublažavanja incidenata većih razmjera, regionalna suradnja koja se zahtijeva na temelju ove Uredbe trebala bi se temeljiti na regionalnim strukturama za suradnju koje se upotrebljavaju na tehničkoj razini, a to su skupine država članica koje dijele</w:t>
            </w:r>
            <w:r w:rsidRPr="006167F9">
              <w:rPr>
                <w:b/>
                <w:i/>
              </w:rPr>
              <w:t xml:space="preserve"> isto regionalno operativno središte</w:t>
            </w:r>
            <w:r w:rsidRPr="006167F9">
              <w:t>.</w:t>
            </w:r>
          </w:p>
        </w:tc>
        <w:tc>
          <w:tcPr>
            <w:tcW w:w="4876" w:type="dxa"/>
          </w:tcPr>
          <w:p w:rsidR="004D4C89" w:rsidRPr="006167F9" w:rsidRDefault="004D4C89" w:rsidP="00A90DD5">
            <w:pPr>
              <w:pStyle w:val="Normal6"/>
              <w:rPr>
                <w:b/>
                <w:i/>
              </w:rPr>
            </w:pPr>
            <w:r w:rsidRPr="006167F9">
              <w:t>(15)</w:t>
            </w:r>
            <w:r w:rsidRPr="006167F9">
              <w:rPr>
                <w:b/>
                <w:i/>
              </w:rPr>
              <w:tab/>
            </w:r>
            <w:r w:rsidRPr="006167F9">
              <w:t>U skladu s navedenim u [predloženoj Uredbi o električnoj energiji]</w:t>
            </w:r>
            <w:r w:rsidRPr="006167F9">
              <w:rPr>
                <w:b/>
                <w:i/>
              </w:rPr>
              <w:t xml:space="preserve"> regionalni koordinacijski centri trebali</w:t>
            </w:r>
            <w:r w:rsidRPr="006167F9">
              <w:t xml:space="preserve"> bi redovito procjenjivati odgovarajuće rizike s obzirom na to da je njima povjereno operativno upravljanje tim situacijama. Da bi se osiguralo djelotvorno provođenje njihovih zadataka i djelovanje u bliskoj suradnji s odgovarajućim nacionalnim tijelima radi sprečavanja i ublažavanja incidenata većih razmjera, regionalna suradnja koja se zahtijeva na temelju ove Uredbe trebala bi se temeljiti na regionalnim strukturama za suradnju koje se upotrebljavaju na tehničkoj razini, a to su skupine država članica koje dijele</w:t>
            </w:r>
            <w:r w:rsidRPr="006167F9">
              <w:rPr>
                <w:b/>
                <w:i/>
              </w:rPr>
              <w:t xml:space="preserve"> isti regionalni koordinacijski centar</w:t>
            </w:r>
            <w:r w:rsidRPr="006167F9">
              <w:t>.</w:t>
            </w:r>
          </w:p>
        </w:tc>
      </w:tr>
    </w:tbl>
    <w:p w:rsidR="004D4C89" w:rsidRPr="006167F9" w:rsidRDefault="004D4C89" w:rsidP="004D4C89">
      <w:pPr>
        <w:pStyle w:val="JustificationTitle"/>
      </w:pPr>
      <w:r w:rsidRPr="006167F9">
        <w:t>Obrazloženje</w:t>
      </w:r>
    </w:p>
    <w:p w:rsidR="00084A59" w:rsidRPr="006167F9" w:rsidRDefault="004D4C89" w:rsidP="004D4C89">
      <w:pPr>
        <w:pStyle w:val="Normal12Italic"/>
      </w:pPr>
      <w:r w:rsidRPr="006167F9">
        <w:t>Ova izmjena primjenjuje se u cijelom tekstu. Ako bude prihvaćena, bit će potrebno unijeti tehničke promjene u cijelom tekstu.</w:t>
      </w:r>
    </w:p>
    <w:p w:rsidR="004D4C89" w:rsidRPr="006167F9" w:rsidRDefault="004D4C89" w:rsidP="004D4C89">
      <w:pPr>
        <w:pStyle w:val="AMNumberTabs"/>
        <w:keepNext/>
      </w:pPr>
      <w:r w:rsidRPr="006167F9">
        <w:t>Amandman</w:t>
      </w:r>
      <w:r w:rsidRPr="006167F9">
        <w:tab/>
      </w:r>
      <w:r w:rsidRPr="006167F9">
        <w:tab/>
        <w:t>12</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Uvodna izjava 16.</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D4C89" w:rsidRPr="006167F9" w:rsidTr="00A90DD5">
        <w:trPr>
          <w:jc w:val="center"/>
        </w:trPr>
        <w:tc>
          <w:tcPr>
            <w:tcW w:w="9752" w:type="dxa"/>
            <w:gridSpan w:val="2"/>
          </w:tcPr>
          <w:p w:rsidR="004D4C89" w:rsidRPr="006167F9" w:rsidRDefault="004D4C89" w:rsidP="00A90DD5">
            <w:pPr>
              <w:keepNext/>
            </w:pPr>
          </w:p>
        </w:tc>
      </w:tr>
      <w:tr w:rsidR="004D4C89" w:rsidRPr="006167F9" w:rsidTr="00A90DD5">
        <w:trPr>
          <w:jc w:val="center"/>
        </w:trPr>
        <w:tc>
          <w:tcPr>
            <w:tcW w:w="4876" w:type="dxa"/>
          </w:tcPr>
          <w:p w:rsidR="004D4C89" w:rsidRPr="006167F9" w:rsidRDefault="004D4C89" w:rsidP="00A90DD5">
            <w:pPr>
              <w:pStyle w:val="ColumnHeading"/>
              <w:keepNext/>
            </w:pPr>
            <w:r w:rsidRPr="006167F9">
              <w:t>Tekst koji je predložila Komisija</w:t>
            </w:r>
          </w:p>
        </w:tc>
        <w:tc>
          <w:tcPr>
            <w:tcW w:w="4876" w:type="dxa"/>
          </w:tcPr>
          <w:p w:rsidR="004D4C89" w:rsidRPr="006167F9" w:rsidRDefault="004D4C89" w:rsidP="00A90DD5">
            <w:pPr>
              <w:pStyle w:val="ColumnHeading"/>
              <w:keepNext/>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(16)</w:t>
            </w:r>
            <w:r w:rsidRPr="006167F9">
              <w:rPr>
                <w:b/>
                <w:i/>
              </w:rPr>
              <w:tab/>
            </w:r>
            <w:r w:rsidRPr="006167F9">
              <w:t>[Predloženom Uredbom o električnoj energiji] propisuje se upotreba zajedničke metodologije za srednjoročnu i dugoročnu europsku procjenu adekvatnosti resursa</w:t>
            </w:r>
            <w:r w:rsidRPr="006167F9">
              <w:rPr>
                <w:b/>
                <w:i/>
              </w:rPr>
              <w:t xml:space="preserve"> </w:t>
            </w:r>
            <w:r w:rsidRPr="006167F9">
              <w:t>(od 10 godina unaprijed do godine dana unaprijed) s ciljem osiguravanja da države članice donose odluke u vezi s potrebnim ulaganjima na transparentnoj i zajednički dogovorenoj osnovi. Svrha te procjene različita je od kratkoročnih procjena adekvatnosti koje se upotrebljavaju radi otkrivanja mogućih problema povezanih s adekvatnošću u kratkim vremenskim okvirima, a to su sezonski izgledi za budućnost</w:t>
            </w:r>
            <w:r w:rsidRPr="006167F9">
              <w:rPr>
                <w:b/>
                <w:i/>
              </w:rPr>
              <w:t xml:space="preserve"> </w:t>
            </w:r>
            <w:r w:rsidRPr="006167F9">
              <w:t>(šest mjeseci unaprijed) i procjene adekvatnosti za tjedan dana unaprijed i unutardnevne procjene. S obzirom na kratkoročne procjene postoji potreba za zajedničkim pristupom načinu na koji se otkrivaju mogući problemi povezani s adekvatnošću. ENTSO-E treba objavljivati zimske i ljetne izglede za budućnost radi upozorenja državama članicama i operatorima prijenosnih sustava o rizicima povezanima sa sigurnošću opskrbe koji bi mogli nastupiti u sljedećih šest mjeseci. Radi poboljšanja procjene tih izgleda za budućnost, oni trebaju biti utemeljeni na zajedničkoj probabilističkoj metodologiji koju predlaže ENTSO-E, a odobrava Agencija. U cilju pojačavanja regionalnog pristupa u procjenjivanju rizika ENTSO-E bi trebao moći regionalnim operativnim središtima delegirati zadatke povezane sa sezonskim izgledima za budućnost.</w:t>
            </w:r>
          </w:p>
        </w:tc>
        <w:tc>
          <w:tcPr>
            <w:tcW w:w="4876" w:type="dxa"/>
          </w:tcPr>
          <w:p w:rsidR="004D4C89" w:rsidRPr="006167F9" w:rsidRDefault="004D4C89" w:rsidP="00A90DD5">
            <w:pPr>
              <w:pStyle w:val="Normal6"/>
              <w:rPr>
                <w:b/>
                <w:i/>
                <w:szCs w:val="24"/>
              </w:rPr>
            </w:pPr>
            <w:r w:rsidRPr="006167F9">
              <w:t>(16)</w:t>
            </w:r>
            <w:r w:rsidRPr="006167F9">
              <w:rPr>
                <w:b/>
                <w:i/>
              </w:rPr>
              <w:tab/>
            </w:r>
            <w:r w:rsidRPr="006167F9">
              <w:t>[Predloženom Uredbom o električnoj energiji] propisuje se upotreba zajedničke metodologije za srednjoročnu i dugoročnu europsku procjenu adekvatnosti resursa</w:t>
            </w:r>
            <w:r w:rsidRPr="006167F9">
              <w:rPr>
                <w:b/>
                <w:i/>
              </w:rPr>
              <w:t xml:space="preserve"> </w:t>
            </w:r>
            <w:r w:rsidRPr="006167F9">
              <w:t>(od 10 godina unaprijed do godine dana unaprijed) s ciljem osiguravanja da države članice donose odluke u vezi s potrebnim ulaganjima na transparentnoj i zajednički dogovorenoj osnovi. Svrha te procjene različita je od kratkoročnih procjena adekvatnosti koje se upotrebljavaju radi otkrivanja mogućih problema povezanih s adekvatnošću u kratkim vremenskim okvirima, a to su sezonski izgledi za budućnost</w:t>
            </w:r>
            <w:r w:rsidRPr="006167F9">
              <w:rPr>
                <w:b/>
                <w:i/>
              </w:rPr>
              <w:t xml:space="preserve"> </w:t>
            </w:r>
            <w:r w:rsidRPr="006167F9">
              <w:t>(šest mjeseci unaprijed) i procjene adekvatnosti za tjedan dana unaprijed i unutardnevne procjene. S obzirom na kratkoročne procjene postoji potreba za zajedničkim pristupom načinu na koji se otkrivaju mogući problemi povezani s adekvatnošću. ENTSO-E treba objavljivati zimske i ljetne izglede za budućnost radi upozorenja državama članicama i operatorima prijenosnih sustava o rizicima povezanima sa sigurnošću opskrbe koji bi mogli nastupiti u sljedećih šest mjeseci. Radi poboljšanja procjene tih izgleda za budućnost, oni trebaju biti utemeljeni na zajedničkoj probabilističkoj metodologiji koju predlaže ENTSO-E</w:t>
            </w:r>
            <w:r w:rsidRPr="006167F9">
              <w:rPr>
                <w:b/>
                <w:i/>
              </w:rPr>
              <w:t xml:space="preserve"> nakon savjetovanja s relevantnim dionicima</w:t>
            </w:r>
            <w:r w:rsidRPr="006167F9">
              <w:t>,</w:t>
            </w:r>
            <w:r w:rsidRPr="006167F9">
              <w:rPr>
                <w:b/>
                <w:i/>
              </w:rPr>
              <w:t xml:space="preserve"> uključujući organizacije koje se bave okolišem i akademsku zajednicu,</w:t>
            </w:r>
            <w:r w:rsidRPr="006167F9">
              <w:t xml:space="preserve"> a</w:t>
            </w:r>
            <w:r w:rsidRPr="006167F9">
              <w:rPr>
                <w:b/>
                <w:i/>
              </w:rPr>
              <w:t xml:space="preserve"> koju</w:t>
            </w:r>
            <w:r w:rsidRPr="006167F9">
              <w:t xml:space="preserve"> odobrava Agencija</w:t>
            </w:r>
            <w:r w:rsidRPr="006167F9">
              <w:rPr>
                <w:b/>
                <w:i/>
              </w:rPr>
              <w:t xml:space="preserve"> i koja se potom redovito ažurira</w:t>
            </w:r>
            <w:r w:rsidRPr="006167F9">
              <w:t>. U cilju pojačavanja regionalnog pristupa u procjenjivanju rizika ENTSO-E bi trebao moći regionalnim operativnim središtima delegirati zadatke povezane sa sezonskim izgledima za budućnost.</w:t>
            </w:r>
          </w:p>
        </w:tc>
      </w:tr>
    </w:tbl>
    <w:p w:rsidR="00084A59" w:rsidRPr="006167F9" w:rsidRDefault="00084A59" w:rsidP="004D4C89"/>
    <w:p w:rsidR="004D4C89" w:rsidRPr="006167F9" w:rsidRDefault="004D4C89" w:rsidP="004D4C89">
      <w:pPr>
        <w:pStyle w:val="AMNumberTabs"/>
      </w:pPr>
      <w:r w:rsidRPr="006167F9">
        <w:t>Amandman</w:t>
      </w:r>
      <w:r w:rsidRPr="006167F9">
        <w:tab/>
      </w:r>
      <w:r w:rsidRPr="006167F9">
        <w:tab/>
        <w:t>13</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Uvodna izjava 18.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C89" w:rsidRPr="006167F9" w:rsidTr="00A90DD5">
        <w:trPr>
          <w:trHeight w:hRule="exact" w:val="240"/>
          <w:jc w:val="center"/>
        </w:trPr>
        <w:tc>
          <w:tcPr>
            <w:tcW w:w="9752" w:type="dxa"/>
            <w:gridSpan w:val="2"/>
          </w:tcPr>
          <w:p w:rsidR="004D4C89" w:rsidRPr="006167F9" w:rsidRDefault="004D4C89" w:rsidP="00A90DD5"/>
        </w:tc>
      </w:tr>
      <w:tr w:rsidR="004D4C89" w:rsidRPr="006167F9" w:rsidTr="00A90DD5">
        <w:trPr>
          <w:trHeight w:val="240"/>
          <w:jc w:val="center"/>
        </w:trPr>
        <w:tc>
          <w:tcPr>
            <w:tcW w:w="4876" w:type="dxa"/>
          </w:tcPr>
          <w:p w:rsidR="004D4C89" w:rsidRPr="006167F9" w:rsidRDefault="004D4C89" w:rsidP="00A90DD5">
            <w:pPr>
              <w:pStyle w:val="ColumnHeading"/>
            </w:pPr>
            <w:r w:rsidRPr="006167F9">
              <w:t>Tekst koji je predložila Komisija</w:t>
            </w:r>
          </w:p>
        </w:tc>
        <w:tc>
          <w:tcPr>
            <w:tcW w:w="4876" w:type="dxa"/>
          </w:tcPr>
          <w:p w:rsidR="004D4C89" w:rsidRPr="006167F9" w:rsidRDefault="004D4C89" w:rsidP="00A90DD5">
            <w:pPr>
              <w:pStyle w:val="ColumnHeading"/>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(18)</w:t>
            </w:r>
            <w:r w:rsidRPr="006167F9">
              <w:rPr>
                <w:b/>
                <w:i/>
              </w:rPr>
              <w:tab/>
            </w:r>
            <w:r w:rsidRPr="006167F9">
              <w:t>Kako bi se osigurao zajednički pristup sprečavanju krize i upravljanju njome, nadležna tijela svake države članice trebala bi nakon savjetovanja s dionicima izraditi plan pripremljenosti za rizike. U planovima treba opisati djelotvorne, proporcionalne i nediskriminirajuće mjere kojima se zahvaćaju svi utvrđeni krizni scenariji. U planovima treba osigurati transparentnost, osobito s obzirom na uvjete pod kojima</w:t>
            </w:r>
            <w:r w:rsidRPr="006167F9">
              <w:rPr>
                <w:b/>
                <w:i/>
              </w:rPr>
              <w:t xml:space="preserve"> je moguće poduzimanje netržišnih mjera radi ublažavanja</w:t>
            </w:r>
            <w:r w:rsidRPr="006167F9">
              <w:t xml:space="preserve"> kriznih situacija. Sve predviđene netržišne mjere trebaju biti u skladu s pravilima utvrđenima ovom Uredbom.</w:t>
            </w:r>
          </w:p>
        </w:tc>
        <w:tc>
          <w:tcPr>
            <w:tcW w:w="4876" w:type="dxa"/>
          </w:tcPr>
          <w:p w:rsidR="004D4C89" w:rsidRPr="006167F9" w:rsidRDefault="004D4C89" w:rsidP="00A90DD5">
            <w:pPr>
              <w:pStyle w:val="Normal6"/>
              <w:rPr>
                <w:b/>
                <w:i/>
              </w:rPr>
            </w:pPr>
            <w:r w:rsidRPr="006167F9">
              <w:t>(18)</w:t>
            </w:r>
            <w:r w:rsidRPr="006167F9">
              <w:rPr>
                <w:b/>
                <w:i/>
              </w:rPr>
              <w:tab/>
            </w:r>
            <w:r w:rsidRPr="006167F9">
              <w:t>Kako bi se osigurao zajednički pristup sprečavanju krize i upravljanju njome, nadležna tijela svake države članice trebala bi</w:t>
            </w:r>
            <w:r w:rsidRPr="006167F9">
              <w:rPr>
                <w:b/>
                <w:i/>
              </w:rPr>
              <w:t xml:space="preserve"> na temelju utvrđenih regionalnih i nacionalnih elektroenergetskih kriznih scenarija i</w:t>
            </w:r>
            <w:r w:rsidRPr="006167F9">
              <w:t xml:space="preserve"> nakon savjetovanja s</w:t>
            </w:r>
            <w:r w:rsidRPr="006167F9">
              <w:rPr>
                <w:b/>
                <w:i/>
              </w:rPr>
              <w:t xml:space="preserve"> relevantnim</w:t>
            </w:r>
            <w:r w:rsidRPr="006167F9">
              <w:t xml:space="preserve"> dionicima izraditi plan pripremljenosti za rizike. U planovima treba opisati djelotvorne, proporcionalne i nediskriminirajuće mjere kojima se zahvaćaju svi utvrđeni krizni scenariji. U planovima treba osigurati transparentnost, osobito s obzirom na uvjete pod kojima</w:t>
            </w:r>
            <w:r w:rsidRPr="006167F9">
              <w:rPr>
                <w:b/>
                <w:i/>
              </w:rPr>
              <w:t xml:space="preserve"> se netržišne mjere smatraju nužnima za ublažavanje</w:t>
            </w:r>
            <w:r w:rsidRPr="006167F9">
              <w:t xml:space="preserve"> kriznih situacija. Sve predviđene netržišne mjere trebaju biti u skladu s pravilima utvrđenima ovom Uredbom.</w:t>
            </w:r>
          </w:p>
        </w:tc>
      </w:tr>
    </w:tbl>
    <w:p w:rsidR="00084A59" w:rsidRPr="006167F9" w:rsidRDefault="00084A59" w:rsidP="004D4C89"/>
    <w:p w:rsidR="004D4C89" w:rsidRPr="006167F9" w:rsidRDefault="004D4C89" w:rsidP="004D4C89">
      <w:pPr>
        <w:pStyle w:val="AMNumberTabs"/>
      </w:pPr>
      <w:r w:rsidRPr="006167F9">
        <w:t>Amandman</w:t>
      </w:r>
      <w:r w:rsidRPr="006167F9">
        <w:tab/>
      </w:r>
      <w:r w:rsidRPr="006167F9">
        <w:tab/>
        <w:t>14</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Uvodna izjava 20.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C89" w:rsidRPr="006167F9" w:rsidTr="00A90DD5">
        <w:trPr>
          <w:trHeight w:hRule="exact" w:val="240"/>
          <w:jc w:val="center"/>
        </w:trPr>
        <w:tc>
          <w:tcPr>
            <w:tcW w:w="9752" w:type="dxa"/>
            <w:gridSpan w:val="2"/>
          </w:tcPr>
          <w:p w:rsidR="004D4C89" w:rsidRPr="006167F9" w:rsidRDefault="004D4C89" w:rsidP="00A90DD5"/>
        </w:tc>
      </w:tr>
      <w:tr w:rsidR="004D4C89" w:rsidRPr="006167F9" w:rsidTr="00A90DD5">
        <w:trPr>
          <w:trHeight w:val="240"/>
          <w:jc w:val="center"/>
        </w:trPr>
        <w:tc>
          <w:tcPr>
            <w:tcW w:w="4876" w:type="dxa"/>
          </w:tcPr>
          <w:p w:rsidR="004D4C89" w:rsidRPr="006167F9" w:rsidRDefault="004D4C89" w:rsidP="00A90DD5">
            <w:pPr>
              <w:pStyle w:val="ColumnHeading"/>
            </w:pPr>
            <w:r w:rsidRPr="006167F9">
              <w:t>Tekst koji je predložila Komisija</w:t>
            </w:r>
          </w:p>
        </w:tc>
        <w:tc>
          <w:tcPr>
            <w:tcW w:w="4876" w:type="dxa"/>
          </w:tcPr>
          <w:p w:rsidR="004D4C89" w:rsidRPr="006167F9" w:rsidRDefault="004D4C89" w:rsidP="00A90DD5">
            <w:pPr>
              <w:pStyle w:val="ColumnHeading"/>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(20)</w:t>
            </w:r>
            <w:r w:rsidRPr="006167F9">
              <w:rPr>
                <w:b/>
                <w:i/>
              </w:rPr>
              <w:tab/>
            </w:r>
            <w:r w:rsidRPr="006167F9">
              <w:t>Planove bi trebalo redovito ažurirati. Kako bi se osiguralo da su planovi uvijek ažurni i djelotvorni, nadležna tijela iz svake regije trebala bi organizirati godišnje simulacije u suradnji s regionalnim operativnim središtima tijekom kojih bi se provjerila prikladnost tih planova.</w:t>
            </w:r>
          </w:p>
        </w:tc>
        <w:tc>
          <w:tcPr>
            <w:tcW w:w="4876" w:type="dxa"/>
          </w:tcPr>
          <w:p w:rsidR="004D4C89" w:rsidRPr="006167F9" w:rsidRDefault="004D4C89" w:rsidP="00A90DD5">
            <w:pPr>
              <w:pStyle w:val="Normal6"/>
              <w:rPr>
                <w:b/>
                <w:i/>
              </w:rPr>
            </w:pPr>
            <w:r w:rsidRPr="006167F9">
              <w:t>(20)</w:t>
            </w:r>
            <w:r w:rsidRPr="006167F9">
              <w:rPr>
                <w:b/>
                <w:i/>
              </w:rPr>
              <w:tab/>
            </w:r>
            <w:r w:rsidRPr="006167F9">
              <w:t>Planove bi trebalo redovito ažurirati</w:t>
            </w:r>
            <w:r w:rsidRPr="006167F9">
              <w:rPr>
                <w:b/>
                <w:i/>
              </w:rPr>
              <w:t xml:space="preserve"> i objavljivati, jamčeći pritom povjerljivost osjetljivih informacija</w:t>
            </w:r>
            <w:r w:rsidRPr="006167F9">
              <w:t>. Kako bi se osiguralo da su planovi uvijek ažurni i djelotvorni, nadležna tijela iz svake regije trebala bi organizirati godišnje simulacije u suradnji s regionalnim operativnim središtima tijekom kojih bi se provjerila prikladnost tih planova.</w:t>
            </w:r>
          </w:p>
        </w:tc>
      </w:tr>
    </w:tbl>
    <w:p w:rsidR="004D4C89" w:rsidRPr="006167F9" w:rsidRDefault="004D4C89" w:rsidP="004D4C89"/>
    <w:p w:rsidR="004D4C89" w:rsidRPr="006167F9" w:rsidRDefault="004D4C89" w:rsidP="004D4C89">
      <w:pPr>
        <w:pStyle w:val="AMNumberTabs"/>
      </w:pPr>
      <w:r w:rsidRPr="006167F9">
        <w:t>Amandman</w:t>
      </w:r>
      <w:r w:rsidRPr="006167F9">
        <w:tab/>
      </w:r>
      <w:r w:rsidRPr="006167F9">
        <w:tab/>
        <w:t>15</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Uvodna izjava 28.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C89" w:rsidRPr="006167F9" w:rsidTr="00A90DD5">
        <w:trPr>
          <w:trHeight w:hRule="exact" w:val="240"/>
          <w:jc w:val="center"/>
        </w:trPr>
        <w:tc>
          <w:tcPr>
            <w:tcW w:w="9752" w:type="dxa"/>
            <w:gridSpan w:val="2"/>
          </w:tcPr>
          <w:p w:rsidR="004D4C89" w:rsidRPr="006167F9" w:rsidRDefault="004D4C89" w:rsidP="00A90DD5"/>
        </w:tc>
      </w:tr>
      <w:tr w:rsidR="004D4C89" w:rsidRPr="006167F9" w:rsidTr="00A90DD5">
        <w:trPr>
          <w:trHeight w:val="240"/>
          <w:jc w:val="center"/>
        </w:trPr>
        <w:tc>
          <w:tcPr>
            <w:tcW w:w="4876" w:type="dxa"/>
          </w:tcPr>
          <w:p w:rsidR="004D4C89" w:rsidRPr="006167F9" w:rsidRDefault="004D4C89" w:rsidP="00A90DD5">
            <w:pPr>
              <w:pStyle w:val="ColumnHeading"/>
            </w:pPr>
            <w:r w:rsidRPr="006167F9">
              <w:t>Tekst koji je predložila Komisija</w:t>
            </w:r>
          </w:p>
        </w:tc>
        <w:tc>
          <w:tcPr>
            <w:tcW w:w="4876" w:type="dxa"/>
          </w:tcPr>
          <w:p w:rsidR="004D4C89" w:rsidRPr="006167F9" w:rsidRDefault="004D4C89" w:rsidP="00A90DD5">
            <w:pPr>
              <w:pStyle w:val="ColumnHeading"/>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(28)</w:t>
            </w:r>
            <w:r w:rsidRPr="006167F9">
              <w:rPr>
                <w:b/>
                <w:i/>
              </w:rPr>
              <w:tab/>
            </w:r>
            <w:r w:rsidRPr="006167F9">
              <w:t>U 2012. osnovana je Koordinacijska skupina za električnu energiju kao forum za razmjenu informacija i promicanje suradnje država članica, osobito u području sigurnosti opskrbe</w:t>
            </w:r>
            <w:r w:rsidRPr="006167F9">
              <w:rPr>
                <w:rStyle w:val="Sup"/>
                <w:color w:val="auto"/>
              </w:rPr>
              <w:t>29</w:t>
            </w:r>
            <w:r w:rsidRPr="006167F9">
              <w:t>. Ovom Uredbom dodatno se pojačava uloga tog tijela. Koordinacijska skupina zadužena je za provođenje posebnih zadataka, ponajprije u vezi s izradom planova pripremljenosti za rizike, a imat će istaknutu ulogu u praćenju postignuća država članica u području sigurnosti opskrbe električnom energijom i u razvijanju najbolje prakse na toj osnovi.</w:t>
            </w:r>
          </w:p>
        </w:tc>
        <w:tc>
          <w:tcPr>
            <w:tcW w:w="4876" w:type="dxa"/>
          </w:tcPr>
          <w:p w:rsidR="004D4C89" w:rsidRPr="006167F9" w:rsidRDefault="004D4C89" w:rsidP="00A90DD5">
            <w:pPr>
              <w:pStyle w:val="Normal6"/>
              <w:rPr>
                <w:b/>
                <w:i/>
              </w:rPr>
            </w:pPr>
            <w:r w:rsidRPr="006167F9">
              <w:t>(28)</w:t>
            </w:r>
            <w:r w:rsidRPr="006167F9">
              <w:rPr>
                <w:b/>
                <w:i/>
              </w:rPr>
              <w:tab/>
            </w:r>
            <w:r w:rsidRPr="006167F9">
              <w:t>U 2012. osnovana je Koordinacijska skupina za električnu energiju kao forum za razmjenu informacija i promicanje suradnje država članica, osobito u području sigurnosti opskrbe</w:t>
            </w:r>
            <w:r w:rsidRPr="006167F9">
              <w:rPr>
                <w:rStyle w:val="Sup"/>
                <w:color w:val="auto"/>
              </w:rPr>
              <w:t>29</w:t>
            </w:r>
            <w:r w:rsidRPr="006167F9">
              <w:t>. Ovom Uredbom dodatno se pojačava uloga tog tijela. Koordinacijska skupina zadužena je za provođenje posebnih zadataka, ponajprije u vezi s izradom planova pripremljenosti za rizike, a imat će istaknutu ulogu u praćenju postignuća država članica u području sigurnosti opskrbe električnom energijom i u razvijanju najbolje prakse na toj osnovi.</w:t>
            </w:r>
            <w:r w:rsidRPr="006167F9">
              <w:rPr>
                <w:b/>
                <w:i/>
              </w:rPr>
              <w:t xml:space="preserve"> Komisija treba poduzeti odgovarajuće mjere da zajamči reviziju sastava Koordinacijske skupine za električnu energiju kako bi u njoj bili i novi dionici, poput industrije, operatora distribucijskih sustava EU-a i organizacija potrošača.</w:t>
            </w:r>
          </w:p>
        </w:tc>
      </w:tr>
      <w:tr w:rsidR="004D4C89" w:rsidRPr="006167F9" w:rsidTr="00A90DD5">
        <w:trPr>
          <w:jc w:val="center"/>
        </w:trPr>
        <w:tc>
          <w:tcPr>
            <w:tcW w:w="4876" w:type="dxa"/>
          </w:tcPr>
          <w:p w:rsidR="004D4C89" w:rsidRPr="006167F9" w:rsidRDefault="004D4C89" w:rsidP="00A90DD5">
            <w:pPr>
              <w:pStyle w:val="Normal6"/>
              <w:rPr>
                <w:b/>
                <w:i/>
              </w:rPr>
            </w:pPr>
            <w:r w:rsidRPr="006167F9">
              <w:t>_________________</w:t>
            </w:r>
          </w:p>
        </w:tc>
        <w:tc>
          <w:tcPr>
            <w:tcW w:w="4876" w:type="dxa"/>
          </w:tcPr>
          <w:p w:rsidR="004D4C89" w:rsidRPr="006167F9" w:rsidRDefault="004D4C89" w:rsidP="00A90DD5">
            <w:pPr>
              <w:pStyle w:val="Normal6"/>
              <w:rPr>
                <w:b/>
                <w:i/>
              </w:rPr>
            </w:pPr>
            <w:r w:rsidRPr="006167F9">
              <w:t>_________________</w:t>
            </w:r>
          </w:p>
        </w:tc>
      </w:tr>
      <w:tr w:rsidR="004D4C89" w:rsidRPr="006167F9" w:rsidTr="00A90DD5">
        <w:trPr>
          <w:jc w:val="center"/>
        </w:trPr>
        <w:tc>
          <w:tcPr>
            <w:tcW w:w="4876" w:type="dxa"/>
          </w:tcPr>
          <w:p w:rsidR="004D4C89" w:rsidRPr="006167F9" w:rsidRDefault="004D4C89" w:rsidP="00A90DD5">
            <w:pPr>
              <w:pStyle w:val="Normal6"/>
              <w:rPr>
                <w:b/>
                <w:i/>
              </w:rPr>
            </w:pPr>
            <w:r w:rsidRPr="006167F9">
              <w:rPr>
                <w:rStyle w:val="Sup"/>
                <w:color w:val="auto"/>
              </w:rPr>
              <w:t>29</w:t>
            </w:r>
            <w:r w:rsidRPr="006167F9">
              <w:t xml:space="preserve"> Odluka Komisije od 15. studenoga 2012. o osnivanju Koordinacijske skupine za električnu energiju</w:t>
            </w:r>
            <w:r w:rsidRPr="006167F9">
              <w:rPr>
                <w:b/>
                <w:i/>
              </w:rPr>
              <w:t xml:space="preserve"> </w:t>
            </w:r>
            <w:r w:rsidRPr="006167F9">
              <w:t>(2012/C 353/02), SL C 353, 17.11.2012., str. 2.</w:t>
            </w:r>
          </w:p>
        </w:tc>
        <w:tc>
          <w:tcPr>
            <w:tcW w:w="4876" w:type="dxa"/>
          </w:tcPr>
          <w:p w:rsidR="004D4C89" w:rsidRPr="006167F9" w:rsidRDefault="004D4C89" w:rsidP="00A90DD5">
            <w:pPr>
              <w:pStyle w:val="Normal6"/>
              <w:rPr>
                <w:b/>
                <w:i/>
              </w:rPr>
            </w:pPr>
            <w:r w:rsidRPr="006167F9">
              <w:rPr>
                <w:rStyle w:val="Sup"/>
                <w:color w:val="auto"/>
              </w:rPr>
              <w:t>29</w:t>
            </w:r>
            <w:r w:rsidRPr="006167F9">
              <w:t xml:space="preserve"> Odluka Komisije od 15. studenoga 2012. o osnivanju Koordinacijske skupine za električnu energiju</w:t>
            </w:r>
            <w:r w:rsidRPr="006167F9">
              <w:rPr>
                <w:b/>
                <w:i/>
              </w:rPr>
              <w:t xml:space="preserve"> </w:t>
            </w:r>
            <w:r w:rsidRPr="006167F9">
              <w:t>(2012/C 353/02), SL C 353, 17.11.2012., str. 2.</w:t>
            </w:r>
          </w:p>
        </w:tc>
      </w:tr>
    </w:tbl>
    <w:p w:rsidR="00084A59" w:rsidRPr="006167F9" w:rsidRDefault="00084A59" w:rsidP="004D4C89"/>
    <w:p w:rsidR="004D4C89" w:rsidRPr="006167F9" w:rsidRDefault="004D4C89" w:rsidP="004D4C89">
      <w:pPr>
        <w:pStyle w:val="AMNumberTabs"/>
        <w:keepNext/>
      </w:pPr>
      <w:r w:rsidRPr="006167F9">
        <w:t>Amandman</w:t>
      </w:r>
      <w:r w:rsidRPr="006167F9">
        <w:tab/>
      </w:r>
      <w:r w:rsidRPr="006167F9">
        <w:tab/>
        <w:t>16</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Uvodna izjava 29.</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D4C89" w:rsidRPr="006167F9" w:rsidTr="00A90DD5">
        <w:trPr>
          <w:jc w:val="center"/>
        </w:trPr>
        <w:tc>
          <w:tcPr>
            <w:tcW w:w="9752" w:type="dxa"/>
            <w:gridSpan w:val="2"/>
          </w:tcPr>
          <w:p w:rsidR="004D4C89" w:rsidRPr="006167F9" w:rsidRDefault="004D4C89" w:rsidP="00A90DD5">
            <w:pPr>
              <w:keepNext/>
            </w:pPr>
          </w:p>
        </w:tc>
      </w:tr>
      <w:tr w:rsidR="004D4C89" w:rsidRPr="006167F9" w:rsidTr="00A90DD5">
        <w:trPr>
          <w:jc w:val="center"/>
        </w:trPr>
        <w:tc>
          <w:tcPr>
            <w:tcW w:w="4876" w:type="dxa"/>
          </w:tcPr>
          <w:p w:rsidR="004D4C89" w:rsidRPr="006167F9" w:rsidRDefault="004D4C89" w:rsidP="00A90DD5">
            <w:pPr>
              <w:pStyle w:val="ColumnHeading"/>
              <w:keepNext/>
            </w:pPr>
            <w:r w:rsidRPr="006167F9">
              <w:t>Tekst koji je predložila Komisija</w:t>
            </w:r>
          </w:p>
        </w:tc>
        <w:tc>
          <w:tcPr>
            <w:tcW w:w="4876" w:type="dxa"/>
          </w:tcPr>
          <w:p w:rsidR="004D4C89" w:rsidRPr="006167F9" w:rsidRDefault="004D4C89" w:rsidP="00A90DD5">
            <w:pPr>
              <w:pStyle w:val="ColumnHeading"/>
              <w:keepNext/>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(29)</w:t>
            </w:r>
            <w:r w:rsidRPr="006167F9">
              <w:rPr>
                <w:b/>
                <w:i/>
              </w:rPr>
              <w:tab/>
            </w:r>
            <w:r w:rsidRPr="006167F9">
              <w:t>Elektroenergetska kriza može se proširiti i izvan granica Unije te ugroziti i članice Energetske zajednice. U cilju osiguravanja učinkovitog upravljanja krizama na granicama između država članica i ugovornih strana, Unija bi trebala blisko surađivati s ugovornim stranama Energetske zajednice u sprečavanju elektroenergetskih kriza, pripremanju za njih i njihovu rješavanju.</w:t>
            </w:r>
          </w:p>
        </w:tc>
        <w:tc>
          <w:tcPr>
            <w:tcW w:w="4876" w:type="dxa"/>
          </w:tcPr>
          <w:p w:rsidR="004D4C89" w:rsidRPr="006167F9" w:rsidRDefault="004D4C89" w:rsidP="00A90DD5">
            <w:pPr>
              <w:pStyle w:val="Normal6"/>
              <w:rPr>
                <w:b/>
                <w:i/>
                <w:szCs w:val="24"/>
              </w:rPr>
            </w:pPr>
            <w:r w:rsidRPr="006167F9">
              <w:t>(29)</w:t>
            </w:r>
            <w:r w:rsidRPr="006167F9">
              <w:rPr>
                <w:b/>
                <w:i/>
              </w:rPr>
              <w:tab/>
            </w:r>
            <w:r w:rsidRPr="006167F9">
              <w:t>Elektroenergetska kriza može se proširiti i izvan granica Unije te ugroziti i članice Energetske zajednice.</w:t>
            </w:r>
            <w:r w:rsidRPr="006167F9">
              <w:rPr>
                <w:b/>
                <w:i/>
              </w:rPr>
              <w:t xml:space="preserve"> Kao stranka Ugovora o Energetskoj zajednici Unija bi se trebala zalagati za izmjene tog Ugovora s ciljem stvaranja integriranog tržišta i jedinstvenog regulatornog prostora pružanjem odgovarajućeg i stabilnog regulatornog okvira.</w:t>
            </w:r>
            <w:r w:rsidRPr="006167F9">
              <w:t xml:space="preserve"> U cilju osiguravanja učinkovitog upravljanja krizama na granicama između država članica i ugovornih strana</w:t>
            </w:r>
            <w:r w:rsidRPr="006167F9">
              <w:rPr>
                <w:b/>
                <w:i/>
              </w:rPr>
              <w:t xml:space="preserve"> Energetske zajednice</w:t>
            </w:r>
            <w:r w:rsidRPr="006167F9">
              <w:t>, Unija bi trebala blisko surađivati s ugovornim stranama Energetske zajednice u sprečavanju elektroenergetskih kriza, pripremanju za njih i njihovu rješavanju.</w:t>
            </w:r>
          </w:p>
        </w:tc>
      </w:tr>
    </w:tbl>
    <w:p w:rsidR="00084A59" w:rsidRPr="006167F9" w:rsidRDefault="00084A59" w:rsidP="004D4C89"/>
    <w:p w:rsidR="004D4C89" w:rsidRPr="006167F9" w:rsidRDefault="004D4C89" w:rsidP="004D4C89">
      <w:pPr>
        <w:pStyle w:val="AMNumberTabs"/>
      </w:pPr>
      <w:r w:rsidRPr="006167F9">
        <w:t>Amandman</w:t>
      </w:r>
      <w:r w:rsidRPr="006167F9">
        <w:tab/>
      </w:r>
      <w:r w:rsidRPr="006167F9">
        <w:tab/>
        <w:t>17</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1. – stavak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C89" w:rsidRPr="006167F9" w:rsidTr="00A90DD5">
        <w:trPr>
          <w:trHeight w:hRule="exact" w:val="240"/>
          <w:jc w:val="center"/>
        </w:trPr>
        <w:tc>
          <w:tcPr>
            <w:tcW w:w="9752" w:type="dxa"/>
            <w:gridSpan w:val="2"/>
          </w:tcPr>
          <w:p w:rsidR="004D4C89" w:rsidRPr="006167F9" w:rsidRDefault="004D4C89" w:rsidP="00A90DD5"/>
        </w:tc>
      </w:tr>
      <w:tr w:rsidR="004D4C89" w:rsidRPr="006167F9" w:rsidTr="00A90DD5">
        <w:trPr>
          <w:trHeight w:val="240"/>
          <w:jc w:val="center"/>
        </w:trPr>
        <w:tc>
          <w:tcPr>
            <w:tcW w:w="4876" w:type="dxa"/>
          </w:tcPr>
          <w:p w:rsidR="004D4C89" w:rsidRPr="006167F9" w:rsidRDefault="004D4C89" w:rsidP="00A90DD5">
            <w:pPr>
              <w:pStyle w:val="ColumnHeading"/>
            </w:pPr>
            <w:r w:rsidRPr="006167F9">
              <w:t>Tekst koji je predložila Komisija</w:t>
            </w:r>
          </w:p>
        </w:tc>
        <w:tc>
          <w:tcPr>
            <w:tcW w:w="4876" w:type="dxa"/>
          </w:tcPr>
          <w:p w:rsidR="004D4C89" w:rsidRPr="006167F9" w:rsidRDefault="004D4C89" w:rsidP="00A90DD5">
            <w:pPr>
              <w:pStyle w:val="ColumnHeading"/>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Ovom se Uredbom utvrđuju pravila za suradnju među državama članicama s ciljem sprečavanja elektroenergetskih kriza, pripremanja za njih i njihova rješavanja u duhu solidarnosti i transparentnosti</w:t>
            </w:r>
            <w:r w:rsidRPr="006167F9">
              <w:rPr>
                <w:b/>
                <w:i/>
              </w:rPr>
              <w:t xml:space="preserve"> i</w:t>
            </w:r>
            <w:r w:rsidRPr="006167F9">
              <w:t xml:space="preserve"> uz potpuno pridržavanje zahtjeva konkurentnog unutarnjeg tržišta električne energije.</w:t>
            </w:r>
          </w:p>
        </w:tc>
        <w:tc>
          <w:tcPr>
            <w:tcW w:w="4876" w:type="dxa"/>
          </w:tcPr>
          <w:p w:rsidR="004D4C89" w:rsidRPr="006167F9" w:rsidRDefault="004D4C89" w:rsidP="00A90DD5">
            <w:pPr>
              <w:pStyle w:val="Normal6"/>
              <w:rPr>
                <w:b/>
                <w:i/>
              </w:rPr>
            </w:pPr>
            <w:r w:rsidRPr="006167F9">
              <w:t>Ovom se Uredbom utvrđuju pravila za suradnju među državama članicama s ciljem sprečavanja elektroenergetskih kriza, pripremanja za njih i njihova rješavanja u duhu solidarnosti i transparentnosti</w:t>
            </w:r>
            <w:r w:rsidRPr="006167F9">
              <w:rPr>
                <w:b/>
                <w:i/>
              </w:rPr>
              <w:t>,</w:t>
            </w:r>
            <w:r w:rsidRPr="006167F9">
              <w:t xml:space="preserve"> uz potpuno pridržavanje zahtjeva konkurentnog unutarnjeg tržišta električne energije</w:t>
            </w:r>
            <w:r w:rsidRPr="006167F9">
              <w:rPr>
                <w:b/>
                <w:i/>
              </w:rPr>
              <w:t xml:space="preserve"> te u skladu s energetskim i klimatskim ciljevima Unije</w:t>
            </w:r>
            <w:r w:rsidRPr="006167F9">
              <w:t>.</w:t>
            </w:r>
          </w:p>
        </w:tc>
      </w:tr>
    </w:tbl>
    <w:p w:rsidR="004D4C89" w:rsidRPr="006167F9" w:rsidRDefault="004D4C89" w:rsidP="004D4C89">
      <w:pPr>
        <w:pStyle w:val="JustificationTitle"/>
      </w:pPr>
      <w:r w:rsidRPr="006167F9">
        <w:t>Obrazloženje</w:t>
      </w:r>
    </w:p>
    <w:p w:rsidR="00084A59" w:rsidRPr="006167F9" w:rsidRDefault="004D4C89" w:rsidP="004D4C89">
      <w:pPr>
        <w:pStyle w:val="Normal12Italic"/>
      </w:pPr>
      <w:r w:rsidRPr="006167F9">
        <w:t>Širi kontekst trebao bi obuhvaćati upućivanja na strateške ciljeve Unije u tom području.</w:t>
      </w:r>
    </w:p>
    <w:p w:rsidR="004D4C89" w:rsidRPr="006167F9" w:rsidRDefault="004D4C89" w:rsidP="004D4C89">
      <w:pPr>
        <w:pStyle w:val="AMNumberTabs"/>
      </w:pPr>
      <w:r w:rsidRPr="006167F9">
        <w:t>Amandman</w:t>
      </w:r>
      <w:r w:rsidRPr="006167F9">
        <w:tab/>
      </w:r>
      <w:r w:rsidRPr="006167F9">
        <w:tab/>
        <w:t>18</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2. – stavak 2.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C89" w:rsidRPr="006167F9" w:rsidTr="00A90DD5">
        <w:trPr>
          <w:trHeight w:hRule="exact" w:val="240"/>
          <w:jc w:val="center"/>
        </w:trPr>
        <w:tc>
          <w:tcPr>
            <w:tcW w:w="9752" w:type="dxa"/>
            <w:gridSpan w:val="2"/>
          </w:tcPr>
          <w:p w:rsidR="004D4C89" w:rsidRPr="006167F9" w:rsidRDefault="004D4C89" w:rsidP="00A90DD5"/>
        </w:tc>
      </w:tr>
      <w:tr w:rsidR="004D4C89" w:rsidRPr="006167F9" w:rsidTr="00A90DD5">
        <w:trPr>
          <w:trHeight w:val="240"/>
          <w:jc w:val="center"/>
        </w:trPr>
        <w:tc>
          <w:tcPr>
            <w:tcW w:w="4876" w:type="dxa"/>
          </w:tcPr>
          <w:p w:rsidR="004D4C89" w:rsidRPr="006167F9" w:rsidRDefault="004D4C89" w:rsidP="00A90DD5">
            <w:pPr>
              <w:pStyle w:val="ColumnHeading"/>
            </w:pPr>
            <w:r w:rsidRPr="006167F9">
              <w:t>Tekst koji je predložila Komisija</w:t>
            </w:r>
          </w:p>
        </w:tc>
        <w:tc>
          <w:tcPr>
            <w:tcW w:w="4876" w:type="dxa"/>
          </w:tcPr>
          <w:p w:rsidR="004D4C89" w:rsidRPr="006167F9" w:rsidRDefault="004D4C89" w:rsidP="00A90DD5">
            <w:pPr>
              <w:pStyle w:val="ColumnHeading"/>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(b)</w:t>
            </w:r>
            <w:r w:rsidRPr="006167F9">
              <w:rPr>
                <w:b/>
                <w:i/>
              </w:rPr>
              <w:tab/>
            </w:r>
            <w:r w:rsidRPr="006167F9">
              <w:t>„elektroenergetska kriza” znači situacija znatne nestašice električne energije ili nemogućnost isporuke električne energije krajnjim korisnicima, postojeća ili neminovna;</w:t>
            </w:r>
          </w:p>
        </w:tc>
        <w:tc>
          <w:tcPr>
            <w:tcW w:w="4876" w:type="dxa"/>
          </w:tcPr>
          <w:p w:rsidR="004D4C89" w:rsidRPr="006167F9" w:rsidRDefault="004D4C89" w:rsidP="00A90DD5">
            <w:pPr>
              <w:pStyle w:val="Normal6"/>
              <w:rPr>
                <w:b/>
                <w:i/>
              </w:rPr>
            </w:pPr>
            <w:r w:rsidRPr="006167F9">
              <w:t>(b)</w:t>
            </w:r>
            <w:r w:rsidRPr="006167F9">
              <w:rPr>
                <w:b/>
                <w:i/>
              </w:rPr>
              <w:tab/>
            </w:r>
            <w:r w:rsidRPr="006167F9">
              <w:t>„elektroenergetska kriza” znači situacija znatne nestašice električne energije ili nemogućnost isporuke električne energije krajnjim korisnicima, postojeća ili neminovna</w:t>
            </w:r>
            <w:r w:rsidRPr="006167F9">
              <w:rPr>
                <w:b/>
                <w:i/>
              </w:rPr>
              <w:t>, na temelju parametara definiranih u nacionalnim i regionalnim kriznim scenarijima</w:t>
            </w:r>
            <w:r w:rsidRPr="006167F9">
              <w:t>;</w:t>
            </w:r>
          </w:p>
        </w:tc>
      </w:tr>
    </w:tbl>
    <w:p w:rsidR="004D4C89" w:rsidRPr="006167F9" w:rsidRDefault="004D4C89" w:rsidP="004D4C89"/>
    <w:p w:rsidR="004D4C89" w:rsidRPr="006167F9" w:rsidRDefault="004D4C89" w:rsidP="004D4C89">
      <w:pPr>
        <w:pStyle w:val="AMNumberTabs"/>
      </w:pPr>
      <w:r w:rsidRPr="006167F9">
        <w:t>Amandman</w:t>
      </w:r>
      <w:r w:rsidRPr="006167F9">
        <w:tab/>
      </w:r>
      <w:r w:rsidRPr="006167F9">
        <w:tab/>
        <w:t>19</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2. – stavak 2. – točka ca (nova)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C89" w:rsidRPr="006167F9" w:rsidTr="00A90DD5">
        <w:trPr>
          <w:trHeight w:hRule="exact" w:val="240"/>
          <w:jc w:val="center"/>
        </w:trPr>
        <w:tc>
          <w:tcPr>
            <w:tcW w:w="9752" w:type="dxa"/>
            <w:gridSpan w:val="2"/>
          </w:tcPr>
          <w:p w:rsidR="004D4C89" w:rsidRPr="006167F9" w:rsidRDefault="004D4C89" w:rsidP="00A90DD5"/>
        </w:tc>
      </w:tr>
      <w:tr w:rsidR="004D4C89" w:rsidRPr="006167F9" w:rsidTr="00A90DD5">
        <w:trPr>
          <w:trHeight w:val="240"/>
          <w:jc w:val="center"/>
        </w:trPr>
        <w:tc>
          <w:tcPr>
            <w:tcW w:w="4876" w:type="dxa"/>
          </w:tcPr>
          <w:p w:rsidR="004D4C89" w:rsidRPr="006167F9" w:rsidRDefault="004D4C89" w:rsidP="00A90DD5">
            <w:pPr>
              <w:pStyle w:val="ColumnHeading"/>
            </w:pPr>
            <w:r w:rsidRPr="006167F9">
              <w:t>Tekst koji je predložila Komisija</w:t>
            </w:r>
          </w:p>
        </w:tc>
        <w:tc>
          <w:tcPr>
            <w:tcW w:w="4876" w:type="dxa"/>
          </w:tcPr>
          <w:p w:rsidR="004D4C89" w:rsidRPr="006167F9" w:rsidRDefault="004D4C89" w:rsidP="00A90DD5">
            <w:pPr>
              <w:pStyle w:val="ColumnHeading"/>
            </w:pPr>
            <w:r w:rsidRPr="006167F9">
              <w:t>Izmjena</w:t>
            </w:r>
          </w:p>
        </w:tc>
      </w:tr>
      <w:tr w:rsidR="004D4C89" w:rsidRPr="006167F9" w:rsidTr="00A90DD5">
        <w:trPr>
          <w:jc w:val="center"/>
        </w:trPr>
        <w:tc>
          <w:tcPr>
            <w:tcW w:w="4876" w:type="dxa"/>
          </w:tcPr>
          <w:p w:rsidR="004D4C89" w:rsidRPr="006167F9" w:rsidRDefault="004D4C89" w:rsidP="00A90DD5">
            <w:pPr>
              <w:pStyle w:val="Normal6"/>
            </w:pPr>
          </w:p>
        </w:tc>
        <w:tc>
          <w:tcPr>
            <w:tcW w:w="4876" w:type="dxa"/>
          </w:tcPr>
          <w:p w:rsidR="004D4C89" w:rsidRPr="006167F9" w:rsidRDefault="004D4C89" w:rsidP="00A90DD5">
            <w:pPr>
              <w:pStyle w:val="Normal6"/>
              <w:rPr>
                <w:b/>
                <w:i/>
              </w:rPr>
            </w:pPr>
            <w:r w:rsidRPr="006167F9">
              <w:rPr>
                <w:b/>
                <w:i/>
              </w:rPr>
              <w:t>(ca)</w:t>
            </w:r>
            <w:r w:rsidRPr="006167F9">
              <w:rPr>
                <w:b/>
                <w:i/>
              </w:rPr>
              <w:tab/>
              <w:t>„nadležno tijelo” znači nacionalno vladino tijelo ili nacionalno regulatorno tijelo koje je imenovala država članica kako bi se osigurala provedba mjera predviđenih ovom Uredbom;</w:t>
            </w:r>
          </w:p>
        </w:tc>
      </w:tr>
    </w:tbl>
    <w:p w:rsidR="004D4C89" w:rsidRPr="006167F9" w:rsidRDefault="004D4C89" w:rsidP="004D4C89">
      <w:pPr>
        <w:pStyle w:val="JustificationTitle"/>
      </w:pPr>
      <w:r w:rsidRPr="006167F9">
        <w:t>Obrazloženje</w:t>
      </w:r>
    </w:p>
    <w:p w:rsidR="00084A59" w:rsidRPr="006167F9" w:rsidRDefault="004D4C89" w:rsidP="004D4C89">
      <w:pPr>
        <w:pStyle w:val="Normal12Italic"/>
      </w:pPr>
      <w:r w:rsidRPr="006167F9">
        <w:t>Potrebno je dodati definiciju „nadležnog tijela”, u skladu s definicijom koja se koristi u Uredbi za sigurnost opskrbe plinom.</w:t>
      </w:r>
    </w:p>
    <w:p w:rsidR="004D4C89" w:rsidRPr="006167F9" w:rsidRDefault="004D4C89" w:rsidP="004D4C89">
      <w:pPr>
        <w:pStyle w:val="AMNumberTabs"/>
      </w:pPr>
      <w:r w:rsidRPr="006167F9">
        <w:t>Amandman</w:t>
      </w:r>
      <w:r w:rsidRPr="006167F9">
        <w:tab/>
      </w:r>
      <w:r w:rsidRPr="006167F9">
        <w:tab/>
        <w:t>20</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2. – stavak 2. – točka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C89" w:rsidRPr="006167F9" w:rsidTr="00A90DD5">
        <w:trPr>
          <w:trHeight w:hRule="exact" w:val="240"/>
          <w:jc w:val="center"/>
        </w:trPr>
        <w:tc>
          <w:tcPr>
            <w:tcW w:w="9752" w:type="dxa"/>
            <w:gridSpan w:val="2"/>
          </w:tcPr>
          <w:p w:rsidR="004D4C89" w:rsidRPr="006167F9" w:rsidRDefault="004D4C89" w:rsidP="00A90DD5"/>
        </w:tc>
      </w:tr>
      <w:tr w:rsidR="004D4C89" w:rsidRPr="006167F9" w:rsidTr="00A90DD5">
        <w:trPr>
          <w:trHeight w:val="240"/>
          <w:jc w:val="center"/>
        </w:trPr>
        <w:tc>
          <w:tcPr>
            <w:tcW w:w="4876" w:type="dxa"/>
          </w:tcPr>
          <w:p w:rsidR="004D4C89" w:rsidRPr="006167F9" w:rsidRDefault="004D4C89" w:rsidP="00A90DD5">
            <w:pPr>
              <w:pStyle w:val="ColumnHeading"/>
            </w:pPr>
            <w:r w:rsidRPr="006167F9">
              <w:t>Tekst koji je predložila Komisija</w:t>
            </w:r>
          </w:p>
        </w:tc>
        <w:tc>
          <w:tcPr>
            <w:tcW w:w="4876" w:type="dxa"/>
          </w:tcPr>
          <w:p w:rsidR="004D4C89" w:rsidRPr="006167F9" w:rsidRDefault="004D4C89" w:rsidP="00A90DD5">
            <w:pPr>
              <w:pStyle w:val="ColumnHeading"/>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(e)</w:t>
            </w:r>
            <w:r w:rsidRPr="006167F9">
              <w:rPr>
                <w:b/>
                <w:i/>
              </w:rPr>
              <w:tab/>
            </w:r>
            <w:r w:rsidRPr="006167F9">
              <w:t>„netržišna mjera” znači bilo koja mjera na strani ponude ili potražnje koja odstupa od tržišnih pravila ili komercijalnih ugovora uvedena u cilju ublažavanja elektroenergetske krize;</w:t>
            </w:r>
          </w:p>
        </w:tc>
        <w:tc>
          <w:tcPr>
            <w:tcW w:w="4876" w:type="dxa"/>
          </w:tcPr>
          <w:p w:rsidR="004D4C89" w:rsidRPr="006167F9" w:rsidRDefault="004D4C89" w:rsidP="00A90DD5">
            <w:pPr>
              <w:pStyle w:val="Normal6"/>
              <w:rPr>
                <w:b/>
                <w:i/>
              </w:rPr>
            </w:pPr>
            <w:r w:rsidRPr="006167F9">
              <w:t>(e)</w:t>
            </w:r>
            <w:r w:rsidRPr="006167F9">
              <w:rPr>
                <w:b/>
                <w:i/>
              </w:rPr>
              <w:tab/>
            </w:r>
            <w:r w:rsidRPr="006167F9">
              <w:t>„netržišna mjera” znači bilo koja mjera na strani ponude</w:t>
            </w:r>
            <w:r w:rsidRPr="006167F9">
              <w:rPr>
                <w:b/>
                <w:i/>
              </w:rPr>
              <w:t>, mreže</w:t>
            </w:r>
            <w:r w:rsidRPr="006167F9">
              <w:t xml:space="preserve"> ili potražnje koja odstupa od tržišnih pravila ili komercijalnih ugovora uvedena u cilju ublažavanja elektroenergetske krize;</w:t>
            </w:r>
          </w:p>
        </w:tc>
      </w:tr>
    </w:tbl>
    <w:p w:rsidR="004D4C89" w:rsidRPr="006167F9" w:rsidRDefault="004D4C89" w:rsidP="004D4C89">
      <w:pPr>
        <w:pStyle w:val="JustificationTitle"/>
      </w:pPr>
      <w:r w:rsidRPr="006167F9">
        <w:t>Obrazloženje</w:t>
      </w:r>
    </w:p>
    <w:p w:rsidR="00084A59" w:rsidRPr="006167F9" w:rsidRDefault="004D4C89" w:rsidP="004D4C89">
      <w:pPr>
        <w:pStyle w:val="Normal12Italic"/>
      </w:pPr>
      <w:r w:rsidRPr="006167F9">
        <w:t>Bitno je da se u tu definiciju uključe mjere koje se primjenjuju na strani mreže kako bi se jasno navelo da je, primjerice, ograničavanje dostupnih interkonekcijskih kapaciteta ili već dodijeljenog prekozonskog kapaciteta netržišna mjera i da se treba izbjegavati.</w:t>
      </w:r>
    </w:p>
    <w:p w:rsidR="004D4C89" w:rsidRPr="006167F9" w:rsidRDefault="004D4C89" w:rsidP="004D4C89">
      <w:pPr>
        <w:pStyle w:val="AMNumberTabs"/>
      </w:pPr>
      <w:r w:rsidRPr="006167F9">
        <w:t>Amandman</w:t>
      </w:r>
      <w:r w:rsidRPr="006167F9">
        <w:tab/>
      </w:r>
      <w:r w:rsidRPr="006167F9">
        <w:tab/>
        <w:t>21</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2. – stavak 2. – točka fa (nova)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C89" w:rsidRPr="006167F9" w:rsidTr="00A90DD5">
        <w:trPr>
          <w:trHeight w:hRule="exact" w:val="240"/>
          <w:jc w:val="center"/>
        </w:trPr>
        <w:tc>
          <w:tcPr>
            <w:tcW w:w="9752" w:type="dxa"/>
            <w:gridSpan w:val="2"/>
          </w:tcPr>
          <w:p w:rsidR="004D4C89" w:rsidRPr="006167F9" w:rsidRDefault="004D4C89" w:rsidP="00A90DD5"/>
        </w:tc>
      </w:tr>
      <w:tr w:rsidR="004D4C89" w:rsidRPr="006167F9" w:rsidTr="00A90DD5">
        <w:trPr>
          <w:trHeight w:val="240"/>
          <w:jc w:val="center"/>
        </w:trPr>
        <w:tc>
          <w:tcPr>
            <w:tcW w:w="4876" w:type="dxa"/>
          </w:tcPr>
          <w:p w:rsidR="004D4C89" w:rsidRPr="006167F9" w:rsidRDefault="004D4C89" w:rsidP="00A90DD5">
            <w:pPr>
              <w:pStyle w:val="ColumnHeading"/>
            </w:pPr>
            <w:r w:rsidRPr="006167F9">
              <w:t>Tekst koji je predložila Komisija</w:t>
            </w:r>
          </w:p>
        </w:tc>
        <w:tc>
          <w:tcPr>
            <w:tcW w:w="4876" w:type="dxa"/>
          </w:tcPr>
          <w:p w:rsidR="004D4C89" w:rsidRPr="006167F9" w:rsidRDefault="004D4C89" w:rsidP="00A90DD5">
            <w:pPr>
              <w:pStyle w:val="ColumnHeading"/>
            </w:pPr>
            <w:r w:rsidRPr="006167F9">
              <w:t>Izmjena</w:t>
            </w:r>
          </w:p>
        </w:tc>
      </w:tr>
      <w:tr w:rsidR="004D4C89" w:rsidRPr="006167F9" w:rsidTr="00A90DD5">
        <w:trPr>
          <w:jc w:val="center"/>
        </w:trPr>
        <w:tc>
          <w:tcPr>
            <w:tcW w:w="4876" w:type="dxa"/>
          </w:tcPr>
          <w:p w:rsidR="004D4C89" w:rsidRPr="006167F9" w:rsidRDefault="004D4C89" w:rsidP="00A90DD5">
            <w:pPr>
              <w:pStyle w:val="Normal6"/>
            </w:pPr>
          </w:p>
        </w:tc>
        <w:tc>
          <w:tcPr>
            <w:tcW w:w="4876" w:type="dxa"/>
          </w:tcPr>
          <w:p w:rsidR="004D4C89" w:rsidRPr="006167F9" w:rsidRDefault="004D4C89" w:rsidP="00A90DD5">
            <w:pPr>
              <w:pStyle w:val="Normal6"/>
              <w:rPr>
                <w:b/>
                <w:i/>
              </w:rPr>
            </w:pPr>
            <w:r w:rsidRPr="006167F9">
              <w:rPr>
                <w:b/>
                <w:i/>
              </w:rPr>
              <w:t>(fa)</w:t>
            </w:r>
            <w:r w:rsidRPr="006167F9">
              <w:rPr>
                <w:b/>
                <w:i/>
              </w:rPr>
              <w:tab/>
              <w:t>„makroregija” znači skupina država članica uključenih u strukturirano makroregionalno partnerstvo, u skladu s člankom 2. stavkom 18. točkom (a) Uredbe (EU) ... [predložena uredba o električnoj energiji u okviru upravljanja energetskom unijom].</w:t>
            </w:r>
          </w:p>
        </w:tc>
      </w:tr>
    </w:tbl>
    <w:p w:rsidR="00084A59" w:rsidRPr="006167F9" w:rsidRDefault="00084A59" w:rsidP="004D4C89"/>
    <w:p w:rsidR="004D4C89" w:rsidRPr="006167F9" w:rsidRDefault="004D4C89" w:rsidP="004D4C89">
      <w:pPr>
        <w:pStyle w:val="AMNumberTabs"/>
        <w:keepNext/>
      </w:pPr>
      <w:r w:rsidRPr="006167F9">
        <w:t>Amandman</w:t>
      </w:r>
      <w:r w:rsidRPr="006167F9">
        <w:tab/>
      </w:r>
      <w:r w:rsidRPr="006167F9">
        <w:tab/>
        <w:t>22</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3. – stavak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D4C89" w:rsidRPr="006167F9" w:rsidTr="00A90DD5">
        <w:trPr>
          <w:jc w:val="center"/>
        </w:trPr>
        <w:tc>
          <w:tcPr>
            <w:tcW w:w="9752" w:type="dxa"/>
            <w:gridSpan w:val="2"/>
          </w:tcPr>
          <w:p w:rsidR="004D4C89" w:rsidRPr="006167F9" w:rsidRDefault="004D4C89" w:rsidP="00A90DD5">
            <w:pPr>
              <w:keepNext/>
            </w:pPr>
          </w:p>
        </w:tc>
      </w:tr>
      <w:tr w:rsidR="004D4C89" w:rsidRPr="006167F9" w:rsidTr="00A90DD5">
        <w:trPr>
          <w:jc w:val="center"/>
        </w:trPr>
        <w:tc>
          <w:tcPr>
            <w:tcW w:w="4876" w:type="dxa"/>
          </w:tcPr>
          <w:p w:rsidR="004D4C89" w:rsidRPr="006167F9" w:rsidRDefault="004D4C89" w:rsidP="00A90DD5">
            <w:pPr>
              <w:pStyle w:val="ColumnHeading"/>
              <w:keepNext/>
            </w:pPr>
            <w:r w:rsidRPr="006167F9">
              <w:t>Tekst koji je predložila Komisija</w:t>
            </w:r>
          </w:p>
        </w:tc>
        <w:tc>
          <w:tcPr>
            <w:tcW w:w="4876" w:type="dxa"/>
          </w:tcPr>
          <w:p w:rsidR="004D4C89" w:rsidRPr="006167F9" w:rsidRDefault="004D4C89" w:rsidP="00A90DD5">
            <w:pPr>
              <w:pStyle w:val="ColumnHeading"/>
              <w:keepNext/>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2.</w:t>
            </w:r>
            <w:r w:rsidRPr="006167F9">
              <w:rPr>
                <w:b/>
                <w:i/>
              </w:rPr>
              <w:tab/>
              <w:t>Države članice obavješćuju</w:t>
            </w:r>
            <w:r w:rsidRPr="006167F9">
              <w:t xml:space="preserve"> Komisiju</w:t>
            </w:r>
            <w:r w:rsidRPr="006167F9">
              <w:rPr>
                <w:b/>
                <w:i/>
              </w:rPr>
              <w:t xml:space="preserve"> bez odgode</w:t>
            </w:r>
            <w:r w:rsidRPr="006167F9">
              <w:t xml:space="preserve"> o nazivu i podacima za kontakt nadležnog tijela</w:t>
            </w:r>
            <w:r w:rsidRPr="006167F9">
              <w:rPr>
                <w:b/>
                <w:i/>
              </w:rPr>
              <w:t>, nakon što ono bude određeno</w:t>
            </w:r>
            <w:r w:rsidRPr="006167F9">
              <w:t>.</w:t>
            </w:r>
          </w:p>
        </w:tc>
        <w:tc>
          <w:tcPr>
            <w:tcW w:w="4876" w:type="dxa"/>
          </w:tcPr>
          <w:p w:rsidR="004D4C89" w:rsidRPr="006167F9" w:rsidRDefault="004D4C89" w:rsidP="00A90DD5">
            <w:pPr>
              <w:pStyle w:val="Normal6"/>
              <w:rPr>
                <w:b/>
                <w:i/>
                <w:szCs w:val="24"/>
              </w:rPr>
            </w:pPr>
            <w:r w:rsidRPr="006167F9">
              <w:t>2.</w:t>
            </w:r>
            <w:r w:rsidRPr="006167F9">
              <w:rPr>
                <w:b/>
                <w:i/>
              </w:rPr>
              <w:tab/>
              <w:t>Svaka država članica bez odgađanja obavješćuje</w:t>
            </w:r>
            <w:r w:rsidRPr="006167F9">
              <w:t xml:space="preserve"> Komisiju o nazivu i podacima za kontakt</w:t>
            </w:r>
            <w:r w:rsidRPr="006167F9">
              <w:rPr>
                <w:b/>
                <w:i/>
              </w:rPr>
              <w:t xml:space="preserve"> svojeg</w:t>
            </w:r>
            <w:r w:rsidRPr="006167F9">
              <w:t xml:space="preserve"> nadležnog tijela</w:t>
            </w:r>
            <w:r w:rsidRPr="006167F9">
              <w:rPr>
                <w:b/>
                <w:i/>
              </w:rPr>
              <w:t xml:space="preserve"> i promjenama u tom pogledu te objavljuje te informacije</w:t>
            </w:r>
            <w:r w:rsidRPr="006167F9">
              <w:t>.</w:t>
            </w:r>
          </w:p>
        </w:tc>
      </w:tr>
    </w:tbl>
    <w:p w:rsidR="004D4C89" w:rsidRPr="006167F9" w:rsidRDefault="004D4C89" w:rsidP="004D4C89"/>
    <w:p w:rsidR="004D4C89" w:rsidRPr="006167F9" w:rsidRDefault="004D4C89" w:rsidP="004D4C89">
      <w:pPr>
        <w:pStyle w:val="AMNumberTabs"/>
        <w:keepNext/>
      </w:pPr>
      <w:r w:rsidRPr="006167F9">
        <w:t>Amandman</w:t>
      </w:r>
      <w:r w:rsidRPr="006167F9">
        <w:tab/>
      </w:r>
      <w:r w:rsidRPr="006167F9">
        <w:tab/>
        <w:t>23</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4. – stavak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D4C89" w:rsidRPr="006167F9" w:rsidTr="00A90DD5">
        <w:trPr>
          <w:jc w:val="center"/>
        </w:trPr>
        <w:tc>
          <w:tcPr>
            <w:tcW w:w="9752" w:type="dxa"/>
            <w:gridSpan w:val="2"/>
          </w:tcPr>
          <w:p w:rsidR="004D4C89" w:rsidRPr="006167F9" w:rsidRDefault="004D4C89" w:rsidP="00A90DD5">
            <w:pPr>
              <w:keepNext/>
            </w:pPr>
          </w:p>
        </w:tc>
      </w:tr>
      <w:tr w:rsidR="004D4C89" w:rsidRPr="006167F9" w:rsidTr="00A90DD5">
        <w:trPr>
          <w:jc w:val="center"/>
        </w:trPr>
        <w:tc>
          <w:tcPr>
            <w:tcW w:w="4876" w:type="dxa"/>
          </w:tcPr>
          <w:p w:rsidR="004D4C89" w:rsidRPr="006167F9" w:rsidRDefault="004D4C89" w:rsidP="00A90DD5">
            <w:pPr>
              <w:pStyle w:val="ColumnHeading"/>
              <w:keepNext/>
            </w:pPr>
            <w:r w:rsidRPr="006167F9">
              <w:t>Tekst koji je predložila Komisija</w:t>
            </w:r>
          </w:p>
        </w:tc>
        <w:tc>
          <w:tcPr>
            <w:tcW w:w="4876" w:type="dxa"/>
          </w:tcPr>
          <w:p w:rsidR="004D4C89" w:rsidRPr="006167F9" w:rsidRDefault="004D4C89" w:rsidP="00A90DD5">
            <w:pPr>
              <w:pStyle w:val="ColumnHeading"/>
              <w:keepNext/>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Države članice osiguravaju da su svi rizici koji se odnose na sigurnost opskrbe električnom energijom procijenjeni u skladu s pravilima utvrđenima ovom Uredbom i s</w:t>
            </w:r>
            <w:r w:rsidRPr="006167F9">
              <w:rPr>
                <w:b/>
                <w:i/>
              </w:rPr>
              <w:t xml:space="preserve"> člankom 18</w:t>
            </w:r>
            <w:r w:rsidRPr="006167F9">
              <w:t>. Uredbe</w:t>
            </w:r>
            <w:r w:rsidRPr="006167F9">
              <w:rPr>
                <w:b/>
                <w:i/>
              </w:rPr>
              <w:t xml:space="preserve"> o električnoj energiji</w:t>
            </w:r>
            <w:r w:rsidRPr="006167F9">
              <w:t xml:space="preserve"> [predložena Uredba o električnoj energiji]. S tim ciljem one surađuju s Europskom mrežom operatora prijenosnih sustava za električnu energiju</w:t>
            </w:r>
            <w:r w:rsidRPr="006167F9">
              <w:rPr>
                <w:b/>
                <w:i/>
              </w:rPr>
              <w:t xml:space="preserve"> </w:t>
            </w:r>
            <w:r w:rsidRPr="006167F9">
              <w:t>(ENTSO-E) i regionalnim operativnim središtima.</w:t>
            </w:r>
          </w:p>
        </w:tc>
        <w:tc>
          <w:tcPr>
            <w:tcW w:w="4876" w:type="dxa"/>
          </w:tcPr>
          <w:p w:rsidR="004D4C89" w:rsidRPr="006167F9" w:rsidRDefault="004D4C89" w:rsidP="00A90DD5">
            <w:pPr>
              <w:pStyle w:val="Normal6"/>
              <w:rPr>
                <w:b/>
                <w:i/>
                <w:szCs w:val="24"/>
              </w:rPr>
            </w:pPr>
            <w:r w:rsidRPr="006167F9">
              <w:t>Države članice osiguravaju da su svi rizici koji se odnose na sigurnost opskrbe električnom energijom procijenjeni u skladu s pravilima utvrđenima ovom Uredbom i s</w:t>
            </w:r>
            <w:r w:rsidRPr="006167F9">
              <w:rPr>
                <w:b/>
                <w:i/>
              </w:rPr>
              <w:t xml:space="preserve"> europskom procjenom adekvatnosti resursa definiranom u poglavlju IV</w:t>
            </w:r>
            <w:r w:rsidRPr="006167F9">
              <w:t>. Uredbe</w:t>
            </w:r>
            <w:r w:rsidRPr="006167F9">
              <w:rPr>
                <w:b/>
                <w:i/>
              </w:rPr>
              <w:t xml:space="preserve"> (EU)</w:t>
            </w:r>
            <w:r w:rsidRPr="006167F9">
              <w:t xml:space="preserve"> [predložena uredba o električnoj energiji].</w:t>
            </w:r>
            <w:r w:rsidRPr="006167F9">
              <w:rPr>
                <w:b/>
                <w:i/>
              </w:rPr>
              <w:t xml:space="preserve"> Sigurnost opskrbe električnom energijom podrazumijeva efektivnu suradnju između relevantnih dionika, država članica, osobito putem njihovih nadležnih tijela, regionalnih koordinacijskih centara i Komisije</w:t>
            </w:r>
            <w:r w:rsidRPr="006167F9">
              <w:t xml:space="preserve"> s</w:t>
            </w:r>
            <w:r w:rsidRPr="006167F9">
              <w:rPr>
                <w:b/>
                <w:i/>
              </w:rPr>
              <w:t xml:space="preserve"> drugim institucijama i tijelima Unije, sve u okviru njihovih područja djelovanja i nadležnosti. S</w:t>
            </w:r>
            <w:r w:rsidRPr="006167F9">
              <w:t xml:space="preserve"> tim ciljem one surađuju s Europskom mrežom operatora prijenosnih sustava za električnu energiju</w:t>
            </w:r>
            <w:r w:rsidRPr="006167F9">
              <w:rPr>
                <w:b/>
                <w:i/>
              </w:rPr>
              <w:t xml:space="preserve"> </w:t>
            </w:r>
            <w:r w:rsidRPr="006167F9">
              <w:t>(ENTSO-E) i regionalnim operativnim središtima</w:t>
            </w:r>
            <w:r w:rsidRPr="006167F9">
              <w:rPr>
                <w:b/>
                <w:i/>
              </w:rPr>
              <w:t>, operatorima prijenosnog sustava, nacionalnim regulatornim tijelima i drugim relevantnim dionicima</w:t>
            </w:r>
            <w:r w:rsidRPr="006167F9">
              <w:t>.</w:t>
            </w:r>
          </w:p>
        </w:tc>
      </w:tr>
    </w:tbl>
    <w:p w:rsidR="00084A59" w:rsidRPr="006167F9" w:rsidRDefault="00084A59" w:rsidP="004D4C89"/>
    <w:p w:rsidR="004D4C89" w:rsidRPr="006167F9" w:rsidRDefault="004D4C89" w:rsidP="004D4C89">
      <w:pPr>
        <w:pStyle w:val="AMNumberTabs"/>
        <w:keepNext/>
      </w:pPr>
      <w:r w:rsidRPr="006167F9">
        <w:t>Amandman</w:t>
      </w:r>
      <w:r w:rsidRPr="006167F9">
        <w:tab/>
      </w:r>
      <w:r w:rsidRPr="006167F9">
        <w:tab/>
        <w:t>24</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5. – stavak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D4C89" w:rsidRPr="006167F9" w:rsidTr="00A90DD5">
        <w:trPr>
          <w:jc w:val="center"/>
        </w:trPr>
        <w:tc>
          <w:tcPr>
            <w:tcW w:w="9752" w:type="dxa"/>
            <w:gridSpan w:val="2"/>
          </w:tcPr>
          <w:p w:rsidR="004D4C89" w:rsidRPr="006167F9" w:rsidRDefault="004D4C89" w:rsidP="00A90DD5">
            <w:pPr>
              <w:keepNext/>
            </w:pPr>
          </w:p>
        </w:tc>
      </w:tr>
      <w:tr w:rsidR="004D4C89" w:rsidRPr="006167F9" w:rsidTr="00A90DD5">
        <w:trPr>
          <w:jc w:val="center"/>
        </w:trPr>
        <w:tc>
          <w:tcPr>
            <w:tcW w:w="4876" w:type="dxa"/>
          </w:tcPr>
          <w:p w:rsidR="004D4C89" w:rsidRPr="006167F9" w:rsidRDefault="004D4C89" w:rsidP="00A90DD5">
            <w:pPr>
              <w:pStyle w:val="ColumnHeading"/>
              <w:keepNext/>
            </w:pPr>
            <w:r w:rsidRPr="006167F9">
              <w:t>Tekst koji je predložila Komisija</w:t>
            </w:r>
          </w:p>
        </w:tc>
        <w:tc>
          <w:tcPr>
            <w:tcW w:w="4876" w:type="dxa"/>
          </w:tcPr>
          <w:p w:rsidR="004D4C89" w:rsidRPr="006167F9" w:rsidRDefault="004D4C89" w:rsidP="00A90DD5">
            <w:pPr>
              <w:pStyle w:val="ColumnHeading"/>
              <w:keepNext/>
            </w:pPr>
            <w:r w:rsidRPr="006167F9">
              <w:t>Kompromisna 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1.</w:t>
            </w:r>
            <w:r w:rsidRPr="006167F9">
              <w:rPr>
                <w:b/>
                <w:i/>
              </w:rPr>
              <w:tab/>
            </w:r>
            <w:r w:rsidRPr="006167F9">
              <w:t>U roku od [Ured za publikacije Europske unije unosi točan datum:</w:t>
            </w:r>
            <w:r w:rsidRPr="006167F9">
              <w:rPr>
                <w:b/>
                <w:i/>
              </w:rPr>
              <w:t xml:space="preserve"> dva</w:t>
            </w:r>
            <w:r w:rsidRPr="006167F9">
              <w:t xml:space="preserve"> mjeseca nakon stupanja na snagu ove Uredbe] ENTSO-E podnosi Agenciji prijedlog metodologije za utvrđivanje najrelevantnijih elektroenergetskih kriznih scenarija u regionalnom kontekstu.</w:t>
            </w:r>
          </w:p>
        </w:tc>
        <w:tc>
          <w:tcPr>
            <w:tcW w:w="4876" w:type="dxa"/>
          </w:tcPr>
          <w:p w:rsidR="004D4C89" w:rsidRPr="006167F9" w:rsidRDefault="004D4C89" w:rsidP="00A90DD5">
            <w:pPr>
              <w:pStyle w:val="Normal6"/>
              <w:rPr>
                <w:b/>
                <w:i/>
                <w:szCs w:val="24"/>
              </w:rPr>
            </w:pPr>
            <w:r w:rsidRPr="006167F9">
              <w:t>1.</w:t>
            </w:r>
            <w:r w:rsidRPr="006167F9">
              <w:rPr>
                <w:b/>
                <w:i/>
              </w:rPr>
              <w:tab/>
            </w:r>
            <w:r w:rsidRPr="006167F9">
              <w:t>U roku od [Ured za publikacije Europske unije unosi točan datum:</w:t>
            </w:r>
            <w:r w:rsidRPr="006167F9">
              <w:rPr>
                <w:b/>
                <w:i/>
              </w:rPr>
              <w:t xml:space="preserve"> četiri</w:t>
            </w:r>
            <w:r w:rsidRPr="006167F9">
              <w:t xml:space="preserve"> mjeseca nakon stupanja na snagu ove Uredbe] ENTSO-E podnosi Agenciji prijedlog metodologije za utvrđivanje najrelevantnijih elektroenergetskih kriznih scenarija u regionalnom kontekstu.</w:t>
            </w:r>
          </w:p>
        </w:tc>
      </w:tr>
    </w:tbl>
    <w:p w:rsidR="00084A59" w:rsidRPr="006167F9" w:rsidRDefault="00084A59" w:rsidP="004D4C89"/>
    <w:p w:rsidR="004D4C89" w:rsidRPr="006167F9" w:rsidRDefault="004D4C89" w:rsidP="004D4C89">
      <w:pPr>
        <w:pStyle w:val="AMNumberTabs"/>
        <w:keepNext/>
      </w:pPr>
      <w:r w:rsidRPr="006167F9">
        <w:t>Amandman</w:t>
      </w:r>
      <w:r w:rsidRPr="006167F9">
        <w:tab/>
      </w:r>
      <w:r w:rsidRPr="006167F9">
        <w:tab/>
        <w:t>25</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5. – stavak 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D4C89" w:rsidRPr="006167F9" w:rsidTr="00A90DD5">
        <w:trPr>
          <w:jc w:val="center"/>
        </w:trPr>
        <w:tc>
          <w:tcPr>
            <w:tcW w:w="9752" w:type="dxa"/>
            <w:gridSpan w:val="2"/>
          </w:tcPr>
          <w:p w:rsidR="004D4C89" w:rsidRPr="006167F9" w:rsidRDefault="004D4C89" w:rsidP="00A90DD5">
            <w:pPr>
              <w:keepNext/>
            </w:pPr>
          </w:p>
        </w:tc>
      </w:tr>
      <w:tr w:rsidR="004D4C89" w:rsidRPr="006167F9" w:rsidTr="00A90DD5">
        <w:trPr>
          <w:jc w:val="center"/>
        </w:trPr>
        <w:tc>
          <w:tcPr>
            <w:tcW w:w="4876" w:type="dxa"/>
          </w:tcPr>
          <w:p w:rsidR="004D4C89" w:rsidRPr="006167F9" w:rsidRDefault="004D4C89" w:rsidP="00A90DD5">
            <w:pPr>
              <w:pStyle w:val="ColumnHeading"/>
              <w:keepNext/>
            </w:pPr>
            <w:r w:rsidRPr="006167F9">
              <w:t>Tekst koji je predložila Komisija</w:t>
            </w:r>
          </w:p>
        </w:tc>
        <w:tc>
          <w:tcPr>
            <w:tcW w:w="4876" w:type="dxa"/>
          </w:tcPr>
          <w:p w:rsidR="004D4C89" w:rsidRPr="006167F9" w:rsidRDefault="004D4C89" w:rsidP="00A90DD5">
            <w:pPr>
              <w:pStyle w:val="ColumnHeading"/>
              <w:keepNext/>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4.</w:t>
            </w:r>
            <w:r w:rsidRPr="006167F9">
              <w:rPr>
                <w:b/>
                <w:i/>
              </w:rPr>
              <w:tab/>
            </w:r>
            <w:r w:rsidRPr="006167F9">
              <w:t>Prije podnošenja predložene metodologije ENTSO-E provodi program savjetovanja, koji uključuje</w:t>
            </w:r>
            <w:r w:rsidRPr="006167F9">
              <w:rPr>
                <w:b/>
                <w:i/>
              </w:rPr>
              <w:t xml:space="preserve"> barem</w:t>
            </w:r>
            <w:r w:rsidRPr="006167F9">
              <w:t xml:space="preserve"> industrijske organizacije i organizacije potrošača, operatore distribucijskih sustava, nacionalna regulatorna tijela</w:t>
            </w:r>
            <w:r w:rsidRPr="006167F9">
              <w:rPr>
                <w:b/>
                <w:i/>
              </w:rPr>
              <w:t xml:space="preserve"> i</w:t>
            </w:r>
            <w:r w:rsidRPr="006167F9">
              <w:t xml:space="preserve"> druga nacionalna tijela. ENTSO-E na odgovarajući način uzima u obzir rezultate savjetovanja.</w:t>
            </w:r>
          </w:p>
        </w:tc>
        <w:tc>
          <w:tcPr>
            <w:tcW w:w="4876" w:type="dxa"/>
          </w:tcPr>
          <w:p w:rsidR="004D4C89" w:rsidRPr="006167F9" w:rsidRDefault="004D4C89" w:rsidP="00A90DD5">
            <w:pPr>
              <w:pStyle w:val="Normal6"/>
              <w:rPr>
                <w:b/>
                <w:i/>
                <w:szCs w:val="24"/>
              </w:rPr>
            </w:pPr>
            <w:r w:rsidRPr="006167F9">
              <w:t>4.</w:t>
            </w:r>
            <w:r w:rsidRPr="006167F9">
              <w:rPr>
                <w:b/>
                <w:i/>
              </w:rPr>
              <w:tab/>
            </w:r>
            <w:r w:rsidRPr="006167F9">
              <w:t>Prije podnošenja predložene metodologije ENTSO-E provodi program savjetovanja, koji uključuje</w:t>
            </w:r>
            <w:r w:rsidRPr="006167F9">
              <w:rPr>
                <w:b/>
                <w:i/>
              </w:rPr>
              <w:t xml:space="preserve"> regionalne koordinacijske centre,</w:t>
            </w:r>
            <w:r w:rsidRPr="006167F9">
              <w:t xml:space="preserve"> industrijske organizacije i organizacije potrošača,</w:t>
            </w:r>
            <w:r w:rsidRPr="006167F9">
              <w:rPr>
                <w:b/>
                <w:i/>
              </w:rPr>
              <w:t xml:space="preserve"> proizvođače energije,</w:t>
            </w:r>
            <w:r w:rsidRPr="006167F9">
              <w:t xml:space="preserve"> operatore</w:t>
            </w:r>
            <w:r w:rsidRPr="006167F9">
              <w:rPr>
                <w:b/>
                <w:i/>
              </w:rPr>
              <w:t xml:space="preserve"> prijenosnih sustava, operatore</w:t>
            </w:r>
            <w:r w:rsidRPr="006167F9">
              <w:t xml:space="preserve"> distribucijskih sustava,</w:t>
            </w:r>
            <w:r w:rsidRPr="006167F9">
              <w:rPr>
                <w:b/>
                <w:i/>
              </w:rPr>
              <w:t xml:space="preserve"> nadležna tijela,</w:t>
            </w:r>
            <w:r w:rsidRPr="006167F9">
              <w:t xml:space="preserve"> nacionalna regulatorna tijela</w:t>
            </w:r>
            <w:r w:rsidRPr="006167F9">
              <w:rPr>
                <w:b/>
                <w:i/>
              </w:rPr>
              <w:t>,</w:t>
            </w:r>
            <w:r w:rsidRPr="006167F9">
              <w:t xml:space="preserve"> druga nacionalna tijela</w:t>
            </w:r>
            <w:r w:rsidRPr="006167F9">
              <w:rPr>
                <w:b/>
                <w:i/>
              </w:rPr>
              <w:t xml:space="preserve"> i druge relevantne dionike</w:t>
            </w:r>
            <w:r w:rsidRPr="006167F9">
              <w:t>. ENTSO-E na odgovarajući način uzima u obzir rezultate savjetovanja.</w:t>
            </w:r>
          </w:p>
        </w:tc>
      </w:tr>
    </w:tbl>
    <w:p w:rsidR="004D4C89" w:rsidRPr="006167F9" w:rsidRDefault="004D4C89" w:rsidP="004D4C89"/>
    <w:p w:rsidR="004D4C89" w:rsidRPr="006167F9" w:rsidRDefault="004D4C89" w:rsidP="004D4C89">
      <w:pPr>
        <w:pStyle w:val="AMNumberTabs"/>
        <w:keepNext/>
      </w:pPr>
      <w:r w:rsidRPr="006167F9">
        <w:t>Amandman</w:t>
      </w:r>
      <w:r w:rsidRPr="006167F9">
        <w:tab/>
      </w:r>
      <w:r w:rsidRPr="006167F9">
        <w:tab/>
        <w:t>26</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5. – stavak 6.</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D4C89" w:rsidRPr="006167F9" w:rsidTr="00A90DD5">
        <w:trPr>
          <w:jc w:val="center"/>
        </w:trPr>
        <w:tc>
          <w:tcPr>
            <w:tcW w:w="9752" w:type="dxa"/>
            <w:gridSpan w:val="2"/>
          </w:tcPr>
          <w:p w:rsidR="004D4C89" w:rsidRPr="006167F9" w:rsidRDefault="004D4C89" w:rsidP="00A90DD5">
            <w:pPr>
              <w:keepNext/>
            </w:pPr>
          </w:p>
        </w:tc>
      </w:tr>
      <w:tr w:rsidR="004D4C89" w:rsidRPr="006167F9" w:rsidTr="00A90DD5">
        <w:trPr>
          <w:jc w:val="center"/>
        </w:trPr>
        <w:tc>
          <w:tcPr>
            <w:tcW w:w="4876" w:type="dxa"/>
          </w:tcPr>
          <w:p w:rsidR="004D4C89" w:rsidRPr="006167F9" w:rsidRDefault="004D4C89" w:rsidP="00A90DD5">
            <w:pPr>
              <w:pStyle w:val="ColumnHeading"/>
              <w:keepNext/>
            </w:pPr>
            <w:r w:rsidRPr="006167F9">
              <w:t>Tekst koji je predložila Komisija</w:t>
            </w:r>
          </w:p>
        </w:tc>
        <w:tc>
          <w:tcPr>
            <w:tcW w:w="4876" w:type="dxa"/>
          </w:tcPr>
          <w:p w:rsidR="004D4C89" w:rsidRPr="006167F9" w:rsidRDefault="004D4C89" w:rsidP="00A90DD5">
            <w:pPr>
              <w:pStyle w:val="ColumnHeading"/>
              <w:keepNext/>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6.</w:t>
            </w:r>
            <w:r w:rsidRPr="006167F9">
              <w:rPr>
                <w:b/>
                <w:i/>
              </w:rPr>
              <w:tab/>
            </w:r>
            <w:r w:rsidRPr="006167F9">
              <w:t>ENTSO-E redovito ažurira i poboljšava metodologiju u skladu sa stavcima od 1. do 5. Agencija ili Komisija može zahtijevati takva ažuriranja i poboljšanja uz navođenje opravdanih razloga. U roku od</w:t>
            </w:r>
            <w:r w:rsidRPr="006167F9">
              <w:rPr>
                <w:b/>
                <w:i/>
              </w:rPr>
              <w:t xml:space="preserve"> šest mjeseci</w:t>
            </w:r>
            <w:r w:rsidRPr="006167F9">
              <w:t xml:space="preserve"> nakon zaprimanja zahtjeva ENTSO-E podnosi Agenciji nacrt predloženih promjena. U roku od dva mjeseca nakon zaprimanja nacrta Agencija mijenja</w:t>
            </w:r>
            <w:r w:rsidRPr="006167F9">
              <w:rPr>
                <w:b/>
                <w:i/>
              </w:rPr>
              <w:t xml:space="preserve"> ili odobrava</w:t>
            </w:r>
            <w:r w:rsidRPr="006167F9">
              <w:t xml:space="preserve"> promjene i objavljuje ih na svojim internetskim stranicama.</w:t>
            </w:r>
          </w:p>
        </w:tc>
        <w:tc>
          <w:tcPr>
            <w:tcW w:w="4876" w:type="dxa"/>
          </w:tcPr>
          <w:p w:rsidR="004D4C89" w:rsidRPr="006167F9" w:rsidRDefault="004D4C89" w:rsidP="00A90DD5">
            <w:pPr>
              <w:pStyle w:val="Normal6"/>
              <w:rPr>
                <w:b/>
                <w:i/>
                <w:szCs w:val="24"/>
              </w:rPr>
            </w:pPr>
            <w:r w:rsidRPr="006167F9">
              <w:t>6.</w:t>
            </w:r>
            <w:r w:rsidRPr="006167F9">
              <w:rPr>
                <w:b/>
                <w:i/>
              </w:rPr>
              <w:tab/>
            </w:r>
            <w:r w:rsidRPr="006167F9">
              <w:t>ENTSO-E redovito ažurira i poboljšava metodologiju u skladu sa stavcima od 1. do 5. Agencija ili Komisija može zahtijevati takva ažuriranja i poboljšanja uz navođenje opravdanih razloga. U roku od</w:t>
            </w:r>
            <w:r w:rsidRPr="006167F9">
              <w:rPr>
                <w:b/>
                <w:i/>
              </w:rPr>
              <w:t xml:space="preserve"> dva mjeseca</w:t>
            </w:r>
            <w:r w:rsidRPr="006167F9">
              <w:t xml:space="preserve"> nakon zaprimanja zahtjeva ENTSO-E podnosi Agenciji nacrt predloženih promjena. U roku od dva mjeseca nakon zaprimanja nacrta Agencija</w:t>
            </w:r>
            <w:r w:rsidRPr="006167F9">
              <w:rPr>
                <w:b/>
                <w:i/>
              </w:rPr>
              <w:t xml:space="preserve"> odobrava ili</w:t>
            </w:r>
            <w:r w:rsidRPr="006167F9">
              <w:t xml:space="preserve"> mijenja promjene i objavljuje ih na svojim internetskim stranicama.</w:t>
            </w:r>
          </w:p>
        </w:tc>
      </w:tr>
    </w:tbl>
    <w:p w:rsidR="004D4C89" w:rsidRPr="006167F9" w:rsidRDefault="004D4C89" w:rsidP="004D4C89"/>
    <w:p w:rsidR="004D4C89" w:rsidRPr="006167F9" w:rsidRDefault="004D4C89" w:rsidP="004D4C89">
      <w:pPr>
        <w:pStyle w:val="AMNumberTabs"/>
        <w:keepNext/>
      </w:pPr>
      <w:r w:rsidRPr="006167F9">
        <w:t>Amandman</w:t>
      </w:r>
      <w:r w:rsidRPr="006167F9">
        <w:tab/>
      </w:r>
      <w:r w:rsidRPr="006167F9">
        <w:tab/>
        <w:t>27</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6. – stavak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D4C89" w:rsidRPr="006167F9" w:rsidTr="00A90DD5">
        <w:trPr>
          <w:jc w:val="center"/>
        </w:trPr>
        <w:tc>
          <w:tcPr>
            <w:tcW w:w="9752" w:type="dxa"/>
            <w:gridSpan w:val="2"/>
          </w:tcPr>
          <w:p w:rsidR="004D4C89" w:rsidRPr="006167F9" w:rsidRDefault="004D4C89" w:rsidP="00A90DD5">
            <w:pPr>
              <w:keepNext/>
            </w:pPr>
          </w:p>
        </w:tc>
      </w:tr>
      <w:tr w:rsidR="004D4C89" w:rsidRPr="006167F9" w:rsidTr="00A90DD5">
        <w:trPr>
          <w:jc w:val="center"/>
        </w:trPr>
        <w:tc>
          <w:tcPr>
            <w:tcW w:w="4876" w:type="dxa"/>
          </w:tcPr>
          <w:p w:rsidR="004D4C89" w:rsidRPr="006167F9" w:rsidRDefault="004D4C89" w:rsidP="00A90DD5">
            <w:pPr>
              <w:pStyle w:val="ColumnHeading"/>
              <w:keepNext/>
            </w:pPr>
            <w:r w:rsidRPr="006167F9">
              <w:t>Tekst koji je predložila Komisija</w:t>
            </w:r>
          </w:p>
        </w:tc>
        <w:tc>
          <w:tcPr>
            <w:tcW w:w="4876" w:type="dxa"/>
          </w:tcPr>
          <w:p w:rsidR="004D4C89" w:rsidRPr="006167F9" w:rsidRDefault="004D4C89" w:rsidP="00A90DD5">
            <w:pPr>
              <w:pStyle w:val="ColumnHeading"/>
              <w:keepNext/>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1.</w:t>
            </w:r>
            <w:r w:rsidRPr="006167F9">
              <w:rPr>
                <w:b/>
                <w:i/>
              </w:rPr>
              <w:tab/>
            </w:r>
            <w:r w:rsidRPr="006167F9">
              <w:t>U roku od [Ured za publikacije Europske unije unosi točan datum: deset mjeseci nakon stupanja na snagu ove Uredbe] i na temelju metodologije donesene u skladu s člankom 5. ENTSO-E utvrđuje najrelevantnije elektroenergetske krizne scenarije za svaku regiju. Zadatke koji se odnose na utvrđivanje regionalnih kriznih scenarija može delegirati regionalnim</w:t>
            </w:r>
            <w:r w:rsidRPr="006167F9">
              <w:rPr>
                <w:b/>
                <w:i/>
              </w:rPr>
              <w:t xml:space="preserve"> operativnim središtima</w:t>
            </w:r>
            <w:r w:rsidRPr="006167F9">
              <w:t>.</w:t>
            </w:r>
          </w:p>
        </w:tc>
        <w:tc>
          <w:tcPr>
            <w:tcW w:w="4876" w:type="dxa"/>
          </w:tcPr>
          <w:p w:rsidR="004D4C89" w:rsidRPr="006167F9" w:rsidRDefault="004D4C89" w:rsidP="00A90DD5">
            <w:pPr>
              <w:pStyle w:val="Normal6"/>
              <w:rPr>
                <w:b/>
                <w:i/>
                <w:szCs w:val="24"/>
              </w:rPr>
            </w:pPr>
            <w:r w:rsidRPr="006167F9">
              <w:t>1.</w:t>
            </w:r>
            <w:r w:rsidRPr="006167F9">
              <w:rPr>
                <w:b/>
                <w:i/>
              </w:rPr>
              <w:tab/>
            </w:r>
            <w:r w:rsidRPr="006167F9">
              <w:t>U roku od [Ured za publikacije Europske unije unosi točan datum: deset mjeseci nakon</w:t>
            </w:r>
            <w:r w:rsidRPr="006167F9">
              <w:rPr>
                <w:b/>
                <w:i/>
              </w:rPr>
              <w:t xml:space="preserve"> datuma</w:t>
            </w:r>
            <w:r w:rsidRPr="006167F9">
              <w:t xml:space="preserve"> stupanja na snagu ove Uredbe] i na temelju metodologije donesene u skladu s člankom 5. ENTSO-E</w:t>
            </w:r>
            <w:r w:rsidRPr="006167F9">
              <w:rPr>
                <w:b/>
                <w:i/>
              </w:rPr>
              <w:t>, u bliskoj suradnji s Koordinacijskom skupinom za električnu energiju,</w:t>
            </w:r>
            <w:r w:rsidRPr="006167F9">
              <w:t xml:space="preserve"> utvrđuje najrelevantnije elektroenergetske krizne scenarije za svaku regiju. Zadatke koji se odnose na utvrđivanje regionalnih kriznih scenarija</w:t>
            </w:r>
            <w:r w:rsidRPr="006167F9">
              <w:rPr>
                <w:b/>
                <w:i/>
              </w:rPr>
              <w:t xml:space="preserve"> ENTSO-E</w:t>
            </w:r>
            <w:r w:rsidRPr="006167F9">
              <w:t xml:space="preserve"> može delegirati regionalnim</w:t>
            </w:r>
            <w:r w:rsidRPr="006167F9">
              <w:rPr>
                <w:b/>
                <w:i/>
              </w:rPr>
              <w:t xml:space="preserve"> koordinacijskim centrima</w:t>
            </w:r>
            <w:r w:rsidRPr="006167F9">
              <w:t>.</w:t>
            </w:r>
            <w:r w:rsidRPr="006167F9">
              <w:rPr>
                <w:b/>
                <w:i/>
              </w:rPr>
              <w:t xml:space="preserve"> Regionalni koordinacijski centri u tu se svrhu savjetuju s Koordinacijskom skupinom za električnu energiju. Prilikom utvrđivanja kriznih scenarija povezanih sa zlonamjernim napadima ENTSO-E i regionalni koordinacijski centri osiguravaju očuvanje povjerljivosti osjetljivih informacija.</w:t>
            </w:r>
          </w:p>
        </w:tc>
      </w:tr>
    </w:tbl>
    <w:p w:rsidR="00084A59" w:rsidRPr="006167F9" w:rsidRDefault="00084A59" w:rsidP="004D4C89"/>
    <w:p w:rsidR="004D4C89" w:rsidRPr="006167F9" w:rsidRDefault="004D4C89" w:rsidP="004D4C89">
      <w:pPr>
        <w:pStyle w:val="AMNumberTabs"/>
        <w:keepNext/>
      </w:pPr>
      <w:r w:rsidRPr="006167F9">
        <w:t>Amandman</w:t>
      </w:r>
      <w:r w:rsidRPr="006167F9">
        <w:tab/>
      </w:r>
      <w:r w:rsidRPr="006167F9">
        <w:tab/>
        <w:t>28</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7. – stavak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D4C89" w:rsidRPr="006167F9" w:rsidTr="00A90DD5">
        <w:trPr>
          <w:jc w:val="center"/>
        </w:trPr>
        <w:tc>
          <w:tcPr>
            <w:tcW w:w="9752" w:type="dxa"/>
            <w:gridSpan w:val="2"/>
          </w:tcPr>
          <w:p w:rsidR="004D4C89" w:rsidRPr="006167F9" w:rsidRDefault="004D4C89" w:rsidP="00A90DD5">
            <w:pPr>
              <w:keepNext/>
            </w:pPr>
          </w:p>
        </w:tc>
      </w:tr>
      <w:tr w:rsidR="004D4C89" w:rsidRPr="006167F9" w:rsidTr="00A90DD5">
        <w:trPr>
          <w:jc w:val="center"/>
        </w:trPr>
        <w:tc>
          <w:tcPr>
            <w:tcW w:w="4876" w:type="dxa"/>
          </w:tcPr>
          <w:p w:rsidR="004D4C89" w:rsidRPr="006167F9" w:rsidRDefault="004D4C89" w:rsidP="00A90DD5">
            <w:pPr>
              <w:pStyle w:val="ColumnHeading"/>
              <w:keepNext/>
            </w:pPr>
            <w:r w:rsidRPr="006167F9">
              <w:t>Tekst koji je predložila Komisija</w:t>
            </w:r>
          </w:p>
        </w:tc>
        <w:tc>
          <w:tcPr>
            <w:tcW w:w="4876" w:type="dxa"/>
          </w:tcPr>
          <w:p w:rsidR="004D4C89" w:rsidRPr="006167F9" w:rsidRDefault="004D4C89" w:rsidP="00A90DD5">
            <w:pPr>
              <w:pStyle w:val="ColumnHeading"/>
              <w:keepNext/>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1.</w:t>
            </w:r>
            <w:r w:rsidRPr="006167F9">
              <w:rPr>
                <w:b/>
                <w:i/>
              </w:rPr>
              <w:tab/>
            </w:r>
            <w:r w:rsidRPr="006167F9">
              <w:t>U roku od [Ured za publikacije Europske unije unosi točan datum:</w:t>
            </w:r>
            <w:r w:rsidRPr="006167F9">
              <w:rPr>
                <w:b/>
                <w:i/>
              </w:rPr>
              <w:t xml:space="preserve"> deset</w:t>
            </w:r>
            <w:r w:rsidRPr="006167F9">
              <w:t xml:space="preserve"> mjeseci nakon stupanja na snagu ove Uredbe] države članice utvrđuju najrelevantnije elektroenergetske krizne scenarije na nacionalnoj razini.</w:t>
            </w:r>
          </w:p>
        </w:tc>
        <w:tc>
          <w:tcPr>
            <w:tcW w:w="4876" w:type="dxa"/>
          </w:tcPr>
          <w:p w:rsidR="004D4C89" w:rsidRPr="006167F9" w:rsidRDefault="004D4C89" w:rsidP="00A90DD5">
            <w:pPr>
              <w:pStyle w:val="Normal6"/>
              <w:rPr>
                <w:b/>
                <w:i/>
                <w:szCs w:val="24"/>
              </w:rPr>
            </w:pPr>
            <w:r w:rsidRPr="006167F9">
              <w:t>1.</w:t>
            </w:r>
            <w:r w:rsidRPr="006167F9">
              <w:rPr>
                <w:b/>
                <w:i/>
              </w:rPr>
              <w:tab/>
            </w:r>
            <w:r w:rsidRPr="006167F9">
              <w:t>U roku od [Ured za publikacije Europske unije unosi točan datum:</w:t>
            </w:r>
            <w:r w:rsidRPr="006167F9">
              <w:rPr>
                <w:b/>
                <w:i/>
              </w:rPr>
              <w:t xml:space="preserve"> 12</w:t>
            </w:r>
            <w:r w:rsidRPr="006167F9">
              <w:t xml:space="preserve"> mjeseci nakon</w:t>
            </w:r>
            <w:r w:rsidRPr="006167F9">
              <w:rPr>
                <w:b/>
                <w:i/>
              </w:rPr>
              <w:t xml:space="preserve"> datuma</w:t>
            </w:r>
            <w:r w:rsidRPr="006167F9">
              <w:t xml:space="preserve"> stupanja na snagu ove Uredbe] države članice utvrđuju najrelevantnije elektroenergetske krizne scenarije na nacionalnoj razini</w:t>
            </w:r>
            <w:r w:rsidRPr="006167F9">
              <w:rPr>
                <w:b/>
                <w:i/>
              </w:rPr>
              <w:t>, uz sudjelovanje barem operatora distribucijskog sustava, operatora prijenosnog sustava i proizvođača električne energije, jamčeći pritom povjerljivost osjetljivih informacija</w:t>
            </w:r>
            <w:r w:rsidRPr="006167F9">
              <w:t>.</w:t>
            </w:r>
          </w:p>
        </w:tc>
      </w:tr>
    </w:tbl>
    <w:p w:rsidR="004D4C89" w:rsidRPr="006167F9" w:rsidRDefault="004D4C89" w:rsidP="004D4C89"/>
    <w:p w:rsidR="004D4C89" w:rsidRPr="006167F9" w:rsidRDefault="004D4C89" w:rsidP="004D4C89">
      <w:pPr>
        <w:pStyle w:val="AMNumberTabs"/>
      </w:pPr>
      <w:r w:rsidRPr="006167F9">
        <w:t>Amandman</w:t>
      </w:r>
      <w:r w:rsidRPr="006167F9">
        <w:tab/>
      </w:r>
      <w:r w:rsidRPr="006167F9">
        <w:tab/>
        <w:t>29</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7.a (novi)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C89" w:rsidRPr="006167F9" w:rsidTr="00A90DD5">
        <w:trPr>
          <w:trHeight w:hRule="exact" w:val="240"/>
          <w:jc w:val="center"/>
        </w:trPr>
        <w:tc>
          <w:tcPr>
            <w:tcW w:w="9752" w:type="dxa"/>
            <w:gridSpan w:val="2"/>
          </w:tcPr>
          <w:p w:rsidR="004D4C89" w:rsidRPr="006167F9" w:rsidRDefault="004D4C89" w:rsidP="00A90DD5"/>
        </w:tc>
      </w:tr>
      <w:tr w:rsidR="004D4C89" w:rsidRPr="006167F9" w:rsidTr="00A90DD5">
        <w:trPr>
          <w:trHeight w:val="240"/>
          <w:jc w:val="center"/>
        </w:trPr>
        <w:tc>
          <w:tcPr>
            <w:tcW w:w="4876" w:type="dxa"/>
          </w:tcPr>
          <w:p w:rsidR="004D4C89" w:rsidRPr="006167F9" w:rsidRDefault="004D4C89" w:rsidP="00A90DD5">
            <w:pPr>
              <w:pStyle w:val="ColumnHeading"/>
            </w:pPr>
            <w:r w:rsidRPr="006167F9">
              <w:t>Tekst koji je predložila Komisija</w:t>
            </w:r>
          </w:p>
        </w:tc>
        <w:tc>
          <w:tcPr>
            <w:tcW w:w="4876" w:type="dxa"/>
          </w:tcPr>
          <w:p w:rsidR="004D4C89" w:rsidRPr="006167F9" w:rsidRDefault="004D4C89" w:rsidP="00A90DD5">
            <w:pPr>
              <w:pStyle w:val="ColumnHeading"/>
            </w:pPr>
            <w:r w:rsidRPr="006167F9">
              <w:t>Izmjena</w:t>
            </w:r>
          </w:p>
        </w:tc>
      </w:tr>
      <w:tr w:rsidR="004D4C89" w:rsidRPr="006167F9" w:rsidTr="00A90DD5">
        <w:trPr>
          <w:jc w:val="center"/>
        </w:trPr>
        <w:tc>
          <w:tcPr>
            <w:tcW w:w="4876" w:type="dxa"/>
          </w:tcPr>
          <w:p w:rsidR="004D4C89" w:rsidRPr="006167F9" w:rsidRDefault="004D4C89" w:rsidP="00A90DD5">
            <w:pPr>
              <w:pStyle w:val="Normal6"/>
              <w:rPr>
                <w:b/>
                <w:bCs/>
                <w:i/>
                <w:iCs/>
              </w:rPr>
            </w:pPr>
          </w:p>
        </w:tc>
        <w:tc>
          <w:tcPr>
            <w:tcW w:w="4876" w:type="dxa"/>
          </w:tcPr>
          <w:p w:rsidR="004D4C89" w:rsidRPr="006167F9" w:rsidRDefault="004D4C89" w:rsidP="00A90DD5">
            <w:pPr>
              <w:pStyle w:val="Normal6"/>
              <w:jc w:val="center"/>
              <w:rPr>
                <w:b/>
                <w:bCs/>
                <w:i/>
                <w:iCs/>
              </w:rPr>
            </w:pPr>
            <w:r w:rsidRPr="006167F9">
              <w:rPr>
                <w:b/>
                <w:bCs/>
                <w:i/>
                <w:iCs/>
              </w:rPr>
              <w:t>Članak 7.a</w:t>
            </w:r>
          </w:p>
        </w:tc>
      </w:tr>
      <w:tr w:rsidR="004D4C89" w:rsidRPr="006167F9" w:rsidTr="00A90DD5">
        <w:trPr>
          <w:jc w:val="center"/>
        </w:trPr>
        <w:tc>
          <w:tcPr>
            <w:tcW w:w="4876" w:type="dxa"/>
          </w:tcPr>
          <w:p w:rsidR="004D4C89" w:rsidRPr="006167F9" w:rsidRDefault="004D4C89" w:rsidP="00A90DD5">
            <w:pPr>
              <w:pStyle w:val="Normal6"/>
              <w:rPr>
                <w:b/>
                <w:bCs/>
                <w:i/>
                <w:iCs/>
              </w:rPr>
            </w:pPr>
          </w:p>
        </w:tc>
        <w:tc>
          <w:tcPr>
            <w:tcW w:w="4876" w:type="dxa"/>
          </w:tcPr>
          <w:p w:rsidR="004D4C89" w:rsidRPr="006167F9" w:rsidRDefault="004D4C89" w:rsidP="00A90DD5">
            <w:pPr>
              <w:pStyle w:val="Normal6"/>
              <w:jc w:val="center"/>
              <w:rPr>
                <w:b/>
                <w:bCs/>
                <w:i/>
                <w:iCs/>
              </w:rPr>
            </w:pPr>
            <w:r w:rsidRPr="006167F9">
              <w:rPr>
                <w:b/>
                <w:bCs/>
                <w:i/>
                <w:iCs/>
              </w:rPr>
              <w:t>Smjernice za sprečavanje kriza i upravljanje njima</w:t>
            </w:r>
          </w:p>
        </w:tc>
      </w:tr>
      <w:tr w:rsidR="004D4C89" w:rsidRPr="006167F9" w:rsidTr="00A90DD5">
        <w:trPr>
          <w:jc w:val="center"/>
        </w:trPr>
        <w:tc>
          <w:tcPr>
            <w:tcW w:w="4876" w:type="dxa"/>
          </w:tcPr>
          <w:p w:rsidR="004D4C89" w:rsidRPr="006167F9" w:rsidRDefault="004D4C89" w:rsidP="00A90DD5">
            <w:pPr>
              <w:pStyle w:val="Normal6"/>
            </w:pPr>
          </w:p>
        </w:tc>
        <w:tc>
          <w:tcPr>
            <w:tcW w:w="4876" w:type="dxa"/>
          </w:tcPr>
          <w:p w:rsidR="004D4C89" w:rsidRPr="006167F9" w:rsidRDefault="004D4C89" w:rsidP="00A90DD5">
            <w:pPr>
              <w:pStyle w:val="Normal6"/>
              <w:rPr>
                <w:b/>
                <w:i/>
              </w:rPr>
            </w:pPr>
            <w:r w:rsidRPr="006167F9">
              <w:rPr>
                <w:b/>
                <w:i/>
              </w:rPr>
              <w:t xml:space="preserve">1. </w:t>
            </w:r>
            <w:r w:rsidRPr="006167F9">
              <w:rPr>
                <w:b/>
                <w:i/>
              </w:rPr>
              <w:tab/>
              <w:t>Uzimajući u obzir europsku procjenu adekvatnosti i ostale relevantne propise, Agencija za suradnju energetskih regulatora izrađuje nacrt smjernica za sprečavanje kriznih situacija i upravljanje njima, kojima se utvrđuju i tržišne i netržišne mjere te operativna pravila za sustav. U pripremi smjernica Agencija daje prednost, što je više moguće, mjerama koje imaju najmanji učinak na okoliš.</w:t>
            </w:r>
          </w:p>
        </w:tc>
      </w:tr>
      <w:tr w:rsidR="004D4C89" w:rsidRPr="006167F9" w:rsidTr="00A90DD5">
        <w:trPr>
          <w:jc w:val="center"/>
        </w:trPr>
        <w:tc>
          <w:tcPr>
            <w:tcW w:w="4876" w:type="dxa"/>
          </w:tcPr>
          <w:p w:rsidR="004D4C89" w:rsidRPr="006167F9" w:rsidRDefault="004D4C89" w:rsidP="00A90DD5">
            <w:pPr>
              <w:pStyle w:val="Normal6"/>
            </w:pPr>
          </w:p>
        </w:tc>
        <w:tc>
          <w:tcPr>
            <w:tcW w:w="4876" w:type="dxa"/>
          </w:tcPr>
          <w:p w:rsidR="004D4C89" w:rsidRPr="006167F9" w:rsidRDefault="004D4C89" w:rsidP="00A90DD5">
            <w:pPr>
              <w:pStyle w:val="Normal6"/>
              <w:rPr>
                <w:b/>
                <w:i/>
              </w:rPr>
            </w:pPr>
            <w:r w:rsidRPr="006167F9">
              <w:rPr>
                <w:b/>
                <w:i/>
              </w:rPr>
              <w:t xml:space="preserve">2. </w:t>
            </w:r>
            <w:r w:rsidRPr="006167F9">
              <w:rPr>
                <w:b/>
                <w:i/>
              </w:rPr>
              <w:tab/>
              <w:t>U smjernice su uključena i načela mehanizama naknade troškova te načela za utvrđivanje zaštićenih kupaca.</w:t>
            </w:r>
          </w:p>
        </w:tc>
      </w:tr>
      <w:tr w:rsidR="004D4C89" w:rsidRPr="006167F9" w:rsidTr="00A90DD5">
        <w:trPr>
          <w:jc w:val="center"/>
        </w:trPr>
        <w:tc>
          <w:tcPr>
            <w:tcW w:w="4876" w:type="dxa"/>
          </w:tcPr>
          <w:p w:rsidR="004D4C89" w:rsidRPr="006167F9" w:rsidRDefault="004D4C89" w:rsidP="00A90DD5">
            <w:pPr>
              <w:pStyle w:val="Normal6"/>
            </w:pPr>
          </w:p>
        </w:tc>
        <w:tc>
          <w:tcPr>
            <w:tcW w:w="4876" w:type="dxa"/>
          </w:tcPr>
          <w:p w:rsidR="004D4C89" w:rsidRPr="006167F9" w:rsidRDefault="004D4C89" w:rsidP="00A90DD5">
            <w:pPr>
              <w:pStyle w:val="Normal6"/>
              <w:rPr>
                <w:b/>
                <w:i/>
              </w:rPr>
            </w:pPr>
            <w:r w:rsidRPr="006167F9">
              <w:rPr>
                <w:b/>
                <w:i/>
              </w:rPr>
              <w:t xml:space="preserve">3. </w:t>
            </w:r>
            <w:r w:rsidRPr="006167F9">
              <w:rPr>
                <w:b/>
                <w:i/>
              </w:rPr>
              <w:tab/>
              <w:t>Agencija revidira i prema potrebi ažurira rješenja svake tri godine, osim kad okolnosti zahtijevaju češće revizije.</w:t>
            </w:r>
          </w:p>
        </w:tc>
      </w:tr>
    </w:tbl>
    <w:p w:rsidR="004D4C89" w:rsidRPr="006167F9" w:rsidRDefault="004D4C89" w:rsidP="004D4C89">
      <w:pPr>
        <w:pStyle w:val="JustificationTitle"/>
      </w:pPr>
      <w:r w:rsidRPr="006167F9">
        <w:t>Obrazloženje</w:t>
      </w:r>
    </w:p>
    <w:p w:rsidR="00084A59" w:rsidRPr="006167F9" w:rsidRDefault="004D4C89" w:rsidP="004D4C89">
      <w:pPr>
        <w:pStyle w:val="Normal12Italic"/>
      </w:pPr>
      <w:r w:rsidRPr="006167F9">
        <w:t>Zajednička rješenja za postupanje u krizama trebala bi biti od pomoći pri izradi nacrta nacionalnih planova. Njima bi se zajamčila usklađenost među planovima i olakšali sporazumi među državama članicama koje pregovaraju o regionalnim dijelovima svojih planova. Potrebno je usklađivanje definicije zaštićenih kupaca na razini EU-a kako bi se zajamčila zaštita najranjivijih i temeljnih elemenata društva, kao i olakšavanje prekograničnih mjera solidarnosti, kako je utvrđeno u članku 14. ove Uredbe.</w:t>
      </w:r>
    </w:p>
    <w:p w:rsidR="004D4C89" w:rsidRPr="006167F9" w:rsidRDefault="004D4C89" w:rsidP="004D4C89">
      <w:pPr>
        <w:pStyle w:val="AMNumberTabs"/>
        <w:keepNext/>
      </w:pPr>
      <w:r w:rsidRPr="006167F9">
        <w:t>Amandman</w:t>
      </w:r>
      <w:r w:rsidRPr="006167F9">
        <w:tab/>
      </w:r>
      <w:r w:rsidRPr="006167F9">
        <w:tab/>
        <w:t>30</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8. – naslov</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D4C89" w:rsidRPr="006167F9" w:rsidTr="00A90DD5">
        <w:trPr>
          <w:jc w:val="center"/>
        </w:trPr>
        <w:tc>
          <w:tcPr>
            <w:tcW w:w="9752" w:type="dxa"/>
            <w:gridSpan w:val="2"/>
          </w:tcPr>
          <w:p w:rsidR="004D4C89" w:rsidRPr="006167F9" w:rsidRDefault="004D4C89" w:rsidP="00A90DD5">
            <w:pPr>
              <w:keepNext/>
            </w:pPr>
          </w:p>
        </w:tc>
      </w:tr>
      <w:tr w:rsidR="004D4C89" w:rsidRPr="006167F9" w:rsidTr="00A90DD5">
        <w:trPr>
          <w:jc w:val="center"/>
        </w:trPr>
        <w:tc>
          <w:tcPr>
            <w:tcW w:w="4876" w:type="dxa"/>
          </w:tcPr>
          <w:p w:rsidR="004D4C89" w:rsidRPr="006167F9" w:rsidRDefault="004D4C89" w:rsidP="00A90DD5">
            <w:pPr>
              <w:pStyle w:val="ColumnHeading"/>
              <w:keepNext/>
            </w:pPr>
            <w:r w:rsidRPr="006167F9">
              <w:t>Tekst koji je predložila Komisija</w:t>
            </w:r>
          </w:p>
        </w:tc>
        <w:tc>
          <w:tcPr>
            <w:tcW w:w="4876" w:type="dxa"/>
          </w:tcPr>
          <w:p w:rsidR="004D4C89" w:rsidRPr="006167F9" w:rsidRDefault="004D4C89" w:rsidP="00A90DD5">
            <w:pPr>
              <w:pStyle w:val="ColumnHeading"/>
              <w:keepNext/>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Metodologija za kratkoročne procjene adekvatnosti</w:t>
            </w:r>
          </w:p>
        </w:tc>
        <w:tc>
          <w:tcPr>
            <w:tcW w:w="4876" w:type="dxa"/>
          </w:tcPr>
          <w:p w:rsidR="004D4C89" w:rsidRPr="006167F9" w:rsidRDefault="004D4C89" w:rsidP="00A90DD5">
            <w:pPr>
              <w:pStyle w:val="Normal6"/>
              <w:rPr>
                <w:b/>
                <w:i/>
                <w:szCs w:val="24"/>
              </w:rPr>
            </w:pPr>
            <w:r w:rsidRPr="006167F9">
              <w:t>Metodologija za kratkoročne</w:t>
            </w:r>
            <w:r w:rsidRPr="006167F9">
              <w:rPr>
                <w:b/>
                <w:i/>
              </w:rPr>
              <w:t xml:space="preserve"> i sezonske</w:t>
            </w:r>
            <w:r w:rsidRPr="006167F9">
              <w:t xml:space="preserve"> procjene adekvatnosti</w:t>
            </w:r>
          </w:p>
        </w:tc>
      </w:tr>
    </w:tbl>
    <w:p w:rsidR="004D4C89" w:rsidRPr="006167F9" w:rsidRDefault="004D4C89" w:rsidP="004D4C89"/>
    <w:p w:rsidR="004D4C89" w:rsidRPr="006167F9" w:rsidRDefault="004D4C89" w:rsidP="004D4C89">
      <w:pPr>
        <w:pStyle w:val="AMNumberTabs"/>
        <w:keepNext/>
      </w:pPr>
      <w:r w:rsidRPr="006167F9">
        <w:t>Amandman</w:t>
      </w:r>
      <w:r w:rsidRPr="006167F9">
        <w:tab/>
      </w:r>
      <w:r w:rsidRPr="006167F9">
        <w:tab/>
        <w:t>31</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8. – stavak 1. – podstavak 1. – uvodni dio</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D4C89" w:rsidRPr="006167F9" w:rsidTr="00A90DD5">
        <w:trPr>
          <w:jc w:val="center"/>
        </w:trPr>
        <w:tc>
          <w:tcPr>
            <w:tcW w:w="9752" w:type="dxa"/>
            <w:gridSpan w:val="2"/>
          </w:tcPr>
          <w:p w:rsidR="004D4C89" w:rsidRPr="006167F9" w:rsidRDefault="004D4C89" w:rsidP="00A90DD5">
            <w:pPr>
              <w:keepNext/>
            </w:pPr>
          </w:p>
        </w:tc>
      </w:tr>
      <w:tr w:rsidR="004D4C89" w:rsidRPr="006167F9" w:rsidTr="00A90DD5">
        <w:trPr>
          <w:jc w:val="center"/>
        </w:trPr>
        <w:tc>
          <w:tcPr>
            <w:tcW w:w="4876" w:type="dxa"/>
          </w:tcPr>
          <w:p w:rsidR="004D4C89" w:rsidRPr="006167F9" w:rsidRDefault="004D4C89" w:rsidP="00A90DD5">
            <w:pPr>
              <w:pStyle w:val="ColumnHeading"/>
              <w:keepNext/>
            </w:pPr>
            <w:r w:rsidRPr="006167F9">
              <w:t>Tekst koji je predložila Komisija</w:t>
            </w:r>
          </w:p>
        </w:tc>
        <w:tc>
          <w:tcPr>
            <w:tcW w:w="4876" w:type="dxa"/>
          </w:tcPr>
          <w:p w:rsidR="004D4C89" w:rsidRPr="006167F9" w:rsidRDefault="004D4C89" w:rsidP="00A90DD5">
            <w:pPr>
              <w:pStyle w:val="ColumnHeading"/>
              <w:keepNext/>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U roku od [Ured za publikacije Europske unije unosi točan datum:</w:t>
            </w:r>
            <w:r w:rsidRPr="006167F9">
              <w:rPr>
                <w:b/>
                <w:i/>
              </w:rPr>
              <w:t xml:space="preserve"> dva</w:t>
            </w:r>
            <w:r w:rsidRPr="006167F9">
              <w:t xml:space="preserve"> mjeseca nakon stupanja na snagu ove Uredbe] ENTSO-E podnosi Agenciji prijedlog metodologije za procjenu kratkoročne</w:t>
            </w:r>
            <w:r w:rsidRPr="006167F9">
              <w:rPr>
                <w:b/>
                <w:i/>
              </w:rPr>
              <w:t xml:space="preserve"> adekvatnosti, i to</w:t>
            </w:r>
            <w:r w:rsidRPr="006167F9">
              <w:t xml:space="preserve"> sezonske adekvatnosti</w:t>
            </w:r>
            <w:r w:rsidRPr="006167F9">
              <w:rPr>
                <w:b/>
                <w:i/>
              </w:rPr>
              <w:t xml:space="preserve"> i adekvatnosti za tjedan dana unaprijed i unutardnevne adekvatnosti,</w:t>
            </w:r>
            <w:r w:rsidRPr="006167F9">
              <w:t xml:space="preserve"> koja obuhvaća minimalno sljedeće:</w:t>
            </w:r>
          </w:p>
        </w:tc>
        <w:tc>
          <w:tcPr>
            <w:tcW w:w="4876" w:type="dxa"/>
          </w:tcPr>
          <w:p w:rsidR="004D4C89" w:rsidRPr="006167F9" w:rsidRDefault="004D4C89" w:rsidP="00A90DD5">
            <w:pPr>
              <w:pStyle w:val="Normal6"/>
              <w:rPr>
                <w:b/>
                <w:i/>
                <w:szCs w:val="24"/>
              </w:rPr>
            </w:pPr>
            <w:r w:rsidRPr="006167F9">
              <w:t>U roku od [Ured za publikacije Europske unije unosi točan datum:</w:t>
            </w:r>
            <w:r w:rsidRPr="006167F9">
              <w:rPr>
                <w:b/>
                <w:i/>
              </w:rPr>
              <w:t xml:space="preserve"> četiri</w:t>
            </w:r>
            <w:r w:rsidRPr="006167F9">
              <w:t xml:space="preserve"> mjeseca nakon</w:t>
            </w:r>
            <w:r w:rsidRPr="006167F9">
              <w:rPr>
                <w:b/>
                <w:i/>
              </w:rPr>
              <w:t xml:space="preserve"> datuma</w:t>
            </w:r>
            <w:r w:rsidRPr="006167F9">
              <w:t xml:space="preserve"> stupanja na snagu ove Uredbe] ENTSO-E podnosi Agenciji prijedlog metodologije za procjenu kratkoročne</w:t>
            </w:r>
            <w:r w:rsidRPr="006167F9">
              <w:rPr>
                <w:b/>
                <w:i/>
              </w:rPr>
              <w:t xml:space="preserve"> i</w:t>
            </w:r>
            <w:r w:rsidRPr="006167F9">
              <w:t xml:space="preserve"> sezonske adekvatnosti koja obuhvaća minimalno sljedeće:</w:t>
            </w:r>
          </w:p>
        </w:tc>
      </w:tr>
    </w:tbl>
    <w:p w:rsidR="004D4C89" w:rsidRPr="006167F9" w:rsidRDefault="004D4C89" w:rsidP="004D4C89"/>
    <w:p w:rsidR="004D4C89" w:rsidRPr="006167F9" w:rsidRDefault="004D4C89" w:rsidP="004D4C89">
      <w:pPr>
        <w:pStyle w:val="AMNumberTabs"/>
      </w:pPr>
      <w:r w:rsidRPr="006167F9">
        <w:t>Amandman</w:t>
      </w:r>
      <w:r w:rsidRPr="006167F9">
        <w:tab/>
      </w:r>
      <w:r w:rsidRPr="006167F9">
        <w:tab/>
        <w:t>32</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8. – stavak 1. – podstavak 1.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C89" w:rsidRPr="006167F9" w:rsidTr="00A90DD5">
        <w:trPr>
          <w:trHeight w:hRule="exact" w:val="240"/>
          <w:jc w:val="center"/>
        </w:trPr>
        <w:tc>
          <w:tcPr>
            <w:tcW w:w="9752" w:type="dxa"/>
            <w:gridSpan w:val="2"/>
          </w:tcPr>
          <w:p w:rsidR="004D4C89" w:rsidRPr="006167F9" w:rsidRDefault="004D4C89" w:rsidP="00A90DD5"/>
        </w:tc>
      </w:tr>
      <w:tr w:rsidR="004D4C89" w:rsidRPr="006167F9" w:rsidTr="00A90DD5">
        <w:trPr>
          <w:trHeight w:val="240"/>
          <w:jc w:val="center"/>
        </w:trPr>
        <w:tc>
          <w:tcPr>
            <w:tcW w:w="4876" w:type="dxa"/>
          </w:tcPr>
          <w:p w:rsidR="004D4C89" w:rsidRPr="006167F9" w:rsidRDefault="004D4C89" w:rsidP="00A90DD5">
            <w:pPr>
              <w:pStyle w:val="ColumnHeading"/>
            </w:pPr>
            <w:r w:rsidRPr="006167F9">
              <w:t>Tekst koji je predložila Komisija</w:t>
            </w:r>
          </w:p>
        </w:tc>
        <w:tc>
          <w:tcPr>
            <w:tcW w:w="4876" w:type="dxa"/>
          </w:tcPr>
          <w:p w:rsidR="004D4C89" w:rsidRPr="006167F9" w:rsidRDefault="004D4C89" w:rsidP="00A90DD5">
            <w:pPr>
              <w:pStyle w:val="ColumnHeading"/>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(a)</w:t>
            </w:r>
            <w:r w:rsidRPr="006167F9">
              <w:rPr>
                <w:b/>
                <w:i/>
              </w:rPr>
              <w:tab/>
            </w:r>
            <w:r w:rsidRPr="006167F9">
              <w:t>nesigurnost</w:t>
            </w:r>
            <w:r w:rsidRPr="006167F9">
              <w:rPr>
                <w:b/>
                <w:i/>
              </w:rPr>
              <w:t xml:space="preserve"> povezana</w:t>
            </w:r>
            <w:r w:rsidRPr="006167F9">
              <w:t xml:space="preserve"> s čimbenicima kao što su vjerojatnost ispada prijenosnog kapaciteta, vjerojatnost neplaniranog prestanka rada elektrana, teški vremenski uvjeti,</w:t>
            </w:r>
            <w:r w:rsidRPr="006167F9">
              <w:rPr>
                <w:b/>
                <w:i/>
              </w:rPr>
              <w:t xml:space="preserve"> promjenjivost</w:t>
            </w:r>
            <w:r w:rsidRPr="006167F9">
              <w:t xml:space="preserve"> potražnje i promjenjivost proizvodnje energije iz obnovljivih izvora;</w:t>
            </w:r>
          </w:p>
        </w:tc>
        <w:tc>
          <w:tcPr>
            <w:tcW w:w="4876" w:type="dxa"/>
          </w:tcPr>
          <w:p w:rsidR="004D4C89" w:rsidRPr="006167F9" w:rsidRDefault="004D4C89" w:rsidP="00A90DD5">
            <w:pPr>
              <w:pStyle w:val="Normal6"/>
              <w:rPr>
                <w:b/>
                <w:i/>
              </w:rPr>
            </w:pPr>
            <w:r w:rsidRPr="006167F9">
              <w:t>(a)</w:t>
            </w:r>
            <w:r w:rsidRPr="006167F9">
              <w:rPr>
                <w:b/>
                <w:i/>
              </w:rPr>
              <w:tab/>
            </w:r>
            <w:r w:rsidRPr="006167F9">
              <w:t>nesigurnost</w:t>
            </w:r>
            <w:r w:rsidRPr="006167F9">
              <w:rPr>
                <w:b/>
                <w:i/>
              </w:rPr>
              <w:t xml:space="preserve"> povezanu</w:t>
            </w:r>
            <w:r w:rsidRPr="006167F9">
              <w:t xml:space="preserve"> s čimbenicima kao što su vjerojatnost ispada prijenosnog kapaciteta, vjerojatnost neplaniranog prestanka rada elektrana, teški vremenski uvjeti,</w:t>
            </w:r>
            <w:r w:rsidRPr="006167F9">
              <w:rPr>
                <w:b/>
                <w:i/>
              </w:rPr>
              <w:t xml:space="preserve"> promjenjiva potražnja, osobito vrhunci</w:t>
            </w:r>
            <w:r w:rsidRPr="006167F9">
              <w:t xml:space="preserve"> potražnje</w:t>
            </w:r>
            <w:r w:rsidRPr="006167F9">
              <w:rPr>
                <w:b/>
                <w:i/>
              </w:rPr>
              <w:t xml:space="preserve"> koji ovise o vremenskim uvjetima,</w:t>
            </w:r>
            <w:r w:rsidRPr="006167F9">
              <w:t xml:space="preserve"> i promjenjivost proizvodnje energije iz obnovljivih izvora;</w:t>
            </w:r>
          </w:p>
        </w:tc>
      </w:tr>
    </w:tbl>
    <w:p w:rsidR="004D4C89" w:rsidRPr="006167F9" w:rsidRDefault="004D4C89" w:rsidP="004D4C89"/>
    <w:p w:rsidR="004D4C89" w:rsidRPr="006167F9" w:rsidRDefault="004D4C89" w:rsidP="004D4C89">
      <w:pPr>
        <w:pStyle w:val="AMNumberTabs"/>
        <w:keepNext/>
      </w:pPr>
      <w:r w:rsidRPr="006167F9">
        <w:t>Amandman</w:t>
      </w:r>
      <w:r w:rsidRPr="006167F9">
        <w:tab/>
      </w:r>
      <w:r w:rsidRPr="006167F9">
        <w:tab/>
        <w:t>33</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8. – stavak 1. – podstavak 1.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C89" w:rsidRPr="006167F9" w:rsidTr="00A90DD5">
        <w:trPr>
          <w:jc w:val="center"/>
        </w:trPr>
        <w:tc>
          <w:tcPr>
            <w:tcW w:w="9752" w:type="dxa"/>
            <w:gridSpan w:val="2"/>
          </w:tcPr>
          <w:p w:rsidR="004D4C89" w:rsidRPr="006167F9" w:rsidRDefault="004D4C89" w:rsidP="00A90DD5">
            <w:pPr>
              <w:keepNext/>
            </w:pPr>
          </w:p>
        </w:tc>
      </w:tr>
      <w:tr w:rsidR="004D4C89" w:rsidRPr="006167F9" w:rsidTr="00A90DD5">
        <w:trPr>
          <w:jc w:val="center"/>
        </w:trPr>
        <w:tc>
          <w:tcPr>
            <w:tcW w:w="4876" w:type="dxa"/>
            <w:hideMark/>
          </w:tcPr>
          <w:p w:rsidR="004D4C89" w:rsidRPr="006167F9" w:rsidRDefault="004D4C89" w:rsidP="00A90DD5">
            <w:pPr>
              <w:pStyle w:val="ColumnHeading"/>
              <w:keepNext/>
            </w:pPr>
            <w:r w:rsidRPr="006167F9">
              <w:t>Tekst koji je predložila Komisija</w:t>
            </w:r>
          </w:p>
        </w:tc>
        <w:tc>
          <w:tcPr>
            <w:tcW w:w="4876" w:type="dxa"/>
            <w:hideMark/>
          </w:tcPr>
          <w:p w:rsidR="004D4C89" w:rsidRPr="006167F9" w:rsidRDefault="004D4C89" w:rsidP="00A90DD5">
            <w:pPr>
              <w:pStyle w:val="ColumnHeading"/>
              <w:keepNext/>
            </w:pPr>
            <w:r w:rsidRPr="006167F9">
              <w:t>Izmjena</w:t>
            </w:r>
          </w:p>
        </w:tc>
      </w:tr>
      <w:tr w:rsidR="004D4C89" w:rsidRPr="006167F9" w:rsidTr="00A90DD5">
        <w:trPr>
          <w:jc w:val="center"/>
        </w:trPr>
        <w:tc>
          <w:tcPr>
            <w:tcW w:w="4876" w:type="dxa"/>
            <w:hideMark/>
          </w:tcPr>
          <w:p w:rsidR="004D4C89" w:rsidRPr="006167F9" w:rsidRDefault="004D4C89" w:rsidP="00A90DD5">
            <w:pPr>
              <w:pStyle w:val="Normal6"/>
              <w:rPr>
                <w:b/>
                <w:i/>
              </w:rPr>
            </w:pPr>
            <w:r w:rsidRPr="006167F9">
              <w:t>(b)</w:t>
            </w:r>
            <w:r w:rsidRPr="006167F9">
              <w:rPr>
                <w:b/>
                <w:i/>
              </w:rPr>
              <w:tab/>
            </w:r>
            <w:r w:rsidRPr="006167F9">
              <w:t>vjerojatnost nastanka</w:t>
            </w:r>
            <w:r w:rsidRPr="006167F9">
              <w:rPr>
                <w:b/>
                <w:i/>
              </w:rPr>
              <w:t xml:space="preserve"> kritične situacije</w:t>
            </w:r>
            <w:r w:rsidRPr="006167F9">
              <w:t>;</w:t>
            </w:r>
          </w:p>
        </w:tc>
        <w:tc>
          <w:tcPr>
            <w:tcW w:w="4876" w:type="dxa"/>
            <w:hideMark/>
          </w:tcPr>
          <w:p w:rsidR="004D4C89" w:rsidRPr="006167F9" w:rsidRDefault="004D4C89" w:rsidP="00A90DD5">
            <w:pPr>
              <w:pStyle w:val="Normal6"/>
              <w:rPr>
                <w:b/>
                <w:i/>
                <w:szCs w:val="24"/>
              </w:rPr>
            </w:pPr>
            <w:r w:rsidRPr="006167F9">
              <w:t>(b)</w:t>
            </w:r>
            <w:r w:rsidRPr="006167F9">
              <w:rPr>
                <w:b/>
                <w:i/>
              </w:rPr>
              <w:tab/>
            </w:r>
            <w:r w:rsidRPr="006167F9">
              <w:t>vjerojatnost nastanka</w:t>
            </w:r>
            <w:r w:rsidRPr="006167F9">
              <w:rPr>
                <w:b/>
                <w:i/>
              </w:rPr>
              <w:t xml:space="preserve"> elektroenergetske krize</w:t>
            </w:r>
            <w:r w:rsidRPr="006167F9">
              <w:t>;</w:t>
            </w:r>
          </w:p>
        </w:tc>
      </w:tr>
    </w:tbl>
    <w:p w:rsidR="004D4C89" w:rsidRPr="006167F9" w:rsidRDefault="004D4C89" w:rsidP="004D4C89">
      <w:pPr>
        <w:pStyle w:val="JustificationTitle"/>
      </w:pPr>
      <w:r w:rsidRPr="006167F9">
        <w:t>Obrazloženje</w:t>
      </w:r>
    </w:p>
    <w:p w:rsidR="00084A59" w:rsidRPr="006167F9" w:rsidRDefault="004D4C89" w:rsidP="004D4C89">
      <w:pPr>
        <w:pStyle w:val="Normal12Italic"/>
      </w:pPr>
      <w:r w:rsidRPr="006167F9">
        <w:t>Usklađivanje teksta s definicijama iz članka 2.</w:t>
      </w:r>
    </w:p>
    <w:p w:rsidR="004D4C89" w:rsidRPr="006167F9" w:rsidRDefault="004D4C89" w:rsidP="004D4C89">
      <w:pPr>
        <w:pStyle w:val="AMNumberTabs"/>
      </w:pPr>
      <w:r w:rsidRPr="006167F9">
        <w:t>Amandman</w:t>
      </w:r>
      <w:r w:rsidRPr="006167F9">
        <w:tab/>
      </w:r>
      <w:r w:rsidRPr="006167F9">
        <w:tab/>
        <w:t>34</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8. – stavak 1. – podstavak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C89" w:rsidRPr="006167F9" w:rsidTr="00A90DD5">
        <w:trPr>
          <w:trHeight w:hRule="exact" w:val="240"/>
          <w:jc w:val="center"/>
        </w:trPr>
        <w:tc>
          <w:tcPr>
            <w:tcW w:w="9752" w:type="dxa"/>
            <w:gridSpan w:val="2"/>
          </w:tcPr>
          <w:p w:rsidR="004D4C89" w:rsidRPr="006167F9" w:rsidRDefault="004D4C89" w:rsidP="00A90DD5"/>
        </w:tc>
      </w:tr>
      <w:tr w:rsidR="004D4C89" w:rsidRPr="006167F9" w:rsidTr="00A90DD5">
        <w:trPr>
          <w:trHeight w:val="240"/>
          <w:jc w:val="center"/>
        </w:trPr>
        <w:tc>
          <w:tcPr>
            <w:tcW w:w="4876" w:type="dxa"/>
          </w:tcPr>
          <w:p w:rsidR="004D4C89" w:rsidRPr="006167F9" w:rsidRDefault="004D4C89" w:rsidP="00A90DD5">
            <w:pPr>
              <w:pStyle w:val="ColumnHeading"/>
            </w:pPr>
            <w:r w:rsidRPr="006167F9">
              <w:t>Tekst koji je predložila Komisija</w:t>
            </w:r>
          </w:p>
        </w:tc>
        <w:tc>
          <w:tcPr>
            <w:tcW w:w="4876" w:type="dxa"/>
          </w:tcPr>
          <w:p w:rsidR="004D4C89" w:rsidRPr="006167F9" w:rsidRDefault="004D4C89" w:rsidP="00A90DD5">
            <w:pPr>
              <w:pStyle w:val="ColumnHeading"/>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U metodologiji se predviđaju upotreba probabilističkog pristupa i razmatranje regionalnog konteksta i konteksta čitave Unije, uključujući, koliko je to moguće,</w:t>
            </w:r>
            <w:r w:rsidRPr="006167F9">
              <w:rPr>
                <w:b/>
                <w:i/>
              </w:rPr>
              <w:t xml:space="preserve"> i treće zemlje</w:t>
            </w:r>
            <w:r w:rsidRPr="006167F9">
              <w:t xml:space="preserve"> koje se nalaze unutar sinkronih područja Unije.</w:t>
            </w:r>
          </w:p>
        </w:tc>
        <w:tc>
          <w:tcPr>
            <w:tcW w:w="4876" w:type="dxa"/>
          </w:tcPr>
          <w:p w:rsidR="004D4C89" w:rsidRPr="006167F9" w:rsidRDefault="004D4C89" w:rsidP="00A90DD5">
            <w:pPr>
              <w:pStyle w:val="Normal6"/>
              <w:rPr>
                <w:b/>
                <w:i/>
              </w:rPr>
            </w:pPr>
            <w:r w:rsidRPr="006167F9">
              <w:t>U metodologiji se predviđaju upotreba probabilističkog pristupa i razmatranje regionalnog konteksta i konteksta čitave Unije, uključujući</w:t>
            </w:r>
            <w:r w:rsidRPr="006167F9">
              <w:rPr>
                <w:b/>
                <w:i/>
              </w:rPr>
              <w:t xml:space="preserve"> razinu međusobne povezanosti država članica i</w:t>
            </w:r>
            <w:r w:rsidRPr="006167F9">
              <w:t>, koliko je to moguće,</w:t>
            </w:r>
            <w:r w:rsidRPr="006167F9">
              <w:rPr>
                <w:b/>
                <w:i/>
              </w:rPr>
              <w:t xml:space="preserve"> trećih zemalja</w:t>
            </w:r>
            <w:r w:rsidRPr="006167F9">
              <w:t xml:space="preserve"> koje se nalaze unutar sinkronih područja Unije.</w:t>
            </w:r>
          </w:p>
        </w:tc>
      </w:tr>
    </w:tbl>
    <w:p w:rsidR="004D4C89" w:rsidRPr="006167F9" w:rsidRDefault="004D4C89" w:rsidP="004D4C89"/>
    <w:p w:rsidR="004D4C89" w:rsidRPr="006167F9" w:rsidRDefault="004D4C89" w:rsidP="004D4C89">
      <w:pPr>
        <w:pStyle w:val="AMNumberTabs"/>
        <w:keepNext/>
      </w:pPr>
      <w:r w:rsidRPr="006167F9">
        <w:t>Amandman</w:t>
      </w:r>
      <w:r w:rsidRPr="006167F9">
        <w:tab/>
      </w:r>
      <w:r w:rsidRPr="006167F9">
        <w:tab/>
        <w:t>35</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8. – stavak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D4C89" w:rsidRPr="006167F9" w:rsidTr="00A90DD5">
        <w:trPr>
          <w:jc w:val="center"/>
        </w:trPr>
        <w:tc>
          <w:tcPr>
            <w:tcW w:w="9752" w:type="dxa"/>
            <w:gridSpan w:val="2"/>
          </w:tcPr>
          <w:p w:rsidR="004D4C89" w:rsidRPr="006167F9" w:rsidRDefault="004D4C89" w:rsidP="00A90DD5">
            <w:pPr>
              <w:keepNext/>
            </w:pPr>
          </w:p>
        </w:tc>
      </w:tr>
      <w:tr w:rsidR="004D4C89" w:rsidRPr="006167F9" w:rsidTr="00A90DD5">
        <w:trPr>
          <w:jc w:val="center"/>
        </w:trPr>
        <w:tc>
          <w:tcPr>
            <w:tcW w:w="4876" w:type="dxa"/>
          </w:tcPr>
          <w:p w:rsidR="004D4C89" w:rsidRPr="006167F9" w:rsidRDefault="004D4C89" w:rsidP="00A90DD5">
            <w:pPr>
              <w:pStyle w:val="ColumnHeading"/>
              <w:keepNext/>
            </w:pPr>
            <w:r w:rsidRPr="006167F9">
              <w:t>Tekst koji je predložila Komisija</w:t>
            </w:r>
          </w:p>
        </w:tc>
        <w:tc>
          <w:tcPr>
            <w:tcW w:w="4876" w:type="dxa"/>
          </w:tcPr>
          <w:p w:rsidR="004D4C89" w:rsidRPr="006167F9" w:rsidRDefault="004D4C89" w:rsidP="00A90DD5">
            <w:pPr>
              <w:pStyle w:val="ColumnHeading"/>
              <w:keepNext/>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2.</w:t>
            </w:r>
            <w:r w:rsidRPr="006167F9">
              <w:rPr>
                <w:b/>
                <w:i/>
              </w:rPr>
              <w:tab/>
            </w:r>
            <w:r w:rsidRPr="006167F9">
              <w:t>Prije podnošenja predložene metodologije ENTSO-E provodi savjetovanje koje uključuje</w:t>
            </w:r>
            <w:r w:rsidRPr="006167F9">
              <w:rPr>
                <w:b/>
                <w:i/>
              </w:rPr>
              <w:t xml:space="preserve"> barem</w:t>
            </w:r>
            <w:r w:rsidRPr="006167F9">
              <w:t xml:space="preserve"> industrijske organizacije i organizacije potrošača, operatore distribucijskih sustava, nacionalna regulatorna tijela</w:t>
            </w:r>
            <w:r w:rsidRPr="006167F9">
              <w:rPr>
                <w:b/>
                <w:i/>
              </w:rPr>
              <w:t xml:space="preserve"> i</w:t>
            </w:r>
            <w:r w:rsidRPr="006167F9">
              <w:t xml:space="preserve"> druga nacionalna tijela. ENTSO-E na odgovarajući način uzima u obzir rezultate savjetovanja.</w:t>
            </w:r>
          </w:p>
        </w:tc>
        <w:tc>
          <w:tcPr>
            <w:tcW w:w="4876" w:type="dxa"/>
          </w:tcPr>
          <w:p w:rsidR="004D4C89" w:rsidRPr="006167F9" w:rsidRDefault="004D4C89" w:rsidP="00A90DD5">
            <w:pPr>
              <w:pStyle w:val="Normal6"/>
              <w:rPr>
                <w:b/>
                <w:i/>
                <w:szCs w:val="24"/>
              </w:rPr>
            </w:pPr>
            <w:r w:rsidRPr="006167F9">
              <w:t>2.</w:t>
            </w:r>
            <w:r w:rsidRPr="006167F9">
              <w:rPr>
                <w:b/>
                <w:i/>
              </w:rPr>
              <w:tab/>
            </w:r>
            <w:r w:rsidRPr="006167F9">
              <w:t>Prije podnošenja predložene metodologije ENTSO-E provodi savjetovanje koje uključuje</w:t>
            </w:r>
            <w:r w:rsidRPr="006167F9">
              <w:rPr>
                <w:b/>
                <w:i/>
              </w:rPr>
              <w:t xml:space="preserve"> regionalne koordinacijske centre,</w:t>
            </w:r>
            <w:r w:rsidRPr="006167F9">
              <w:t xml:space="preserve"> industrijske organizacije i organizacije potrošača,</w:t>
            </w:r>
            <w:r w:rsidRPr="006167F9">
              <w:rPr>
                <w:b/>
                <w:i/>
              </w:rPr>
              <w:t xml:space="preserve"> proizvođače energije,</w:t>
            </w:r>
            <w:r w:rsidRPr="006167F9">
              <w:t xml:space="preserve"> operatore</w:t>
            </w:r>
            <w:r w:rsidRPr="006167F9">
              <w:rPr>
                <w:b/>
                <w:i/>
              </w:rPr>
              <w:t xml:space="preserve"> prijenosnih sustava i operatore</w:t>
            </w:r>
            <w:r w:rsidRPr="006167F9">
              <w:t xml:space="preserve"> distribucijskih sustava,</w:t>
            </w:r>
            <w:r w:rsidRPr="006167F9">
              <w:rPr>
                <w:b/>
                <w:i/>
              </w:rPr>
              <w:t xml:space="preserve"> nadležna tijela,</w:t>
            </w:r>
            <w:r w:rsidRPr="006167F9">
              <w:t xml:space="preserve"> nacionalna regulatorna tijela</w:t>
            </w:r>
            <w:r w:rsidRPr="006167F9">
              <w:rPr>
                <w:b/>
                <w:i/>
              </w:rPr>
              <w:t>,</w:t>
            </w:r>
            <w:r w:rsidRPr="006167F9">
              <w:t xml:space="preserve"> druga nacionalna tijela</w:t>
            </w:r>
            <w:r w:rsidRPr="006167F9">
              <w:rPr>
                <w:b/>
                <w:i/>
              </w:rPr>
              <w:t xml:space="preserve"> i relevantne dionike</w:t>
            </w:r>
            <w:r w:rsidRPr="006167F9">
              <w:t>. ENTSO-E na odgovarajući način uzima u obzir rezultate savjetovanja.</w:t>
            </w:r>
          </w:p>
        </w:tc>
      </w:tr>
    </w:tbl>
    <w:p w:rsidR="00084A59" w:rsidRPr="006167F9" w:rsidRDefault="00084A59" w:rsidP="004D4C89"/>
    <w:p w:rsidR="004D4C89" w:rsidRPr="006167F9" w:rsidRDefault="004D4C89" w:rsidP="004D4C89">
      <w:pPr>
        <w:pStyle w:val="AMNumberTabs"/>
        <w:keepNext/>
      </w:pPr>
      <w:r w:rsidRPr="006167F9">
        <w:t>Amandman</w:t>
      </w:r>
      <w:r w:rsidRPr="006167F9">
        <w:tab/>
      </w:r>
      <w:r w:rsidRPr="006167F9">
        <w:tab/>
        <w:t>36</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8. – stavak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D4C89" w:rsidRPr="006167F9" w:rsidTr="00A90DD5">
        <w:trPr>
          <w:jc w:val="center"/>
        </w:trPr>
        <w:tc>
          <w:tcPr>
            <w:tcW w:w="9752" w:type="dxa"/>
            <w:gridSpan w:val="2"/>
          </w:tcPr>
          <w:p w:rsidR="004D4C89" w:rsidRPr="006167F9" w:rsidRDefault="004D4C89" w:rsidP="00A90DD5">
            <w:pPr>
              <w:keepNext/>
            </w:pPr>
          </w:p>
        </w:tc>
      </w:tr>
      <w:tr w:rsidR="004D4C89" w:rsidRPr="006167F9" w:rsidTr="00A90DD5">
        <w:trPr>
          <w:jc w:val="center"/>
        </w:trPr>
        <w:tc>
          <w:tcPr>
            <w:tcW w:w="4876" w:type="dxa"/>
          </w:tcPr>
          <w:p w:rsidR="004D4C89" w:rsidRPr="006167F9" w:rsidRDefault="004D4C89" w:rsidP="00A90DD5">
            <w:pPr>
              <w:pStyle w:val="ColumnHeading"/>
              <w:keepNext/>
            </w:pPr>
            <w:r w:rsidRPr="006167F9">
              <w:t>Tekst koji je predložila Komisija</w:t>
            </w:r>
          </w:p>
        </w:tc>
        <w:tc>
          <w:tcPr>
            <w:tcW w:w="4876" w:type="dxa"/>
          </w:tcPr>
          <w:p w:rsidR="004D4C89" w:rsidRPr="006167F9" w:rsidRDefault="004D4C89" w:rsidP="00A90DD5">
            <w:pPr>
              <w:pStyle w:val="ColumnHeading"/>
              <w:keepNext/>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4.</w:t>
            </w:r>
            <w:r w:rsidRPr="006167F9">
              <w:rPr>
                <w:b/>
                <w:i/>
              </w:rPr>
              <w:tab/>
            </w:r>
            <w:r w:rsidRPr="006167F9">
              <w:t>ENTSO-E redovito ažurira i poboljšava metodologiju u skladu sa stavcima</w:t>
            </w:r>
            <w:r w:rsidRPr="006167F9">
              <w:rPr>
                <w:b/>
                <w:i/>
              </w:rPr>
              <w:t xml:space="preserve"> od</w:t>
            </w:r>
            <w:r w:rsidRPr="006167F9">
              <w:t xml:space="preserve"> 1.</w:t>
            </w:r>
            <w:r w:rsidRPr="006167F9">
              <w:rPr>
                <w:b/>
                <w:i/>
              </w:rPr>
              <w:t xml:space="preserve"> do</w:t>
            </w:r>
            <w:r w:rsidRPr="006167F9">
              <w:t xml:space="preserve"> 3. Agencija ili Komisija</w:t>
            </w:r>
            <w:r w:rsidRPr="006167F9">
              <w:rPr>
                <w:b/>
                <w:i/>
              </w:rPr>
              <w:t xml:space="preserve"> može</w:t>
            </w:r>
            <w:r w:rsidRPr="006167F9">
              <w:t xml:space="preserve"> zahtijevati takva ažuriranja i poboljšanja uz navođenje opravdanih razloga. U roku od</w:t>
            </w:r>
            <w:r w:rsidRPr="006167F9">
              <w:rPr>
                <w:b/>
                <w:i/>
              </w:rPr>
              <w:t xml:space="preserve"> šest mjeseci</w:t>
            </w:r>
            <w:r w:rsidRPr="006167F9">
              <w:t xml:space="preserve"> nakon zaprimanja zahtjeva ENTSO-E podnosi Agenciji nacrt predloženih promjena. U roku od dva mjeseca nakon zaprimanja nacrta Agencija mijenja</w:t>
            </w:r>
            <w:r w:rsidRPr="006167F9">
              <w:rPr>
                <w:b/>
                <w:i/>
              </w:rPr>
              <w:t xml:space="preserve"> ili odobrava</w:t>
            </w:r>
            <w:r w:rsidRPr="006167F9">
              <w:t xml:space="preserve"> promjene i objavljuje ih na svojim internetskim stranicama.</w:t>
            </w:r>
          </w:p>
        </w:tc>
        <w:tc>
          <w:tcPr>
            <w:tcW w:w="4876" w:type="dxa"/>
          </w:tcPr>
          <w:p w:rsidR="004D4C89" w:rsidRPr="006167F9" w:rsidRDefault="004D4C89" w:rsidP="00A90DD5">
            <w:pPr>
              <w:pStyle w:val="Normal6"/>
              <w:rPr>
                <w:b/>
                <w:i/>
                <w:szCs w:val="24"/>
              </w:rPr>
            </w:pPr>
            <w:r w:rsidRPr="006167F9">
              <w:t>4.</w:t>
            </w:r>
            <w:r w:rsidRPr="006167F9">
              <w:rPr>
                <w:b/>
                <w:i/>
              </w:rPr>
              <w:tab/>
            </w:r>
            <w:r w:rsidRPr="006167F9">
              <w:t>ENTSO-E redovito ažurira i poboljšava metodologiju u skladu sa stavcima 1.</w:t>
            </w:r>
            <w:r w:rsidRPr="006167F9">
              <w:rPr>
                <w:b/>
                <w:i/>
              </w:rPr>
              <w:t>, 2. i</w:t>
            </w:r>
            <w:r w:rsidRPr="006167F9">
              <w:t xml:space="preserve"> 3. Agencija ili Komisija</w:t>
            </w:r>
            <w:r w:rsidRPr="006167F9">
              <w:rPr>
                <w:b/>
                <w:i/>
              </w:rPr>
              <w:t xml:space="preserve"> mogu</w:t>
            </w:r>
            <w:r w:rsidRPr="006167F9">
              <w:t xml:space="preserve"> zahtijevati takva ažuriranja i poboljšanja uz navođenje opravdanih razloga. U roku od</w:t>
            </w:r>
            <w:r w:rsidRPr="006167F9">
              <w:rPr>
                <w:b/>
                <w:i/>
              </w:rPr>
              <w:t xml:space="preserve"> dva mjeseca</w:t>
            </w:r>
            <w:r w:rsidRPr="006167F9">
              <w:t xml:space="preserve"> nakon zaprimanja zahtjeva ENTSO-E podnosi Agenciji nacrt predloženih promjena. U roku od dva mjeseca nakon zaprimanja nacrta Agencija</w:t>
            </w:r>
            <w:r w:rsidRPr="006167F9">
              <w:rPr>
                <w:b/>
                <w:i/>
              </w:rPr>
              <w:t xml:space="preserve"> odobrava ili</w:t>
            </w:r>
            <w:r w:rsidRPr="006167F9">
              <w:t xml:space="preserve"> mijenja promjene i objavljuje ih na svojim internetskim stranicama.</w:t>
            </w:r>
          </w:p>
        </w:tc>
      </w:tr>
    </w:tbl>
    <w:p w:rsidR="004D4C89" w:rsidRPr="006167F9" w:rsidRDefault="004D4C89" w:rsidP="004D4C89"/>
    <w:p w:rsidR="004D4C89" w:rsidRPr="006167F9" w:rsidRDefault="004D4C89" w:rsidP="004D4C89">
      <w:pPr>
        <w:pStyle w:val="AMNumberTabs"/>
        <w:keepNext/>
      </w:pPr>
      <w:r w:rsidRPr="006167F9">
        <w:t>Amandman</w:t>
      </w:r>
      <w:r w:rsidRPr="006167F9">
        <w:tab/>
      </w:r>
      <w:r w:rsidRPr="006167F9">
        <w:tab/>
        <w:t>37</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9. – stavak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C89" w:rsidRPr="006167F9" w:rsidTr="00A90DD5">
        <w:trPr>
          <w:jc w:val="center"/>
        </w:trPr>
        <w:tc>
          <w:tcPr>
            <w:tcW w:w="9752" w:type="dxa"/>
            <w:gridSpan w:val="2"/>
          </w:tcPr>
          <w:p w:rsidR="004D4C89" w:rsidRPr="006167F9" w:rsidRDefault="004D4C89" w:rsidP="00A90DD5">
            <w:pPr>
              <w:keepNext/>
            </w:pPr>
          </w:p>
        </w:tc>
      </w:tr>
      <w:tr w:rsidR="004D4C89" w:rsidRPr="006167F9" w:rsidTr="00A90DD5">
        <w:trPr>
          <w:jc w:val="center"/>
        </w:trPr>
        <w:tc>
          <w:tcPr>
            <w:tcW w:w="4876" w:type="dxa"/>
            <w:hideMark/>
          </w:tcPr>
          <w:p w:rsidR="004D4C89" w:rsidRPr="006167F9" w:rsidRDefault="004D4C89" w:rsidP="00A90DD5">
            <w:pPr>
              <w:pStyle w:val="ColumnHeading"/>
              <w:keepNext/>
            </w:pPr>
            <w:r w:rsidRPr="006167F9">
              <w:t>Tekst koji je predložila Komisija</w:t>
            </w:r>
          </w:p>
        </w:tc>
        <w:tc>
          <w:tcPr>
            <w:tcW w:w="4876" w:type="dxa"/>
            <w:hideMark/>
          </w:tcPr>
          <w:p w:rsidR="004D4C89" w:rsidRPr="006167F9" w:rsidRDefault="004D4C89" w:rsidP="00A90DD5">
            <w:pPr>
              <w:pStyle w:val="ColumnHeading"/>
              <w:keepNext/>
            </w:pPr>
            <w:r w:rsidRPr="006167F9">
              <w:t>Izmjena</w:t>
            </w:r>
          </w:p>
        </w:tc>
      </w:tr>
      <w:tr w:rsidR="004D4C89" w:rsidRPr="006167F9" w:rsidTr="00A90DD5">
        <w:trPr>
          <w:jc w:val="center"/>
        </w:trPr>
        <w:tc>
          <w:tcPr>
            <w:tcW w:w="4876" w:type="dxa"/>
            <w:hideMark/>
          </w:tcPr>
          <w:p w:rsidR="004D4C89" w:rsidRPr="006167F9" w:rsidRDefault="004D4C89" w:rsidP="00A90DD5">
            <w:pPr>
              <w:pStyle w:val="Normal6"/>
              <w:rPr>
                <w:b/>
                <w:i/>
              </w:rPr>
            </w:pPr>
            <w:r w:rsidRPr="006167F9">
              <w:t>1.</w:t>
            </w:r>
            <w:r w:rsidRPr="006167F9">
              <w:rPr>
                <w:b/>
                <w:i/>
              </w:rPr>
              <w:tab/>
            </w:r>
            <w:r w:rsidRPr="006167F9">
              <w:t>Sve kratkoročne procjene adekvatnosti provode se na temelju metodologije izrađene u skladu s člankom 8.</w:t>
            </w:r>
          </w:p>
        </w:tc>
        <w:tc>
          <w:tcPr>
            <w:tcW w:w="4876" w:type="dxa"/>
            <w:hideMark/>
          </w:tcPr>
          <w:p w:rsidR="004D4C89" w:rsidRPr="006167F9" w:rsidRDefault="004D4C89" w:rsidP="00A90DD5">
            <w:pPr>
              <w:pStyle w:val="Normal6"/>
              <w:rPr>
                <w:b/>
                <w:i/>
                <w:szCs w:val="24"/>
              </w:rPr>
            </w:pPr>
            <w:r w:rsidRPr="006167F9">
              <w:t>1.</w:t>
            </w:r>
            <w:r w:rsidRPr="006167F9">
              <w:rPr>
                <w:b/>
                <w:i/>
              </w:rPr>
              <w:tab/>
            </w:r>
            <w:r w:rsidRPr="006167F9">
              <w:t>Sve kratkoročne procjene adekvatnosti</w:t>
            </w:r>
            <w:r w:rsidRPr="006167F9">
              <w:rPr>
                <w:b/>
                <w:i/>
              </w:rPr>
              <w:t>, provedene na nacionalnoj razini, regionalnoj razini ili razini Unije,</w:t>
            </w:r>
            <w:r w:rsidRPr="006167F9">
              <w:t xml:space="preserve"> provode se na temelju metodologije izrađene u skladu s člankom 8.</w:t>
            </w:r>
          </w:p>
        </w:tc>
      </w:tr>
    </w:tbl>
    <w:p w:rsidR="004D4C89" w:rsidRPr="006167F9" w:rsidRDefault="004D4C89" w:rsidP="004D4C89">
      <w:pPr>
        <w:pStyle w:val="JustificationTitle"/>
      </w:pPr>
      <w:r w:rsidRPr="006167F9">
        <w:t>Obrazloženje</w:t>
      </w:r>
    </w:p>
    <w:p w:rsidR="00084A59" w:rsidRPr="006167F9" w:rsidRDefault="004D4C89" w:rsidP="004D4C89">
      <w:pPr>
        <w:pStyle w:val="Normal12Italic"/>
      </w:pPr>
      <w:r w:rsidRPr="006167F9">
        <w:t>Prijedlogom o pripremljenosti za rizike poziva se na procjene kratkoročnih rizika koje će se provoditi na europskoj i na regionalnoj razini, međutim, trebalo bi pojasniti da i države članice zadržavaju mogućnost provedbe vlastitih procjena. Štoviše, sukladno Smjernicama za pogon sustava (članak 104.), svaki operator prijenosnih sustava mora provoditi kratkoročne procjene adekvatnosti. Ovim se dodatkom pojašnjava i da se za sve kratkoročne procjene adekvatnosti mora primjenjivati metodologija izrađena u skladu s člankom 8.</w:t>
      </w:r>
    </w:p>
    <w:p w:rsidR="004D4C89" w:rsidRPr="006167F9" w:rsidRDefault="004D4C89" w:rsidP="004D4C89">
      <w:pPr>
        <w:pStyle w:val="AMNumberTabs"/>
        <w:keepNext/>
      </w:pPr>
      <w:r w:rsidRPr="006167F9">
        <w:t>Amandman</w:t>
      </w:r>
      <w:r w:rsidRPr="006167F9">
        <w:tab/>
      </w:r>
      <w:r w:rsidRPr="006167F9">
        <w:tab/>
        <w:t>38</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10. – stavak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D4C89" w:rsidRPr="006167F9" w:rsidTr="00A90DD5">
        <w:trPr>
          <w:jc w:val="center"/>
        </w:trPr>
        <w:tc>
          <w:tcPr>
            <w:tcW w:w="9752" w:type="dxa"/>
            <w:gridSpan w:val="2"/>
          </w:tcPr>
          <w:p w:rsidR="004D4C89" w:rsidRPr="006167F9" w:rsidRDefault="004D4C89" w:rsidP="00A90DD5">
            <w:pPr>
              <w:keepNext/>
            </w:pPr>
          </w:p>
        </w:tc>
      </w:tr>
      <w:tr w:rsidR="004D4C89" w:rsidRPr="006167F9" w:rsidTr="00A90DD5">
        <w:trPr>
          <w:jc w:val="center"/>
        </w:trPr>
        <w:tc>
          <w:tcPr>
            <w:tcW w:w="4876" w:type="dxa"/>
          </w:tcPr>
          <w:p w:rsidR="004D4C89" w:rsidRPr="006167F9" w:rsidRDefault="004D4C89" w:rsidP="00A90DD5">
            <w:pPr>
              <w:pStyle w:val="ColumnHeading"/>
              <w:keepNext/>
            </w:pPr>
            <w:r w:rsidRPr="006167F9">
              <w:t>Tekst koji je predložila Komisija</w:t>
            </w:r>
          </w:p>
        </w:tc>
        <w:tc>
          <w:tcPr>
            <w:tcW w:w="4876" w:type="dxa"/>
          </w:tcPr>
          <w:p w:rsidR="004D4C89" w:rsidRPr="006167F9" w:rsidRDefault="004D4C89" w:rsidP="00A90DD5">
            <w:pPr>
              <w:pStyle w:val="ColumnHeading"/>
              <w:keepNext/>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1.</w:t>
            </w:r>
            <w:r w:rsidRPr="006167F9">
              <w:rPr>
                <w:b/>
                <w:i/>
              </w:rPr>
              <w:tab/>
            </w:r>
            <w:r w:rsidRPr="006167F9">
              <w:t>Na temelju regionalnih i nacionalnih elektroenergetskih kriznih scenarija utvrđenih u skladu s člancima 6. i 7. nadležno tijelo svake države članice utvrđuje plan pripremljenosti za rizike nakon savjetovanja s elektroenergetskim poduzećima i poduzećima za plin, s odgovarajućim organizacijama koje predstavljaju interese kućanstava i industrijskih potrošača električne energije i s nacionalnim regulatornim tijelima</w:t>
            </w:r>
            <w:r w:rsidRPr="006167F9">
              <w:rPr>
                <w:b/>
                <w:i/>
              </w:rPr>
              <w:t xml:space="preserve"> </w:t>
            </w:r>
            <w:r w:rsidRPr="006167F9">
              <w:t>(koja nisu nadležno tijelo).</w:t>
            </w:r>
          </w:p>
        </w:tc>
        <w:tc>
          <w:tcPr>
            <w:tcW w:w="4876" w:type="dxa"/>
          </w:tcPr>
          <w:p w:rsidR="004D4C89" w:rsidRPr="006167F9" w:rsidRDefault="004D4C89" w:rsidP="00A90DD5">
            <w:pPr>
              <w:pStyle w:val="Normal6"/>
              <w:rPr>
                <w:b/>
                <w:i/>
                <w:szCs w:val="24"/>
              </w:rPr>
            </w:pPr>
            <w:r w:rsidRPr="006167F9">
              <w:t>1.</w:t>
            </w:r>
            <w:r w:rsidRPr="006167F9">
              <w:rPr>
                <w:b/>
                <w:i/>
              </w:rPr>
              <w:tab/>
            </w:r>
            <w:r w:rsidRPr="006167F9">
              <w:t>Na temelju regionalnih i nacionalnih elektroenergetskih kriznih scenarija utvrđenih u skladu s člancima 6. i 7. nadležno tijelo svake države članice utvrđuje plan pripremljenosti za rizike nakon savjetovanja s elektroenergetskim poduzećima i poduzećima za plin, s</w:t>
            </w:r>
            <w:r w:rsidRPr="006167F9">
              <w:rPr>
                <w:b/>
                <w:i/>
              </w:rPr>
              <w:t xml:space="preserve"> operatorima prijenosnih sustava i operatorima distribucijskih sustava, s</w:t>
            </w:r>
            <w:r w:rsidRPr="006167F9">
              <w:t xml:space="preserve"> odgovarajućim organizacijama koje predstavljaju interese kućanstava i industrijskih potrošača električne energije i s nacionalnim regulatornim tijelima</w:t>
            </w:r>
            <w:r w:rsidRPr="006167F9">
              <w:rPr>
                <w:b/>
                <w:i/>
              </w:rPr>
              <w:t xml:space="preserve"> </w:t>
            </w:r>
            <w:r w:rsidRPr="006167F9">
              <w:t>(koja nisu nadležno tijelo).</w:t>
            </w:r>
            <w:r w:rsidRPr="006167F9">
              <w:rPr>
                <w:b/>
                <w:i/>
              </w:rPr>
              <w:t xml:space="preserve"> Mora se osigurati zaštita povjerljivosti osjetljivih informacija u smislu sprečavanja i ublažavanja napada. Ako nadležno tijelo smatra da određene osjetljive informacije ne smiju biti otkrivene, ono dostavlja njihov sažetak koji nije povjerljiv.</w:t>
            </w:r>
          </w:p>
        </w:tc>
      </w:tr>
    </w:tbl>
    <w:p w:rsidR="00084A59" w:rsidRPr="006167F9" w:rsidRDefault="00084A59" w:rsidP="004D4C89"/>
    <w:p w:rsidR="004D4C89" w:rsidRPr="006167F9" w:rsidRDefault="004D4C89" w:rsidP="004D4C89">
      <w:pPr>
        <w:pStyle w:val="AMNumberTabs"/>
      </w:pPr>
      <w:r w:rsidRPr="006167F9">
        <w:t>Amandman</w:t>
      </w:r>
      <w:r w:rsidRPr="006167F9">
        <w:tab/>
      </w:r>
      <w:r w:rsidRPr="006167F9">
        <w:tab/>
        <w:t>39</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10. – stavak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C89" w:rsidRPr="006167F9" w:rsidTr="00A90DD5">
        <w:trPr>
          <w:trHeight w:hRule="exact" w:val="240"/>
          <w:jc w:val="center"/>
        </w:trPr>
        <w:tc>
          <w:tcPr>
            <w:tcW w:w="9752" w:type="dxa"/>
            <w:gridSpan w:val="2"/>
          </w:tcPr>
          <w:p w:rsidR="004D4C89" w:rsidRPr="006167F9" w:rsidRDefault="004D4C89" w:rsidP="00A90DD5"/>
        </w:tc>
      </w:tr>
      <w:tr w:rsidR="004D4C89" w:rsidRPr="006167F9" w:rsidTr="00A90DD5">
        <w:trPr>
          <w:trHeight w:val="240"/>
          <w:jc w:val="center"/>
        </w:trPr>
        <w:tc>
          <w:tcPr>
            <w:tcW w:w="4876" w:type="dxa"/>
          </w:tcPr>
          <w:p w:rsidR="004D4C89" w:rsidRPr="006167F9" w:rsidRDefault="004D4C89" w:rsidP="00A90DD5">
            <w:pPr>
              <w:pStyle w:val="ColumnHeading"/>
            </w:pPr>
            <w:r w:rsidRPr="006167F9">
              <w:t>Tekst koji je predložila Komisija</w:t>
            </w:r>
          </w:p>
        </w:tc>
        <w:tc>
          <w:tcPr>
            <w:tcW w:w="4876" w:type="dxa"/>
          </w:tcPr>
          <w:p w:rsidR="004D4C89" w:rsidRPr="006167F9" w:rsidRDefault="004D4C89" w:rsidP="00A90DD5">
            <w:pPr>
              <w:pStyle w:val="ColumnHeading"/>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rPr>
                <w:b/>
                <w:i/>
              </w:rPr>
              <w:t>7.</w:t>
            </w:r>
            <w:r w:rsidRPr="006167F9">
              <w:rPr>
                <w:b/>
                <w:i/>
              </w:rPr>
              <w:tab/>
              <w:t>Države članice javno objavljuju planove, osiguravajući pritom povjerljivost osjetljivih informacija, ponajprije informacija o mjerama koje se odnose na sprečavanje i ublažavanje zlonamjernih napada.</w:t>
            </w:r>
          </w:p>
        </w:tc>
        <w:tc>
          <w:tcPr>
            <w:tcW w:w="4876" w:type="dxa"/>
          </w:tcPr>
          <w:p w:rsidR="004D4C89" w:rsidRPr="006167F9" w:rsidRDefault="004D4C89" w:rsidP="00A90DD5">
            <w:pPr>
              <w:pStyle w:val="Normal6"/>
              <w:rPr>
                <w:b/>
                <w:i/>
              </w:rPr>
            </w:pPr>
            <w:r w:rsidRPr="006167F9">
              <w:rPr>
                <w:b/>
                <w:i/>
              </w:rPr>
              <w:t>Briše se.</w:t>
            </w:r>
          </w:p>
        </w:tc>
      </w:tr>
    </w:tbl>
    <w:p w:rsidR="004D4C89" w:rsidRPr="006167F9" w:rsidRDefault="004D4C89" w:rsidP="004D4C89">
      <w:pPr>
        <w:pStyle w:val="JustificationTitle"/>
      </w:pPr>
      <w:r w:rsidRPr="006167F9">
        <w:t>Obrazloženje</w:t>
      </w:r>
    </w:p>
    <w:p w:rsidR="00084A59" w:rsidRPr="006167F9" w:rsidRDefault="004D4C89" w:rsidP="004D4C89">
      <w:pPr>
        <w:pStyle w:val="Normal12Italic"/>
      </w:pPr>
      <w:r w:rsidRPr="006167F9">
        <w:t>Češka je svjesna strateške važnosti i osjetljivosti informacija u pogledu energetskog sektora. Sigurnost i zaštita informacija moraju se smatrati ključnim prioritetom u ublažavanju zlonamjernih napada. Opseg informacija koje se objavljuju mora se uvijek ozbiljno razmatrati u pogledu ranjivosti i strateške važnosti energetskog sektora.</w:t>
      </w:r>
    </w:p>
    <w:p w:rsidR="004D4C89" w:rsidRPr="006167F9" w:rsidRDefault="004D4C89" w:rsidP="004D4C89">
      <w:pPr>
        <w:pStyle w:val="AMNumberTabs"/>
        <w:keepNext/>
      </w:pPr>
      <w:r w:rsidRPr="006167F9">
        <w:t>Amandman</w:t>
      </w:r>
      <w:r w:rsidRPr="006167F9">
        <w:tab/>
      </w:r>
      <w:r w:rsidRPr="006167F9">
        <w:tab/>
        <w:t>40</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11. – stavak 1. – točka g</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D4C89" w:rsidRPr="006167F9" w:rsidTr="00A90DD5">
        <w:trPr>
          <w:jc w:val="center"/>
        </w:trPr>
        <w:tc>
          <w:tcPr>
            <w:tcW w:w="9752" w:type="dxa"/>
            <w:gridSpan w:val="2"/>
          </w:tcPr>
          <w:p w:rsidR="004D4C89" w:rsidRPr="006167F9" w:rsidRDefault="004D4C89" w:rsidP="00A90DD5">
            <w:pPr>
              <w:keepNext/>
            </w:pPr>
          </w:p>
        </w:tc>
      </w:tr>
      <w:tr w:rsidR="004D4C89" w:rsidRPr="006167F9" w:rsidTr="00A90DD5">
        <w:trPr>
          <w:jc w:val="center"/>
        </w:trPr>
        <w:tc>
          <w:tcPr>
            <w:tcW w:w="4876" w:type="dxa"/>
          </w:tcPr>
          <w:p w:rsidR="004D4C89" w:rsidRPr="006167F9" w:rsidRDefault="004D4C89" w:rsidP="00A90DD5">
            <w:pPr>
              <w:pStyle w:val="ColumnHeading"/>
              <w:keepNext/>
            </w:pPr>
            <w:r w:rsidRPr="006167F9">
              <w:t>Tekst koji je predložila Komisija</w:t>
            </w:r>
          </w:p>
        </w:tc>
        <w:tc>
          <w:tcPr>
            <w:tcW w:w="4876" w:type="dxa"/>
          </w:tcPr>
          <w:p w:rsidR="004D4C89" w:rsidRPr="006167F9" w:rsidRDefault="004D4C89" w:rsidP="00A90DD5">
            <w:pPr>
              <w:pStyle w:val="ColumnHeading"/>
              <w:keepNext/>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(g)</w:t>
            </w:r>
            <w:r w:rsidRPr="006167F9">
              <w:rPr>
                <w:b/>
                <w:i/>
              </w:rPr>
              <w:tab/>
            </w:r>
            <w:r w:rsidRPr="006167F9">
              <w:t>utvrđuju se moguće netržišne mjere koje se provode u elektroenergetskim kriznim situacijama, posebno utvrđujući pokretača tih mjera, uvjete i postupke za njihovu</w:t>
            </w:r>
            <w:r w:rsidRPr="006167F9">
              <w:rPr>
                <w:b/>
                <w:i/>
              </w:rPr>
              <w:t xml:space="preserve"> provedbu</w:t>
            </w:r>
            <w:r w:rsidRPr="006167F9">
              <w:t xml:space="preserve"> i navodeći na koji su način u skladu sa zahtjevima utvrđenima člankom 15.;</w:t>
            </w:r>
          </w:p>
        </w:tc>
        <w:tc>
          <w:tcPr>
            <w:tcW w:w="4876" w:type="dxa"/>
          </w:tcPr>
          <w:p w:rsidR="004D4C89" w:rsidRPr="006167F9" w:rsidRDefault="004D4C89" w:rsidP="00A90DD5">
            <w:pPr>
              <w:pStyle w:val="Normal6"/>
              <w:rPr>
                <w:b/>
                <w:i/>
                <w:szCs w:val="24"/>
              </w:rPr>
            </w:pPr>
            <w:r w:rsidRPr="006167F9">
              <w:t>(g)</w:t>
            </w:r>
            <w:r w:rsidRPr="006167F9">
              <w:rPr>
                <w:b/>
                <w:i/>
              </w:rPr>
              <w:tab/>
            </w:r>
            <w:r w:rsidRPr="006167F9">
              <w:t>utvrđuju se moguće netržišne mjere koje se provode u elektroenergetskim kriznim situacijama, posebno utvrđujući pokretača tih mjera, uvjete i postupke za njihovu</w:t>
            </w:r>
            <w:r w:rsidRPr="006167F9">
              <w:rPr>
                <w:b/>
                <w:i/>
              </w:rPr>
              <w:t xml:space="preserve"> primjenu (uključujući eventualne sustave naknade), procjenjujući stupanj u kojem je primjena takvih mjera nužna za rješavanje krize</w:t>
            </w:r>
            <w:r w:rsidRPr="006167F9">
              <w:t xml:space="preserve"> i navodeći na koji su način</w:t>
            </w:r>
            <w:r w:rsidRPr="006167F9">
              <w:rPr>
                <w:b/>
                <w:i/>
              </w:rPr>
              <w:t xml:space="preserve"> te mjere</w:t>
            </w:r>
            <w:r w:rsidRPr="006167F9">
              <w:t xml:space="preserve"> u skladu sa zahtjevima utvrđenima člankom 15.;</w:t>
            </w:r>
          </w:p>
        </w:tc>
      </w:tr>
    </w:tbl>
    <w:p w:rsidR="00084A59" w:rsidRPr="006167F9" w:rsidRDefault="00084A59" w:rsidP="004D4C89"/>
    <w:p w:rsidR="004D4C89" w:rsidRPr="006167F9" w:rsidRDefault="004D4C89" w:rsidP="004D4C89">
      <w:pPr>
        <w:pStyle w:val="AMNumberTabs"/>
      </w:pPr>
      <w:r w:rsidRPr="006167F9">
        <w:t>Amandman</w:t>
      </w:r>
      <w:r w:rsidRPr="006167F9">
        <w:tab/>
      </w:r>
      <w:r w:rsidRPr="006167F9">
        <w:tab/>
        <w:t>41</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11. – stavak 1. – točka h</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C89" w:rsidRPr="006167F9" w:rsidTr="00A90DD5">
        <w:trPr>
          <w:trHeight w:hRule="exact" w:val="240"/>
          <w:jc w:val="center"/>
        </w:trPr>
        <w:tc>
          <w:tcPr>
            <w:tcW w:w="9752" w:type="dxa"/>
            <w:gridSpan w:val="2"/>
          </w:tcPr>
          <w:p w:rsidR="004D4C89" w:rsidRPr="006167F9" w:rsidRDefault="004D4C89" w:rsidP="00A90DD5"/>
        </w:tc>
      </w:tr>
      <w:tr w:rsidR="004D4C89" w:rsidRPr="006167F9" w:rsidTr="00A90DD5">
        <w:trPr>
          <w:trHeight w:val="240"/>
          <w:jc w:val="center"/>
        </w:trPr>
        <w:tc>
          <w:tcPr>
            <w:tcW w:w="4876" w:type="dxa"/>
          </w:tcPr>
          <w:p w:rsidR="004D4C89" w:rsidRPr="006167F9" w:rsidRDefault="004D4C89" w:rsidP="00A90DD5">
            <w:pPr>
              <w:pStyle w:val="ColumnHeading"/>
            </w:pPr>
            <w:r w:rsidRPr="006167F9">
              <w:t>Tekst koji je predložila Komisija</w:t>
            </w:r>
          </w:p>
        </w:tc>
        <w:tc>
          <w:tcPr>
            <w:tcW w:w="4876" w:type="dxa"/>
          </w:tcPr>
          <w:p w:rsidR="004D4C89" w:rsidRPr="006167F9" w:rsidRDefault="004D4C89" w:rsidP="00A90DD5">
            <w:pPr>
              <w:pStyle w:val="ColumnHeading"/>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(h)</w:t>
            </w:r>
            <w:r w:rsidRPr="006167F9">
              <w:rPr>
                <w:b/>
                <w:i/>
              </w:rPr>
              <w:tab/>
            </w:r>
            <w:r w:rsidRPr="006167F9">
              <w:t>predviđa se detaljni plan za raspoređivanje opterećenja, određujući kada se opterećenje raspoređuje, u kojim okolnostima i koje se vrijednosti opterećenja raspoređuju</w:t>
            </w:r>
            <w:r w:rsidRPr="006167F9">
              <w:rPr>
                <w:b/>
                <w:i/>
              </w:rPr>
              <w:t>.</w:t>
            </w:r>
            <w:r w:rsidRPr="006167F9">
              <w:t xml:space="preserve"> Planom se posebno utvrđuje koje kategorije korisnika električne energije uživaju posebnu zaštitu od isključivanja i navodi se opravdanje za takvu zaštitu, osobito s obzirom na javnu</w:t>
            </w:r>
            <w:r w:rsidRPr="006167F9">
              <w:rPr>
                <w:b/>
                <w:i/>
              </w:rPr>
              <w:t xml:space="preserve"> i</w:t>
            </w:r>
            <w:r w:rsidRPr="006167F9">
              <w:t xml:space="preserve"> osobnu sigurnost;</w:t>
            </w:r>
          </w:p>
        </w:tc>
        <w:tc>
          <w:tcPr>
            <w:tcW w:w="4876" w:type="dxa"/>
          </w:tcPr>
          <w:p w:rsidR="004D4C89" w:rsidRPr="006167F9" w:rsidRDefault="004D4C89" w:rsidP="00A90DD5">
            <w:pPr>
              <w:pStyle w:val="Normal6"/>
              <w:rPr>
                <w:b/>
                <w:i/>
              </w:rPr>
            </w:pPr>
            <w:r w:rsidRPr="006167F9">
              <w:t>(h)</w:t>
            </w:r>
            <w:r w:rsidRPr="006167F9">
              <w:rPr>
                <w:b/>
                <w:i/>
              </w:rPr>
              <w:tab/>
            </w:r>
            <w:r w:rsidRPr="006167F9">
              <w:t>predviđa se detaljni plan za raspoređivanje opterećenja, određujući kada se opterećenje raspoređuje, u kojim okolnostima i koje se vrijednosti opterećenja raspoređuju</w:t>
            </w:r>
            <w:r w:rsidRPr="006167F9">
              <w:rPr>
                <w:b/>
                <w:i/>
              </w:rPr>
              <w:t>;</w:t>
            </w:r>
            <w:r w:rsidRPr="006167F9">
              <w:t xml:space="preserve"> planom se posebno utvrđuje koje kategorije korisnika električne energije uživaju posebnu zaštitu od isključivanja i navodi se opravdanje za takvu zaštitu, osobito s obzirom na javnu</w:t>
            </w:r>
            <w:r w:rsidRPr="006167F9">
              <w:rPr>
                <w:b/>
                <w:i/>
              </w:rPr>
              <w:t xml:space="preserve"> sigurnost,</w:t>
            </w:r>
            <w:r w:rsidRPr="006167F9">
              <w:t xml:space="preserve"> osobnu sigurnost</w:t>
            </w:r>
            <w:r w:rsidRPr="006167F9">
              <w:rPr>
                <w:b/>
                <w:i/>
              </w:rPr>
              <w:t xml:space="preserve"> i kontinuitet ključnih javnih usluga</w:t>
            </w:r>
            <w:r w:rsidRPr="006167F9">
              <w:t>;</w:t>
            </w:r>
          </w:p>
        </w:tc>
      </w:tr>
    </w:tbl>
    <w:p w:rsidR="004D4C89" w:rsidRPr="006167F9" w:rsidRDefault="004D4C89" w:rsidP="004D4C89"/>
    <w:p w:rsidR="004D4C89" w:rsidRPr="006167F9" w:rsidRDefault="004D4C89" w:rsidP="004D4C89">
      <w:pPr>
        <w:pStyle w:val="AMNumberTabs"/>
      </w:pPr>
      <w:r w:rsidRPr="006167F9">
        <w:t>Amandman</w:t>
      </w:r>
      <w:r w:rsidRPr="006167F9">
        <w:tab/>
      </w:r>
      <w:r w:rsidRPr="006167F9">
        <w:tab/>
        <w:t>42</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11. – točka 1. – podtočka ia (nova)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C89" w:rsidRPr="006167F9" w:rsidTr="00A90DD5">
        <w:trPr>
          <w:trHeight w:hRule="exact" w:val="240"/>
          <w:jc w:val="center"/>
        </w:trPr>
        <w:tc>
          <w:tcPr>
            <w:tcW w:w="9752" w:type="dxa"/>
            <w:gridSpan w:val="2"/>
          </w:tcPr>
          <w:p w:rsidR="004D4C89" w:rsidRPr="006167F9" w:rsidRDefault="004D4C89" w:rsidP="00A90DD5"/>
        </w:tc>
      </w:tr>
      <w:tr w:rsidR="004D4C89" w:rsidRPr="006167F9" w:rsidTr="00A90DD5">
        <w:trPr>
          <w:trHeight w:val="240"/>
          <w:jc w:val="center"/>
        </w:trPr>
        <w:tc>
          <w:tcPr>
            <w:tcW w:w="4876" w:type="dxa"/>
          </w:tcPr>
          <w:p w:rsidR="004D4C89" w:rsidRPr="006167F9" w:rsidRDefault="004D4C89" w:rsidP="00A90DD5">
            <w:pPr>
              <w:pStyle w:val="ColumnHeading"/>
            </w:pPr>
            <w:r w:rsidRPr="006167F9">
              <w:t>Tekst koji je predložila Komisija</w:t>
            </w:r>
          </w:p>
        </w:tc>
        <w:tc>
          <w:tcPr>
            <w:tcW w:w="4876" w:type="dxa"/>
          </w:tcPr>
          <w:p w:rsidR="004D4C89" w:rsidRPr="006167F9" w:rsidRDefault="004D4C89" w:rsidP="00A90DD5">
            <w:pPr>
              <w:pStyle w:val="ColumnHeading"/>
            </w:pPr>
            <w:r w:rsidRPr="006167F9">
              <w:t>Izmjena</w:t>
            </w:r>
          </w:p>
        </w:tc>
      </w:tr>
      <w:tr w:rsidR="004D4C89" w:rsidRPr="006167F9" w:rsidTr="00A90DD5">
        <w:trPr>
          <w:jc w:val="center"/>
        </w:trPr>
        <w:tc>
          <w:tcPr>
            <w:tcW w:w="4876" w:type="dxa"/>
          </w:tcPr>
          <w:p w:rsidR="004D4C89" w:rsidRPr="006167F9" w:rsidRDefault="004D4C89" w:rsidP="00A90DD5">
            <w:pPr>
              <w:pStyle w:val="Normal6"/>
            </w:pPr>
          </w:p>
        </w:tc>
        <w:tc>
          <w:tcPr>
            <w:tcW w:w="4876" w:type="dxa"/>
          </w:tcPr>
          <w:p w:rsidR="004D4C89" w:rsidRPr="006167F9" w:rsidRDefault="004D4C89" w:rsidP="00A90DD5">
            <w:pPr>
              <w:pStyle w:val="Normal6"/>
              <w:rPr>
                <w:b/>
                <w:i/>
              </w:rPr>
            </w:pPr>
            <w:r w:rsidRPr="006167F9">
              <w:rPr>
                <w:b/>
                <w:i/>
              </w:rPr>
              <w:t>(ia)</w:t>
            </w:r>
            <w:r w:rsidRPr="006167F9">
              <w:rPr>
                <w:b/>
                <w:i/>
              </w:rPr>
              <w:tab/>
              <w:t>opisuju se nacionalne mjere potrebne za primjenu i provedbu regionalnih mjera dogovorenih u skladu s člankom 12.;</w:t>
            </w:r>
          </w:p>
        </w:tc>
      </w:tr>
    </w:tbl>
    <w:p w:rsidR="004D4C89" w:rsidRPr="006167F9" w:rsidRDefault="004D4C89" w:rsidP="004D4C89"/>
    <w:p w:rsidR="004D4C89" w:rsidRPr="006167F9" w:rsidRDefault="004D4C89" w:rsidP="004D4C89">
      <w:pPr>
        <w:pStyle w:val="AMNumberTabs"/>
      </w:pPr>
      <w:r w:rsidRPr="006167F9">
        <w:t>Amandman</w:t>
      </w:r>
      <w:r w:rsidRPr="006167F9">
        <w:tab/>
      </w:r>
      <w:r w:rsidRPr="006167F9">
        <w:tab/>
        <w:t>43</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11. – točka 1. – podtočka ib (nova)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C89" w:rsidRPr="006167F9" w:rsidTr="00A90DD5">
        <w:trPr>
          <w:trHeight w:hRule="exact" w:val="240"/>
          <w:jc w:val="center"/>
        </w:trPr>
        <w:tc>
          <w:tcPr>
            <w:tcW w:w="9752" w:type="dxa"/>
            <w:gridSpan w:val="2"/>
          </w:tcPr>
          <w:p w:rsidR="004D4C89" w:rsidRPr="006167F9" w:rsidRDefault="004D4C89" w:rsidP="00A90DD5"/>
        </w:tc>
      </w:tr>
      <w:tr w:rsidR="004D4C89" w:rsidRPr="006167F9" w:rsidTr="00A90DD5">
        <w:trPr>
          <w:trHeight w:val="240"/>
          <w:jc w:val="center"/>
        </w:trPr>
        <w:tc>
          <w:tcPr>
            <w:tcW w:w="4876" w:type="dxa"/>
          </w:tcPr>
          <w:p w:rsidR="004D4C89" w:rsidRPr="006167F9" w:rsidRDefault="004D4C89" w:rsidP="00A90DD5">
            <w:pPr>
              <w:pStyle w:val="ColumnHeading"/>
            </w:pPr>
            <w:r w:rsidRPr="006167F9">
              <w:t>Tekst koji je predložila Komisija</w:t>
            </w:r>
          </w:p>
        </w:tc>
        <w:tc>
          <w:tcPr>
            <w:tcW w:w="4876" w:type="dxa"/>
          </w:tcPr>
          <w:p w:rsidR="004D4C89" w:rsidRPr="006167F9" w:rsidRDefault="004D4C89" w:rsidP="00A90DD5">
            <w:pPr>
              <w:pStyle w:val="ColumnHeading"/>
            </w:pPr>
            <w:r w:rsidRPr="006167F9">
              <w:t>Izmjena</w:t>
            </w:r>
          </w:p>
        </w:tc>
      </w:tr>
      <w:tr w:rsidR="004D4C89" w:rsidRPr="006167F9" w:rsidTr="00A90DD5">
        <w:trPr>
          <w:jc w:val="center"/>
        </w:trPr>
        <w:tc>
          <w:tcPr>
            <w:tcW w:w="4876" w:type="dxa"/>
          </w:tcPr>
          <w:p w:rsidR="004D4C89" w:rsidRPr="006167F9" w:rsidRDefault="004D4C89" w:rsidP="00A90DD5">
            <w:pPr>
              <w:pStyle w:val="Normal6"/>
            </w:pPr>
          </w:p>
        </w:tc>
        <w:tc>
          <w:tcPr>
            <w:tcW w:w="4876" w:type="dxa"/>
          </w:tcPr>
          <w:p w:rsidR="004D4C89" w:rsidRPr="006167F9" w:rsidRDefault="004D4C89" w:rsidP="00A90DD5">
            <w:pPr>
              <w:pStyle w:val="Normal6"/>
              <w:rPr>
                <w:b/>
                <w:i/>
              </w:rPr>
            </w:pPr>
            <w:r w:rsidRPr="006167F9">
              <w:rPr>
                <w:b/>
                <w:i/>
              </w:rPr>
              <w:t>(ib)</w:t>
            </w:r>
            <w:r w:rsidRPr="006167F9">
              <w:rPr>
                <w:b/>
                <w:i/>
              </w:rPr>
              <w:tab/>
              <w:t>uzimaju se u obzir učinci utvrđenih mjera na okoliš;</w:t>
            </w:r>
          </w:p>
        </w:tc>
      </w:tr>
    </w:tbl>
    <w:p w:rsidR="00084A59" w:rsidRPr="006167F9" w:rsidRDefault="00084A59" w:rsidP="004D4C89"/>
    <w:p w:rsidR="004D4C89" w:rsidRPr="006167F9" w:rsidRDefault="004D4C89" w:rsidP="004D4C89">
      <w:pPr>
        <w:pStyle w:val="AMNumberTabs"/>
      </w:pPr>
      <w:r w:rsidRPr="006167F9">
        <w:t>Amandman</w:t>
      </w:r>
      <w:r w:rsidRPr="006167F9">
        <w:tab/>
      </w:r>
      <w:r w:rsidRPr="006167F9">
        <w:tab/>
        <w:t>44</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12. – stavak 1.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C89" w:rsidRPr="006167F9" w:rsidTr="00A90DD5">
        <w:trPr>
          <w:trHeight w:hRule="exact" w:val="240"/>
          <w:jc w:val="center"/>
        </w:trPr>
        <w:tc>
          <w:tcPr>
            <w:tcW w:w="9752" w:type="dxa"/>
            <w:gridSpan w:val="2"/>
          </w:tcPr>
          <w:p w:rsidR="004D4C89" w:rsidRPr="006167F9" w:rsidRDefault="004D4C89" w:rsidP="00A90DD5"/>
        </w:tc>
      </w:tr>
      <w:tr w:rsidR="004D4C89" w:rsidRPr="006167F9" w:rsidTr="00A90DD5">
        <w:trPr>
          <w:trHeight w:val="240"/>
          <w:jc w:val="center"/>
        </w:trPr>
        <w:tc>
          <w:tcPr>
            <w:tcW w:w="4876" w:type="dxa"/>
          </w:tcPr>
          <w:p w:rsidR="004D4C89" w:rsidRPr="006167F9" w:rsidRDefault="004D4C89" w:rsidP="00A90DD5">
            <w:pPr>
              <w:pStyle w:val="ColumnHeading"/>
            </w:pPr>
            <w:r w:rsidRPr="006167F9">
              <w:t>Tekst koji je predložila Komisija</w:t>
            </w:r>
          </w:p>
        </w:tc>
        <w:tc>
          <w:tcPr>
            <w:tcW w:w="4876" w:type="dxa"/>
          </w:tcPr>
          <w:p w:rsidR="004D4C89" w:rsidRPr="006167F9" w:rsidRDefault="004D4C89" w:rsidP="00A90DD5">
            <w:pPr>
              <w:pStyle w:val="ColumnHeading"/>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(a)</w:t>
            </w:r>
            <w:r w:rsidRPr="006167F9">
              <w:rPr>
                <w:b/>
                <w:i/>
              </w:rPr>
              <w:tab/>
            </w:r>
            <w:r w:rsidRPr="006167F9">
              <w:t>određivanje regionalnog kriznog</w:t>
            </w:r>
            <w:r w:rsidRPr="006167F9">
              <w:rPr>
                <w:b/>
                <w:i/>
              </w:rPr>
              <w:t xml:space="preserve"> upravitelja</w:t>
            </w:r>
            <w:r w:rsidRPr="006167F9">
              <w:t xml:space="preserve"> ili kriznog tima;</w:t>
            </w:r>
          </w:p>
        </w:tc>
        <w:tc>
          <w:tcPr>
            <w:tcW w:w="4876" w:type="dxa"/>
          </w:tcPr>
          <w:p w:rsidR="004D4C89" w:rsidRPr="006167F9" w:rsidRDefault="004D4C89" w:rsidP="00A90DD5">
            <w:pPr>
              <w:pStyle w:val="Normal6"/>
              <w:rPr>
                <w:b/>
                <w:i/>
              </w:rPr>
            </w:pPr>
            <w:r w:rsidRPr="006167F9">
              <w:t>(a)</w:t>
            </w:r>
            <w:r w:rsidRPr="006167F9">
              <w:rPr>
                <w:b/>
                <w:i/>
              </w:rPr>
              <w:tab/>
            </w:r>
            <w:r w:rsidRPr="006167F9">
              <w:t>određivanje regionalnog kriznog</w:t>
            </w:r>
            <w:r w:rsidRPr="006167F9">
              <w:rPr>
                <w:b/>
                <w:i/>
              </w:rPr>
              <w:t xml:space="preserve"> koordinatora</w:t>
            </w:r>
            <w:r w:rsidRPr="006167F9">
              <w:t xml:space="preserve"> ili kriznog tima;</w:t>
            </w:r>
          </w:p>
        </w:tc>
      </w:tr>
    </w:tbl>
    <w:p w:rsidR="004D4C89" w:rsidRPr="006167F9" w:rsidRDefault="004D4C89" w:rsidP="004D4C89">
      <w:pPr>
        <w:pStyle w:val="JustificationTitle"/>
      </w:pPr>
      <w:r w:rsidRPr="006167F9">
        <w:t>Obrazloženje</w:t>
      </w:r>
    </w:p>
    <w:p w:rsidR="00084A59" w:rsidRPr="006167F9" w:rsidRDefault="004D4C89" w:rsidP="004D4C89">
      <w:pPr>
        <w:pStyle w:val="Normal12Italic"/>
      </w:pPr>
      <w:r w:rsidRPr="006167F9">
        <w:t>„Koordinator” je bolji pojam, ali njegova uloga trebat će se definirati.</w:t>
      </w:r>
    </w:p>
    <w:p w:rsidR="004D4C89" w:rsidRPr="006167F9" w:rsidRDefault="004D4C89" w:rsidP="004D4C89">
      <w:pPr>
        <w:pStyle w:val="AMNumberTabs"/>
      </w:pPr>
      <w:r w:rsidRPr="006167F9">
        <w:t>Amandman</w:t>
      </w:r>
      <w:r w:rsidRPr="006167F9">
        <w:tab/>
      </w:r>
      <w:r w:rsidRPr="006167F9">
        <w:tab/>
        <w:t>45</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12. – stavak 1.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C89" w:rsidRPr="006167F9" w:rsidTr="00A90DD5">
        <w:trPr>
          <w:trHeight w:hRule="exact" w:val="240"/>
          <w:jc w:val="center"/>
        </w:trPr>
        <w:tc>
          <w:tcPr>
            <w:tcW w:w="9752" w:type="dxa"/>
            <w:gridSpan w:val="2"/>
          </w:tcPr>
          <w:p w:rsidR="004D4C89" w:rsidRPr="006167F9" w:rsidRDefault="004D4C89" w:rsidP="00A90DD5"/>
        </w:tc>
      </w:tr>
      <w:tr w:rsidR="004D4C89" w:rsidRPr="006167F9" w:rsidTr="00A90DD5">
        <w:trPr>
          <w:trHeight w:val="240"/>
          <w:jc w:val="center"/>
        </w:trPr>
        <w:tc>
          <w:tcPr>
            <w:tcW w:w="4876" w:type="dxa"/>
          </w:tcPr>
          <w:p w:rsidR="004D4C89" w:rsidRPr="006167F9" w:rsidRDefault="004D4C89" w:rsidP="00A90DD5">
            <w:pPr>
              <w:pStyle w:val="ColumnHeading"/>
            </w:pPr>
            <w:r w:rsidRPr="006167F9">
              <w:t>Tekst koji je predložila Komisija</w:t>
            </w:r>
          </w:p>
        </w:tc>
        <w:tc>
          <w:tcPr>
            <w:tcW w:w="4876" w:type="dxa"/>
          </w:tcPr>
          <w:p w:rsidR="004D4C89" w:rsidRPr="006167F9" w:rsidRDefault="004D4C89" w:rsidP="00A90DD5">
            <w:pPr>
              <w:pStyle w:val="ColumnHeading"/>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(c)</w:t>
            </w:r>
            <w:r w:rsidRPr="006167F9">
              <w:rPr>
                <w:b/>
                <w:i/>
              </w:rPr>
              <w:tab/>
            </w:r>
            <w:r w:rsidRPr="006167F9">
              <w:t>mjere za ublažavanje učinka krize, uključujući i slučajeve istodobnih kriznih situacija</w:t>
            </w:r>
            <w:r w:rsidRPr="006167F9">
              <w:rPr>
                <w:b/>
                <w:i/>
              </w:rPr>
              <w:t>.</w:t>
            </w:r>
            <w:r w:rsidRPr="006167F9">
              <w:t xml:space="preserve"> Te mjere uključuju regionalne planove za raspoređivanje opterećenja i tehničke, pravne i financijske aranžmane u vezi s uzajamnom pomoći kojima se osigurava opskrba električnom energijom tamo gdje je najpotrebnija</w:t>
            </w:r>
            <w:r w:rsidRPr="006167F9">
              <w:rPr>
                <w:b/>
                <w:i/>
              </w:rPr>
              <w:t xml:space="preserve"> i na optimalan način.</w:t>
            </w:r>
            <w:r w:rsidRPr="006167F9">
              <w:t xml:space="preserve"> U tim aranžmanima, među ostalim,</w:t>
            </w:r>
            <w:r w:rsidRPr="006167F9">
              <w:rPr>
                <w:b/>
                <w:i/>
              </w:rPr>
              <w:t xml:space="preserve"> utvrđuje</w:t>
            </w:r>
            <w:r w:rsidRPr="006167F9">
              <w:t xml:space="preserve"> se pokretač pomoći, formula za njezin izračun ili njezin iznos, strane koje plaćaju i koje primaju pomoć i pravila o arbitraži;</w:t>
            </w:r>
          </w:p>
        </w:tc>
        <w:tc>
          <w:tcPr>
            <w:tcW w:w="4876" w:type="dxa"/>
          </w:tcPr>
          <w:p w:rsidR="004D4C89" w:rsidRPr="006167F9" w:rsidRDefault="004D4C89" w:rsidP="00A90DD5">
            <w:pPr>
              <w:pStyle w:val="Normal6"/>
              <w:rPr>
                <w:b/>
                <w:i/>
              </w:rPr>
            </w:pPr>
            <w:r w:rsidRPr="006167F9">
              <w:t>(c)</w:t>
            </w:r>
            <w:r w:rsidRPr="006167F9">
              <w:rPr>
                <w:b/>
                <w:i/>
              </w:rPr>
              <w:tab/>
            </w:r>
            <w:r w:rsidRPr="006167F9">
              <w:t>mjere za ublažavanje učinka krize, uključujući i slučajeve istodobnih kriznih situacija</w:t>
            </w:r>
            <w:r w:rsidRPr="006167F9">
              <w:rPr>
                <w:b/>
                <w:i/>
              </w:rPr>
              <w:t>;</w:t>
            </w:r>
            <w:r w:rsidRPr="006167F9">
              <w:t xml:space="preserve"> te mjere uključuju regionalne planove za raspoređivanje opterećenja i tehničke, pravne i financijske aranžmane u vezi s uzajamnom pomoći kojima se osigurava</w:t>
            </w:r>
            <w:r w:rsidRPr="006167F9">
              <w:rPr>
                <w:b/>
                <w:i/>
              </w:rPr>
              <w:t xml:space="preserve"> optimalna</w:t>
            </w:r>
            <w:r w:rsidRPr="006167F9">
              <w:t xml:space="preserve"> opskrba električnom energijom tamo gdje je najpotrebnija</w:t>
            </w:r>
            <w:r w:rsidRPr="006167F9">
              <w:rPr>
                <w:b/>
                <w:i/>
              </w:rPr>
              <w:t>;</w:t>
            </w:r>
            <w:r w:rsidRPr="006167F9">
              <w:t xml:space="preserve"> u tim aranžmanima, među ostalim,</w:t>
            </w:r>
            <w:r w:rsidRPr="006167F9">
              <w:rPr>
                <w:b/>
                <w:i/>
              </w:rPr>
              <w:t xml:space="preserve"> utvrđuju</w:t>
            </w:r>
            <w:r w:rsidRPr="006167F9">
              <w:t xml:space="preserve"> se pokretač pomoći, formula za njezin izračun ili njezin iznos, strane koje plaćaju i koje primaju pomoć i pravila o arbitraži;</w:t>
            </w:r>
            <w:r w:rsidRPr="006167F9">
              <w:rPr>
                <w:b/>
                <w:i/>
              </w:rPr>
              <w:t xml:space="preserve"> mehanizam naknade za pogođene subjekte također se definira prema načelima utvrđenima u skladu s člankom 7.a;</w:t>
            </w:r>
          </w:p>
        </w:tc>
      </w:tr>
    </w:tbl>
    <w:p w:rsidR="004D4C89" w:rsidRPr="006167F9" w:rsidRDefault="004D4C89" w:rsidP="004D4C89">
      <w:pPr>
        <w:pStyle w:val="JustificationTitle"/>
      </w:pPr>
      <w:r w:rsidRPr="006167F9">
        <w:t>Obrazloženje</w:t>
      </w:r>
    </w:p>
    <w:p w:rsidR="00084A59" w:rsidRPr="006167F9" w:rsidRDefault="004D4C89" w:rsidP="004D4C89">
      <w:pPr>
        <w:pStyle w:val="Normal12Italic"/>
      </w:pPr>
      <w:r w:rsidRPr="006167F9">
        <w:t>Radi izbjegavanja nesuglasica u pogledu naknade troškova, načela takve naknade troškova treba utvrditi neutralna agencija na razini EU-a, tj. Agencija za suradnju energetskih regulatora (ACER).</w:t>
      </w:r>
    </w:p>
    <w:p w:rsidR="004D4C89" w:rsidRPr="006167F9" w:rsidRDefault="004D4C89" w:rsidP="004D4C89">
      <w:pPr>
        <w:pStyle w:val="AMNumberTabs"/>
        <w:keepNext/>
      </w:pPr>
      <w:r w:rsidRPr="006167F9">
        <w:t>Amandman</w:t>
      </w:r>
      <w:r w:rsidRPr="006167F9">
        <w:tab/>
      </w:r>
      <w:r w:rsidRPr="006167F9">
        <w:tab/>
        <w:t>46</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12. – stavak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D4C89" w:rsidRPr="006167F9" w:rsidTr="00A90DD5">
        <w:trPr>
          <w:jc w:val="center"/>
        </w:trPr>
        <w:tc>
          <w:tcPr>
            <w:tcW w:w="9752" w:type="dxa"/>
            <w:gridSpan w:val="2"/>
          </w:tcPr>
          <w:p w:rsidR="004D4C89" w:rsidRPr="006167F9" w:rsidRDefault="004D4C89" w:rsidP="00A90DD5">
            <w:pPr>
              <w:keepNext/>
            </w:pPr>
          </w:p>
        </w:tc>
      </w:tr>
      <w:tr w:rsidR="004D4C89" w:rsidRPr="006167F9" w:rsidTr="00A90DD5">
        <w:trPr>
          <w:jc w:val="center"/>
        </w:trPr>
        <w:tc>
          <w:tcPr>
            <w:tcW w:w="4876" w:type="dxa"/>
          </w:tcPr>
          <w:p w:rsidR="004D4C89" w:rsidRPr="006167F9" w:rsidRDefault="004D4C89" w:rsidP="00A90DD5">
            <w:pPr>
              <w:pStyle w:val="ColumnHeading"/>
              <w:keepNext/>
            </w:pPr>
            <w:r w:rsidRPr="006167F9">
              <w:t>Tekst koji je predložila Komisija</w:t>
            </w:r>
          </w:p>
        </w:tc>
        <w:tc>
          <w:tcPr>
            <w:tcW w:w="4876" w:type="dxa"/>
          </w:tcPr>
          <w:p w:rsidR="004D4C89" w:rsidRPr="006167F9" w:rsidRDefault="004D4C89" w:rsidP="00A90DD5">
            <w:pPr>
              <w:pStyle w:val="ColumnHeading"/>
              <w:keepNext/>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2.</w:t>
            </w:r>
            <w:r w:rsidRPr="006167F9">
              <w:rPr>
                <w:b/>
                <w:i/>
              </w:rPr>
              <w:tab/>
            </w:r>
            <w:r w:rsidRPr="006167F9">
              <w:t>Regionalne mjere koje se uključuju u plan usuglašavaju nadležna tijela država članica u određenoj regiji. Najmanje osam mjeseci prije isteka roka za donošenje ili ažuriranje plana nadležna tijela obavješćuju Koordinacijsku skupinu za električnu energiju o postignutim dogovorima. Ako određena nadležna tijela nisu uspjela postići dogovor, o razlozima njegova nepostizanja obavješćuju Komisiju. U takvom slučaju Komisija</w:t>
            </w:r>
            <w:r w:rsidRPr="006167F9">
              <w:rPr>
                <w:b/>
                <w:i/>
              </w:rPr>
              <w:t xml:space="preserve"> može zatražiti od Agencije da olakša</w:t>
            </w:r>
            <w:r w:rsidRPr="006167F9">
              <w:t xml:space="preserve"> postizanje dogovora</w:t>
            </w:r>
            <w:r w:rsidRPr="006167F9">
              <w:rPr>
                <w:b/>
                <w:i/>
              </w:rPr>
              <w:t xml:space="preserve"> u savjetovanju s ENTSO-E-om</w:t>
            </w:r>
            <w:r w:rsidRPr="006167F9">
              <w:t>.</w:t>
            </w:r>
          </w:p>
        </w:tc>
        <w:tc>
          <w:tcPr>
            <w:tcW w:w="4876" w:type="dxa"/>
          </w:tcPr>
          <w:p w:rsidR="004D4C89" w:rsidRPr="006167F9" w:rsidRDefault="004D4C89" w:rsidP="00A90DD5">
            <w:pPr>
              <w:pStyle w:val="Normal6"/>
              <w:rPr>
                <w:b/>
                <w:i/>
                <w:szCs w:val="24"/>
              </w:rPr>
            </w:pPr>
            <w:r w:rsidRPr="006167F9">
              <w:t>2.</w:t>
            </w:r>
            <w:r w:rsidRPr="006167F9">
              <w:rPr>
                <w:b/>
                <w:i/>
              </w:rPr>
              <w:tab/>
            </w:r>
            <w:r w:rsidRPr="006167F9">
              <w:t>Regionalne mjere koje se uključuju u plan usuglašavaju nadležna tijela država članica u određenoj regiji</w:t>
            </w:r>
            <w:r w:rsidRPr="006167F9">
              <w:rPr>
                <w:b/>
                <w:i/>
              </w:rPr>
              <w:t xml:space="preserve"> uz savjetovanje s relevantnim regionalnim koordinacijskim centrima i to prije njihova uvrštenja u pojedinačne nacionalne planove</w:t>
            </w:r>
            <w:r w:rsidRPr="006167F9">
              <w:t>.</w:t>
            </w:r>
            <w:r w:rsidRPr="006167F9">
              <w:rPr>
                <w:b/>
                <w:i/>
              </w:rPr>
              <w:t xml:space="preserve"> Države članice mogu tražiti od Komisije da ima opću ulogu posredovanja u pripremi takvog dogovora. Komisija od Agencije i ENTSO-E-a može zatražiti da pružaju tehničku pomoć dotičnoj državi članici kako bi se olakšalo postizanje dogovora.</w:t>
            </w:r>
            <w:r w:rsidRPr="006167F9">
              <w:t xml:space="preserve"> Najmanje osam mjeseci prije isteka roka za donošenje ili ažuriranje plana nadležna tijela obavješćuju Koordinacijsku skupinu za električnu energiju o postignutim dogovorima</w:t>
            </w:r>
            <w:r w:rsidRPr="006167F9">
              <w:rPr>
                <w:b/>
                <w:i/>
              </w:rPr>
              <w:t xml:space="preserve"> i o svim eventualnim oblicima makroregionalne suradnje, u skladu s Uredbom (EU) </w:t>
            </w:r>
            <w:r w:rsidRPr="006167F9">
              <w:t>.</w:t>
            </w:r>
            <w:r w:rsidRPr="006167F9">
              <w:rPr>
                <w:b/>
                <w:i/>
              </w:rPr>
              <w:t>.. [predložena uredba o upravljanju energetskom unijom].</w:t>
            </w:r>
            <w:r w:rsidRPr="006167F9">
              <w:t xml:space="preserve"> Ako određena nadležna tijela nisu uspjela postići dogovor, o razlozima njegova nepostizanja obavješćuju Komisiju. U takvom slučaju Komisija</w:t>
            </w:r>
            <w:r w:rsidRPr="006167F9">
              <w:rPr>
                <w:b/>
                <w:i/>
              </w:rPr>
              <w:t xml:space="preserve"> predlaže mehanizam suradnje za</w:t>
            </w:r>
            <w:r w:rsidRPr="006167F9">
              <w:t xml:space="preserve"> postizanje dogovora</w:t>
            </w:r>
            <w:r w:rsidRPr="006167F9">
              <w:rPr>
                <w:b/>
                <w:i/>
              </w:rPr>
              <w:t xml:space="preserve"> o regionalnim mjerama</w:t>
            </w:r>
            <w:r w:rsidRPr="006167F9">
              <w:t>.</w:t>
            </w:r>
          </w:p>
        </w:tc>
      </w:tr>
    </w:tbl>
    <w:p w:rsidR="004D4C89" w:rsidRPr="006167F9" w:rsidRDefault="004D4C89" w:rsidP="004D4C89"/>
    <w:p w:rsidR="004D4C89" w:rsidRPr="006167F9" w:rsidRDefault="004D4C89" w:rsidP="004D4C89">
      <w:pPr>
        <w:pStyle w:val="AMNumberTabs"/>
        <w:keepNext/>
      </w:pPr>
      <w:r w:rsidRPr="006167F9">
        <w:t>Amandman</w:t>
      </w:r>
      <w:r w:rsidRPr="006167F9">
        <w:tab/>
      </w:r>
      <w:r w:rsidRPr="006167F9">
        <w:tab/>
        <w:t>47</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12. – stavak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C89" w:rsidRPr="006167F9" w:rsidTr="00A90DD5">
        <w:trPr>
          <w:jc w:val="center"/>
        </w:trPr>
        <w:tc>
          <w:tcPr>
            <w:tcW w:w="9752" w:type="dxa"/>
            <w:gridSpan w:val="2"/>
          </w:tcPr>
          <w:p w:rsidR="004D4C89" w:rsidRPr="006167F9" w:rsidRDefault="004D4C89" w:rsidP="00A90DD5">
            <w:pPr>
              <w:keepNext/>
            </w:pPr>
          </w:p>
        </w:tc>
      </w:tr>
      <w:tr w:rsidR="004D4C89" w:rsidRPr="006167F9" w:rsidTr="00A90DD5">
        <w:trPr>
          <w:jc w:val="center"/>
        </w:trPr>
        <w:tc>
          <w:tcPr>
            <w:tcW w:w="4876" w:type="dxa"/>
            <w:hideMark/>
          </w:tcPr>
          <w:p w:rsidR="004D4C89" w:rsidRPr="006167F9" w:rsidRDefault="004D4C89" w:rsidP="00A90DD5">
            <w:pPr>
              <w:pStyle w:val="ColumnHeading"/>
              <w:keepNext/>
            </w:pPr>
            <w:r w:rsidRPr="006167F9">
              <w:t>Tekst koji je predložila Komisija</w:t>
            </w:r>
          </w:p>
        </w:tc>
        <w:tc>
          <w:tcPr>
            <w:tcW w:w="4876" w:type="dxa"/>
            <w:hideMark/>
          </w:tcPr>
          <w:p w:rsidR="004D4C89" w:rsidRPr="006167F9" w:rsidRDefault="004D4C89" w:rsidP="00A90DD5">
            <w:pPr>
              <w:pStyle w:val="ColumnHeading"/>
              <w:keepNext/>
            </w:pPr>
            <w:r w:rsidRPr="006167F9">
              <w:t>Izmjena</w:t>
            </w:r>
          </w:p>
        </w:tc>
      </w:tr>
      <w:tr w:rsidR="004D4C89" w:rsidRPr="006167F9" w:rsidTr="00A90DD5">
        <w:trPr>
          <w:jc w:val="center"/>
        </w:trPr>
        <w:tc>
          <w:tcPr>
            <w:tcW w:w="4876" w:type="dxa"/>
            <w:hideMark/>
          </w:tcPr>
          <w:p w:rsidR="004D4C89" w:rsidRPr="006167F9" w:rsidRDefault="004D4C89" w:rsidP="00A90DD5">
            <w:pPr>
              <w:pStyle w:val="Normal6"/>
              <w:rPr>
                <w:b/>
                <w:i/>
              </w:rPr>
            </w:pPr>
            <w:r w:rsidRPr="006167F9">
              <w:t>3.</w:t>
            </w:r>
            <w:r w:rsidRPr="006167F9">
              <w:rPr>
                <w:b/>
                <w:i/>
              </w:rPr>
              <w:tab/>
            </w:r>
            <w:r w:rsidRPr="006167F9">
              <w:t>U suradnji s regionalnim operativnim središtima i uz uključenost odgovarajućih dionika, nadležna tijela svake regije provode godišnje krizne</w:t>
            </w:r>
            <w:r w:rsidRPr="006167F9">
              <w:rPr>
                <w:b/>
                <w:i/>
              </w:rPr>
              <w:t xml:space="preserve"> simulacije</w:t>
            </w:r>
            <w:r w:rsidRPr="006167F9">
              <w:t>, osobito testiranje komunikacijskih mehanizama navedenih u stavku 1. točki</w:t>
            </w:r>
            <w:r w:rsidRPr="006167F9">
              <w:rPr>
                <w:b/>
                <w:i/>
              </w:rPr>
              <w:t xml:space="preserve"> </w:t>
            </w:r>
            <w:r w:rsidRPr="006167F9">
              <w:t>(b).</w:t>
            </w:r>
          </w:p>
        </w:tc>
        <w:tc>
          <w:tcPr>
            <w:tcW w:w="4876" w:type="dxa"/>
            <w:hideMark/>
          </w:tcPr>
          <w:p w:rsidR="004D4C89" w:rsidRPr="006167F9" w:rsidRDefault="004D4C89" w:rsidP="00A90DD5">
            <w:pPr>
              <w:pStyle w:val="Normal6"/>
              <w:rPr>
                <w:b/>
                <w:i/>
                <w:szCs w:val="24"/>
              </w:rPr>
            </w:pPr>
            <w:r w:rsidRPr="006167F9">
              <w:t>3.</w:t>
            </w:r>
            <w:r w:rsidRPr="006167F9">
              <w:rPr>
                <w:b/>
                <w:i/>
              </w:rPr>
              <w:tab/>
            </w:r>
            <w:r w:rsidRPr="006167F9">
              <w:t>U suradnji s regionalnim operativnim središtima i uz uključenost odgovarajućih dionika, nadležna tijela svake regije provode godišnje</w:t>
            </w:r>
            <w:r w:rsidRPr="006167F9">
              <w:rPr>
                <w:b/>
                <w:i/>
              </w:rPr>
              <w:t xml:space="preserve"> simulacije odziva u realnom vremenu za elektroenergetske</w:t>
            </w:r>
            <w:r w:rsidRPr="006167F9">
              <w:t xml:space="preserve"> krizne</w:t>
            </w:r>
            <w:r w:rsidRPr="006167F9">
              <w:rPr>
                <w:b/>
                <w:i/>
              </w:rPr>
              <w:t xml:space="preserve"> situacije</w:t>
            </w:r>
            <w:r w:rsidRPr="006167F9">
              <w:t>, osobito testiranje komunikacijskih mehanizama navedenih u stavku 1. točki</w:t>
            </w:r>
            <w:r w:rsidRPr="006167F9">
              <w:rPr>
                <w:b/>
                <w:i/>
              </w:rPr>
              <w:t xml:space="preserve"> </w:t>
            </w:r>
            <w:r w:rsidRPr="006167F9">
              <w:t>(b).</w:t>
            </w:r>
          </w:p>
        </w:tc>
      </w:tr>
    </w:tbl>
    <w:p w:rsidR="004D4C89" w:rsidRPr="006167F9" w:rsidRDefault="004D4C89" w:rsidP="004D4C89">
      <w:pPr>
        <w:pStyle w:val="JustificationTitle"/>
      </w:pPr>
      <w:r w:rsidRPr="006167F9">
        <w:t>Obrazloženje</w:t>
      </w:r>
    </w:p>
    <w:p w:rsidR="00084A59" w:rsidRPr="006167F9" w:rsidRDefault="004D4C89" w:rsidP="004D4C89">
      <w:pPr>
        <w:pStyle w:val="Normal12Italic"/>
      </w:pPr>
      <w:r w:rsidRPr="006167F9">
        <w:t>Ovim se pojašnjenjem osnovni tekst prijedloga usklađuje s tekstom u Prilogu.</w:t>
      </w:r>
    </w:p>
    <w:p w:rsidR="004D4C89" w:rsidRPr="006167F9" w:rsidRDefault="004D4C89" w:rsidP="004D4C89">
      <w:pPr>
        <w:pStyle w:val="AMNumberTabs"/>
      </w:pPr>
      <w:r w:rsidRPr="006167F9">
        <w:t>Amandman</w:t>
      </w:r>
      <w:r w:rsidRPr="006167F9">
        <w:tab/>
      </w:r>
      <w:r w:rsidRPr="006167F9">
        <w:tab/>
        <w:t>48</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12.a (novi)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C89" w:rsidRPr="006167F9" w:rsidTr="00A90DD5">
        <w:trPr>
          <w:trHeight w:hRule="exact" w:val="240"/>
          <w:jc w:val="center"/>
        </w:trPr>
        <w:tc>
          <w:tcPr>
            <w:tcW w:w="9752" w:type="dxa"/>
            <w:gridSpan w:val="2"/>
          </w:tcPr>
          <w:p w:rsidR="004D4C89" w:rsidRPr="006167F9" w:rsidRDefault="004D4C89" w:rsidP="00A90DD5"/>
        </w:tc>
      </w:tr>
      <w:tr w:rsidR="004D4C89" w:rsidRPr="006167F9" w:rsidTr="00A90DD5">
        <w:trPr>
          <w:trHeight w:val="240"/>
          <w:jc w:val="center"/>
        </w:trPr>
        <w:tc>
          <w:tcPr>
            <w:tcW w:w="4876" w:type="dxa"/>
          </w:tcPr>
          <w:p w:rsidR="004D4C89" w:rsidRPr="006167F9" w:rsidRDefault="004D4C89" w:rsidP="00A90DD5">
            <w:pPr>
              <w:pStyle w:val="ColumnHeading"/>
            </w:pPr>
            <w:r w:rsidRPr="006167F9">
              <w:t>Tekst koji je predložila Komisija</w:t>
            </w:r>
          </w:p>
        </w:tc>
        <w:tc>
          <w:tcPr>
            <w:tcW w:w="4876" w:type="dxa"/>
          </w:tcPr>
          <w:p w:rsidR="004D4C89" w:rsidRPr="006167F9" w:rsidRDefault="004D4C89" w:rsidP="00A90DD5">
            <w:pPr>
              <w:pStyle w:val="ColumnHeading"/>
            </w:pPr>
            <w:r w:rsidRPr="006167F9">
              <w:t>Izmjena</w:t>
            </w:r>
          </w:p>
        </w:tc>
      </w:tr>
      <w:tr w:rsidR="004D4C89" w:rsidRPr="006167F9" w:rsidTr="00A90DD5">
        <w:trPr>
          <w:jc w:val="center"/>
        </w:trPr>
        <w:tc>
          <w:tcPr>
            <w:tcW w:w="4876" w:type="dxa"/>
          </w:tcPr>
          <w:p w:rsidR="004D4C89" w:rsidRPr="006167F9" w:rsidRDefault="004D4C89" w:rsidP="00A90DD5">
            <w:pPr>
              <w:pStyle w:val="Normal6"/>
              <w:jc w:val="center"/>
              <w:rPr>
                <w:b/>
                <w:bCs/>
                <w:i/>
                <w:iCs/>
              </w:rPr>
            </w:pPr>
          </w:p>
        </w:tc>
        <w:tc>
          <w:tcPr>
            <w:tcW w:w="4876" w:type="dxa"/>
          </w:tcPr>
          <w:p w:rsidR="004D4C89" w:rsidRPr="006167F9" w:rsidRDefault="004D4C89" w:rsidP="00A90DD5">
            <w:pPr>
              <w:pStyle w:val="Normal6"/>
              <w:jc w:val="center"/>
              <w:rPr>
                <w:b/>
                <w:bCs/>
                <w:i/>
                <w:iCs/>
              </w:rPr>
            </w:pPr>
            <w:r w:rsidRPr="006167F9">
              <w:rPr>
                <w:b/>
                <w:bCs/>
                <w:i/>
                <w:iCs/>
              </w:rPr>
              <w:t>Članak 12.a</w:t>
            </w:r>
          </w:p>
        </w:tc>
      </w:tr>
      <w:tr w:rsidR="004D4C89" w:rsidRPr="006167F9" w:rsidTr="00A90DD5">
        <w:trPr>
          <w:jc w:val="center"/>
        </w:trPr>
        <w:tc>
          <w:tcPr>
            <w:tcW w:w="4876" w:type="dxa"/>
          </w:tcPr>
          <w:p w:rsidR="004D4C89" w:rsidRPr="006167F9" w:rsidRDefault="004D4C89" w:rsidP="00A90DD5">
            <w:pPr>
              <w:pStyle w:val="Normal6"/>
              <w:jc w:val="center"/>
              <w:rPr>
                <w:b/>
                <w:bCs/>
                <w:i/>
                <w:iCs/>
              </w:rPr>
            </w:pPr>
          </w:p>
        </w:tc>
        <w:tc>
          <w:tcPr>
            <w:tcW w:w="4876" w:type="dxa"/>
          </w:tcPr>
          <w:p w:rsidR="004D4C89" w:rsidRPr="006167F9" w:rsidRDefault="004D4C89" w:rsidP="00A90DD5">
            <w:pPr>
              <w:pStyle w:val="Normal6"/>
              <w:jc w:val="center"/>
              <w:rPr>
                <w:b/>
                <w:bCs/>
                <w:i/>
                <w:iCs/>
              </w:rPr>
            </w:pPr>
            <w:r w:rsidRPr="006167F9">
              <w:rPr>
                <w:b/>
                <w:bCs/>
                <w:i/>
                <w:iCs/>
              </w:rPr>
              <w:t>Uloga Komisije u izmjeni planova pripremljenosti za rizike</w:t>
            </w:r>
          </w:p>
        </w:tc>
      </w:tr>
      <w:tr w:rsidR="004D4C89" w:rsidRPr="006167F9" w:rsidTr="00A90DD5">
        <w:trPr>
          <w:jc w:val="center"/>
        </w:trPr>
        <w:tc>
          <w:tcPr>
            <w:tcW w:w="4876" w:type="dxa"/>
          </w:tcPr>
          <w:p w:rsidR="004D4C89" w:rsidRPr="006167F9" w:rsidRDefault="004D4C89" w:rsidP="00A90DD5">
            <w:pPr>
              <w:pStyle w:val="Normal6"/>
            </w:pPr>
          </w:p>
        </w:tc>
        <w:tc>
          <w:tcPr>
            <w:tcW w:w="4876" w:type="dxa"/>
          </w:tcPr>
          <w:p w:rsidR="004D4C89" w:rsidRPr="006167F9" w:rsidRDefault="004D4C89" w:rsidP="00A90DD5">
            <w:pPr>
              <w:pStyle w:val="Normal6"/>
              <w:rPr>
                <w:b/>
                <w:i/>
              </w:rPr>
            </w:pPr>
            <w:r w:rsidRPr="006167F9">
              <w:rPr>
                <w:b/>
                <w:i/>
              </w:rPr>
              <w:t xml:space="preserve">1. </w:t>
            </w:r>
            <w:r w:rsidRPr="006167F9">
              <w:rPr>
                <w:b/>
                <w:i/>
              </w:rPr>
              <w:tab/>
              <w:t>Države članice podnose Komisiji donesene planove. Komisija može donijeti odluku kojom traži izmjenu ili povlačenje mjere ako za nju vrijedi sljedeće:</w:t>
            </w:r>
          </w:p>
        </w:tc>
      </w:tr>
      <w:tr w:rsidR="004D4C89" w:rsidRPr="006167F9" w:rsidTr="00A90DD5">
        <w:trPr>
          <w:jc w:val="center"/>
        </w:trPr>
        <w:tc>
          <w:tcPr>
            <w:tcW w:w="4876" w:type="dxa"/>
          </w:tcPr>
          <w:p w:rsidR="004D4C89" w:rsidRPr="006167F9" w:rsidRDefault="004D4C89" w:rsidP="00A90DD5">
            <w:pPr>
              <w:pStyle w:val="Normal6"/>
            </w:pPr>
          </w:p>
        </w:tc>
        <w:tc>
          <w:tcPr>
            <w:tcW w:w="4876" w:type="dxa"/>
          </w:tcPr>
          <w:p w:rsidR="004D4C89" w:rsidRPr="006167F9" w:rsidRDefault="004D4C89" w:rsidP="00A90DD5">
            <w:pPr>
              <w:pStyle w:val="Normal6"/>
              <w:rPr>
                <w:b/>
                <w:i/>
              </w:rPr>
            </w:pPr>
            <w:r w:rsidRPr="006167F9">
              <w:rPr>
                <w:b/>
                <w:i/>
              </w:rPr>
              <w:t xml:space="preserve">(a) </w:t>
            </w:r>
            <w:r w:rsidRPr="006167F9">
              <w:rPr>
                <w:b/>
                <w:i/>
              </w:rPr>
              <w:tab/>
              <w:t>vjerojatno će narušiti unutarnje tržište Unije;</w:t>
            </w:r>
          </w:p>
        </w:tc>
      </w:tr>
      <w:tr w:rsidR="004D4C89" w:rsidRPr="006167F9" w:rsidTr="00A90DD5">
        <w:trPr>
          <w:jc w:val="center"/>
        </w:trPr>
        <w:tc>
          <w:tcPr>
            <w:tcW w:w="4876" w:type="dxa"/>
          </w:tcPr>
          <w:p w:rsidR="004D4C89" w:rsidRPr="006167F9" w:rsidRDefault="004D4C89" w:rsidP="00A90DD5">
            <w:pPr>
              <w:pStyle w:val="Normal6"/>
            </w:pPr>
          </w:p>
        </w:tc>
        <w:tc>
          <w:tcPr>
            <w:tcW w:w="4876" w:type="dxa"/>
          </w:tcPr>
          <w:p w:rsidR="004D4C89" w:rsidRPr="006167F9" w:rsidRDefault="004D4C89" w:rsidP="00A90DD5">
            <w:pPr>
              <w:pStyle w:val="Normal6"/>
              <w:rPr>
                <w:b/>
                <w:i/>
              </w:rPr>
            </w:pPr>
            <w:r w:rsidRPr="006167F9">
              <w:rPr>
                <w:b/>
                <w:i/>
              </w:rPr>
              <w:t xml:space="preserve">(b) </w:t>
            </w:r>
            <w:r w:rsidRPr="006167F9">
              <w:rPr>
                <w:b/>
                <w:i/>
              </w:rPr>
              <w:tab/>
              <w:t>nije nužna ili proporcionalna u jamčenju sigurnosti opskrbe;</w:t>
            </w:r>
          </w:p>
        </w:tc>
      </w:tr>
      <w:tr w:rsidR="004D4C89" w:rsidRPr="006167F9" w:rsidTr="00A90DD5">
        <w:trPr>
          <w:jc w:val="center"/>
        </w:trPr>
        <w:tc>
          <w:tcPr>
            <w:tcW w:w="4876" w:type="dxa"/>
          </w:tcPr>
          <w:p w:rsidR="004D4C89" w:rsidRPr="006167F9" w:rsidRDefault="004D4C89" w:rsidP="00A90DD5">
            <w:pPr>
              <w:pStyle w:val="Normal6"/>
            </w:pPr>
          </w:p>
        </w:tc>
        <w:tc>
          <w:tcPr>
            <w:tcW w:w="4876" w:type="dxa"/>
          </w:tcPr>
          <w:p w:rsidR="004D4C89" w:rsidRPr="006167F9" w:rsidRDefault="004D4C89" w:rsidP="00A90DD5">
            <w:pPr>
              <w:pStyle w:val="Normal6"/>
              <w:rPr>
                <w:b/>
                <w:i/>
              </w:rPr>
            </w:pPr>
            <w:r w:rsidRPr="006167F9">
              <w:rPr>
                <w:b/>
                <w:i/>
              </w:rPr>
              <w:t xml:space="preserve">(c) </w:t>
            </w:r>
            <w:r w:rsidRPr="006167F9">
              <w:rPr>
                <w:b/>
                <w:i/>
              </w:rPr>
              <w:tab/>
              <w:t>vjerojatno će ugroziti sigurnost opskrbe drugih država članica ili</w:t>
            </w:r>
          </w:p>
        </w:tc>
      </w:tr>
      <w:tr w:rsidR="004D4C89" w:rsidRPr="006167F9" w:rsidTr="00A90DD5">
        <w:trPr>
          <w:jc w:val="center"/>
        </w:trPr>
        <w:tc>
          <w:tcPr>
            <w:tcW w:w="4876" w:type="dxa"/>
          </w:tcPr>
          <w:p w:rsidR="004D4C89" w:rsidRPr="006167F9" w:rsidRDefault="004D4C89" w:rsidP="00A90DD5">
            <w:pPr>
              <w:pStyle w:val="Normal6"/>
            </w:pPr>
          </w:p>
        </w:tc>
        <w:tc>
          <w:tcPr>
            <w:tcW w:w="4876" w:type="dxa"/>
          </w:tcPr>
          <w:p w:rsidR="004D4C89" w:rsidRPr="006167F9" w:rsidRDefault="004D4C89" w:rsidP="00A90DD5">
            <w:pPr>
              <w:pStyle w:val="Normal6"/>
              <w:rPr>
                <w:b/>
                <w:i/>
              </w:rPr>
            </w:pPr>
            <w:r w:rsidRPr="006167F9">
              <w:rPr>
                <w:b/>
                <w:i/>
              </w:rPr>
              <w:t xml:space="preserve">(d) </w:t>
            </w:r>
            <w:r w:rsidRPr="006167F9">
              <w:rPr>
                <w:b/>
                <w:i/>
              </w:rPr>
              <w:tab/>
              <w:t>u suprotnosti je s ciljevima klimatske politike Unije.</w:t>
            </w:r>
          </w:p>
        </w:tc>
      </w:tr>
      <w:tr w:rsidR="004D4C89" w:rsidRPr="006167F9" w:rsidTr="00A90DD5">
        <w:trPr>
          <w:jc w:val="center"/>
        </w:trPr>
        <w:tc>
          <w:tcPr>
            <w:tcW w:w="4876" w:type="dxa"/>
          </w:tcPr>
          <w:p w:rsidR="004D4C89" w:rsidRPr="006167F9" w:rsidRDefault="004D4C89" w:rsidP="00A90DD5">
            <w:pPr>
              <w:pStyle w:val="Normal6"/>
            </w:pPr>
          </w:p>
        </w:tc>
        <w:tc>
          <w:tcPr>
            <w:tcW w:w="4876" w:type="dxa"/>
          </w:tcPr>
          <w:p w:rsidR="004D4C89" w:rsidRPr="006167F9" w:rsidRDefault="004D4C89" w:rsidP="00A90DD5">
            <w:pPr>
              <w:pStyle w:val="Normal6"/>
              <w:rPr>
                <w:b/>
                <w:i/>
              </w:rPr>
            </w:pPr>
            <w:r w:rsidRPr="006167F9">
              <w:rPr>
                <w:b/>
                <w:i/>
              </w:rPr>
              <w:t>Donesena mjera stupa na snagu tek kada je Komisija odobri ili kada je izmijenjena u skladu s odlukom Komisije.</w:t>
            </w:r>
          </w:p>
        </w:tc>
      </w:tr>
    </w:tbl>
    <w:p w:rsidR="004D4C89" w:rsidRPr="006167F9" w:rsidRDefault="004D4C89" w:rsidP="004D4C89">
      <w:pPr>
        <w:pStyle w:val="JustificationTitle"/>
      </w:pPr>
      <w:r w:rsidRPr="006167F9">
        <w:t>Obrazloženje</w:t>
      </w:r>
    </w:p>
    <w:p w:rsidR="00084A59" w:rsidRPr="006167F9" w:rsidRDefault="004D4C89" w:rsidP="004D4C89">
      <w:pPr>
        <w:pStyle w:val="Normal12Italic"/>
      </w:pPr>
      <w:r w:rsidRPr="006167F9">
        <w:t>Potreban je zaštitni mehanizam kako bi se osiguralo da dogovoreni planovi ne ugroze unutarnje tržište i sigurnost opskrbe. Komisija bi trebala imati mandat za zahtijevanje izmjena kad je to potrebno.</w:t>
      </w:r>
    </w:p>
    <w:p w:rsidR="004D4C89" w:rsidRPr="006167F9" w:rsidRDefault="004D4C89" w:rsidP="004D4C89">
      <w:pPr>
        <w:pStyle w:val="AMNumberTabs"/>
        <w:keepNext/>
      </w:pPr>
      <w:r w:rsidRPr="006167F9">
        <w:t>Amandman</w:t>
      </w:r>
      <w:r w:rsidRPr="006167F9">
        <w:tab/>
      </w:r>
      <w:r w:rsidRPr="006167F9">
        <w:tab/>
        <w:t>49</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14. – stavak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D4C89" w:rsidRPr="006167F9" w:rsidTr="00A90DD5">
        <w:trPr>
          <w:jc w:val="center"/>
        </w:trPr>
        <w:tc>
          <w:tcPr>
            <w:tcW w:w="9752" w:type="dxa"/>
            <w:gridSpan w:val="2"/>
          </w:tcPr>
          <w:p w:rsidR="004D4C89" w:rsidRPr="006167F9" w:rsidRDefault="004D4C89" w:rsidP="00A90DD5">
            <w:pPr>
              <w:keepNext/>
            </w:pPr>
          </w:p>
        </w:tc>
      </w:tr>
      <w:tr w:rsidR="004D4C89" w:rsidRPr="006167F9" w:rsidTr="00A90DD5">
        <w:trPr>
          <w:jc w:val="center"/>
        </w:trPr>
        <w:tc>
          <w:tcPr>
            <w:tcW w:w="4876" w:type="dxa"/>
          </w:tcPr>
          <w:p w:rsidR="004D4C89" w:rsidRPr="006167F9" w:rsidRDefault="004D4C89" w:rsidP="00A90DD5">
            <w:pPr>
              <w:pStyle w:val="ColumnHeading"/>
              <w:keepNext/>
            </w:pPr>
            <w:r w:rsidRPr="006167F9">
              <w:t>Tekst koji je predložila Komisija</w:t>
            </w:r>
          </w:p>
        </w:tc>
        <w:tc>
          <w:tcPr>
            <w:tcW w:w="4876" w:type="dxa"/>
          </w:tcPr>
          <w:p w:rsidR="004D4C89" w:rsidRPr="006167F9" w:rsidRDefault="004D4C89" w:rsidP="00A90DD5">
            <w:pPr>
              <w:pStyle w:val="ColumnHeading"/>
              <w:keepNext/>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2.</w:t>
            </w:r>
            <w:r w:rsidRPr="006167F9">
              <w:rPr>
                <w:b/>
                <w:i/>
              </w:rPr>
              <w:tab/>
            </w:r>
            <w:r w:rsidRPr="006167F9">
              <w:t>Ako je to</w:t>
            </w:r>
            <w:r w:rsidRPr="006167F9">
              <w:rPr>
                <w:b/>
                <w:i/>
              </w:rPr>
              <w:t xml:space="preserve"> nužno</w:t>
            </w:r>
            <w:r w:rsidRPr="006167F9">
              <w:t xml:space="preserve"> i moguće, države članice međusobno</w:t>
            </w:r>
            <w:r w:rsidRPr="006167F9">
              <w:rPr>
                <w:b/>
                <w:i/>
              </w:rPr>
              <w:t xml:space="preserve"> nude pomoć</w:t>
            </w:r>
            <w:r w:rsidRPr="006167F9">
              <w:t xml:space="preserve"> radi sprečavanja ili ublažavanja elektroenergetske krize. Takva pomoć podložna</w:t>
            </w:r>
            <w:r w:rsidRPr="006167F9">
              <w:rPr>
                <w:b/>
                <w:i/>
              </w:rPr>
              <w:t xml:space="preserve"> je</w:t>
            </w:r>
            <w:r w:rsidRPr="006167F9">
              <w:t xml:space="preserve"> naknadi troškova.</w:t>
            </w:r>
          </w:p>
        </w:tc>
        <w:tc>
          <w:tcPr>
            <w:tcW w:w="4876" w:type="dxa"/>
          </w:tcPr>
          <w:p w:rsidR="004D4C89" w:rsidRPr="006167F9" w:rsidRDefault="004D4C89" w:rsidP="00A90DD5">
            <w:pPr>
              <w:pStyle w:val="Normal6"/>
              <w:rPr>
                <w:b/>
                <w:i/>
                <w:szCs w:val="24"/>
              </w:rPr>
            </w:pPr>
            <w:r w:rsidRPr="006167F9">
              <w:t>2.</w:t>
            </w:r>
            <w:r w:rsidRPr="006167F9">
              <w:rPr>
                <w:b/>
                <w:i/>
              </w:rPr>
              <w:tab/>
            </w:r>
            <w:r w:rsidRPr="006167F9">
              <w:t>Ako je to</w:t>
            </w:r>
            <w:r w:rsidRPr="006167F9">
              <w:rPr>
                <w:b/>
                <w:i/>
              </w:rPr>
              <w:t xml:space="preserve"> zatraženo</w:t>
            </w:r>
            <w:r w:rsidRPr="006167F9">
              <w:t xml:space="preserve"> i</w:t>
            </w:r>
            <w:r w:rsidRPr="006167F9">
              <w:rPr>
                <w:b/>
                <w:i/>
              </w:rPr>
              <w:t xml:space="preserve"> tehnički</w:t>
            </w:r>
            <w:r w:rsidRPr="006167F9">
              <w:t xml:space="preserve"> moguće, države članice</w:t>
            </w:r>
            <w:r w:rsidRPr="006167F9">
              <w:rPr>
                <w:b/>
                <w:i/>
              </w:rPr>
              <w:t xml:space="preserve"> si</w:t>
            </w:r>
            <w:r w:rsidRPr="006167F9">
              <w:t xml:space="preserve"> međusobno</w:t>
            </w:r>
            <w:r w:rsidRPr="006167F9">
              <w:rPr>
                <w:b/>
                <w:i/>
              </w:rPr>
              <w:t xml:space="preserve"> pomažu</w:t>
            </w:r>
            <w:r w:rsidRPr="006167F9">
              <w:t xml:space="preserve"> radi sprečavanja ili ublažavanja elektroenergetske krize. Takva</w:t>
            </w:r>
            <w:r w:rsidRPr="006167F9">
              <w:rPr>
                <w:b/>
                <w:i/>
              </w:rPr>
              <w:t xml:space="preserve"> je</w:t>
            </w:r>
            <w:r w:rsidRPr="006167F9">
              <w:t xml:space="preserve"> pomoć podložna naknadi troškova</w:t>
            </w:r>
            <w:r w:rsidRPr="006167F9">
              <w:rPr>
                <w:b/>
                <w:i/>
              </w:rPr>
              <w:t xml:space="preserve"> koja pokriva barem trošak električne energije dostavljene na teritorij države članice koja traži pomoć i druge relevantne troškove nastale pri pružanju pomoći, uključujući, prema potrebi, pripremljenu pomoć koja nije pružena, i naknadu troškova svih naknada koje su rezultat sudskih, arbitražnih ili sličnih postupaka i rješavanja te povezanih troškova pružene pomoći</w:t>
            </w:r>
            <w:r w:rsidRPr="006167F9">
              <w:t>.</w:t>
            </w:r>
          </w:p>
        </w:tc>
      </w:tr>
    </w:tbl>
    <w:p w:rsidR="004D4C89" w:rsidRPr="006167F9" w:rsidRDefault="004D4C89" w:rsidP="004D4C89"/>
    <w:p w:rsidR="004D4C89" w:rsidRPr="006167F9" w:rsidRDefault="004D4C89" w:rsidP="004D4C89">
      <w:pPr>
        <w:pStyle w:val="AMNumberTabs"/>
        <w:keepNext/>
      </w:pPr>
      <w:r w:rsidRPr="006167F9">
        <w:t>Amandman</w:t>
      </w:r>
      <w:r w:rsidRPr="006167F9">
        <w:tab/>
      </w:r>
      <w:r w:rsidRPr="006167F9">
        <w:tab/>
        <w:t>50</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15. – stavak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D4C89" w:rsidRPr="006167F9" w:rsidTr="00A90DD5">
        <w:trPr>
          <w:jc w:val="center"/>
        </w:trPr>
        <w:tc>
          <w:tcPr>
            <w:tcW w:w="9752" w:type="dxa"/>
            <w:gridSpan w:val="2"/>
          </w:tcPr>
          <w:p w:rsidR="004D4C89" w:rsidRPr="006167F9" w:rsidRDefault="004D4C89" w:rsidP="00A90DD5">
            <w:pPr>
              <w:keepNext/>
            </w:pPr>
          </w:p>
        </w:tc>
      </w:tr>
      <w:tr w:rsidR="004D4C89" w:rsidRPr="006167F9" w:rsidTr="00A90DD5">
        <w:trPr>
          <w:jc w:val="center"/>
        </w:trPr>
        <w:tc>
          <w:tcPr>
            <w:tcW w:w="4876" w:type="dxa"/>
          </w:tcPr>
          <w:p w:rsidR="004D4C89" w:rsidRPr="006167F9" w:rsidRDefault="004D4C89" w:rsidP="00A90DD5">
            <w:pPr>
              <w:pStyle w:val="ColumnHeading"/>
              <w:keepNext/>
            </w:pPr>
            <w:r w:rsidRPr="006167F9">
              <w:t>Tekst koji je predložila Komisija</w:t>
            </w:r>
          </w:p>
        </w:tc>
        <w:tc>
          <w:tcPr>
            <w:tcW w:w="4876" w:type="dxa"/>
          </w:tcPr>
          <w:p w:rsidR="004D4C89" w:rsidRPr="006167F9" w:rsidRDefault="004D4C89" w:rsidP="00A90DD5">
            <w:pPr>
              <w:pStyle w:val="ColumnHeading"/>
              <w:keepNext/>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2.</w:t>
            </w:r>
            <w:r w:rsidRPr="006167F9">
              <w:rPr>
                <w:b/>
                <w:i/>
              </w:rPr>
              <w:tab/>
            </w:r>
            <w:r w:rsidRPr="006167F9">
              <w:t>Netržišne mjere</w:t>
            </w:r>
            <w:r w:rsidRPr="006167F9">
              <w:rPr>
                <w:b/>
                <w:i/>
              </w:rPr>
              <w:t xml:space="preserve"> moguće je pokrenuti</w:t>
            </w:r>
            <w:r w:rsidRPr="006167F9">
              <w:t xml:space="preserve"> u kriznoj situaciji i samo</w:t>
            </w:r>
            <w:r w:rsidRPr="006167F9">
              <w:rPr>
                <w:b/>
                <w:i/>
              </w:rPr>
              <w:t xml:space="preserve"> ako</w:t>
            </w:r>
            <w:r w:rsidRPr="006167F9">
              <w:t xml:space="preserve"> su iscrpljene sve mogućnosti koje proizlaze iz tržišnih mjera.</w:t>
            </w:r>
            <w:r w:rsidRPr="006167F9">
              <w:rPr>
                <w:b/>
                <w:i/>
              </w:rPr>
              <w:t xml:space="preserve"> Njima</w:t>
            </w:r>
            <w:r w:rsidRPr="006167F9">
              <w:t xml:space="preserve"> se ne smije neopravdano narušavati tržišno natjecanje ni djelotvorno funkcioniranje tržišta električne energije. Te mjere moraju biti</w:t>
            </w:r>
            <w:r w:rsidRPr="006167F9">
              <w:rPr>
                <w:b/>
                <w:i/>
              </w:rPr>
              <w:t xml:space="preserve"> nužne,</w:t>
            </w:r>
            <w:r w:rsidRPr="006167F9">
              <w:t xml:space="preserve"> proporcionalne, nediskriminirajuće i privremene.</w:t>
            </w:r>
          </w:p>
        </w:tc>
        <w:tc>
          <w:tcPr>
            <w:tcW w:w="4876" w:type="dxa"/>
          </w:tcPr>
          <w:p w:rsidR="004D4C89" w:rsidRPr="006167F9" w:rsidRDefault="004D4C89" w:rsidP="00A90DD5">
            <w:pPr>
              <w:pStyle w:val="Normal6"/>
              <w:rPr>
                <w:b/>
                <w:i/>
                <w:szCs w:val="24"/>
              </w:rPr>
            </w:pPr>
            <w:r w:rsidRPr="006167F9">
              <w:t>2.</w:t>
            </w:r>
            <w:r w:rsidRPr="006167F9">
              <w:rPr>
                <w:b/>
                <w:i/>
              </w:rPr>
              <w:tab/>
            </w:r>
            <w:r w:rsidRPr="006167F9">
              <w:t>Netržišne mjere</w:t>
            </w:r>
            <w:r w:rsidRPr="006167F9">
              <w:rPr>
                <w:b/>
                <w:i/>
              </w:rPr>
              <w:t xml:space="preserve"> pokreću se</w:t>
            </w:r>
            <w:r w:rsidRPr="006167F9">
              <w:t xml:space="preserve"> u kriznoj situaciji</w:t>
            </w:r>
            <w:r w:rsidRPr="006167F9">
              <w:rPr>
                <w:b/>
                <w:i/>
              </w:rPr>
              <w:t xml:space="preserve"> isključivo kao krajnja mjera</w:t>
            </w:r>
            <w:r w:rsidRPr="006167F9">
              <w:t xml:space="preserve"> i samo</w:t>
            </w:r>
            <w:r w:rsidRPr="006167F9">
              <w:rPr>
                <w:b/>
                <w:i/>
              </w:rPr>
              <w:t xml:space="preserve"> nakon što</w:t>
            </w:r>
            <w:r w:rsidRPr="006167F9">
              <w:t xml:space="preserve"> su iscrpljene sve mogućnosti koje proizlaze iz tržišnih mjera</w:t>
            </w:r>
            <w:r w:rsidRPr="006167F9">
              <w:rPr>
                <w:b/>
                <w:i/>
              </w:rPr>
              <w:t xml:space="preserve"> te ako postoje opširni dokazi da bi daljnja primjena tržišnih mjera mogla dovesti do još većeg pogoršanja krizne situacije</w:t>
            </w:r>
            <w:r w:rsidRPr="006167F9">
              <w:t>.</w:t>
            </w:r>
            <w:r w:rsidRPr="006167F9">
              <w:rPr>
                <w:b/>
                <w:i/>
              </w:rPr>
              <w:t xml:space="preserve"> Tim</w:t>
            </w:r>
            <w:r w:rsidRPr="006167F9">
              <w:t xml:space="preserve"> se</w:t>
            </w:r>
            <w:r w:rsidRPr="006167F9">
              <w:rPr>
                <w:b/>
                <w:i/>
              </w:rPr>
              <w:t xml:space="preserve"> mjerama</w:t>
            </w:r>
            <w:r w:rsidRPr="006167F9">
              <w:t xml:space="preserve"> ne smije neopravdano narušavati tržišno natjecanje ni djelotvorno funkcioniranje tržišta električne energije. Te mjere moraju biti proporcionalne, nediskriminirajuće i privremene.</w:t>
            </w:r>
            <w:r w:rsidRPr="006167F9">
              <w:rPr>
                <w:b/>
                <w:i/>
              </w:rPr>
              <w:t xml:space="preserve"> Sve relevantne dionike odmah se obavješćuje o svakoj primjeni netržišnih mjera.</w:t>
            </w:r>
          </w:p>
        </w:tc>
      </w:tr>
    </w:tbl>
    <w:p w:rsidR="00084A59" w:rsidRPr="006167F9" w:rsidRDefault="00084A59" w:rsidP="004D4C89">
      <w:pPr>
        <w:pStyle w:val="Olang"/>
        <w:rPr>
          <w:noProof w:val="0"/>
          <w:szCs w:val="24"/>
        </w:rPr>
      </w:pPr>
    </w:p>
    <w:p w:rsidR="004D4C89" w:rsidRPr="006167F9" w:rsidRDefault="004D4C89" w:rsidP="004D4C89">
      <w:pPr>
        <w:pStyle w:val="AMNumberTabs"/>
      </w:pPr>
      <w:r w:rsidRPr="006167F9">
        <w:t>Amandman</w:t>
      </w:r>
      <w:r w:rsidRPr="006167F9">
        <w:tab/>
      </w:r>
      <w:r w:rsidRPr="006167F9">
        <w:tab/>
        <w:t>51</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15. – stavak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C89" w:rsidRPr="006167F9" w:rsidTr="00A90DD5">
        <w:trPr>
          <w:trHeight w:hRule="exact" w:val="240"/>
          <w:jc w:val="center"/>
        </w:trPr>
        <w:tc>
          <w:tcPr>
            <w:tcW w:w="9752" w:type="dxa"/>
            <w:gridSpan w:val="2"/>
          </w:tcPr>
          <w:p w:rsidR="004D4C89" w:rsidRPr="006167F9" w:rsidRDefault="004D4C89" w:rsidP="00A90DD5"/>
        </w:tc>
      </w:tr>
      <w:tr w:rsidR="004D4C89" w:rsidRPr="006167F9" w:rsidTr="00A90DD5">
        <w:trPr>
          <w:trHeight w:val="240"/>
          <w:jc w:val="center"/>
        </w:trPr>
        <w:tc>
          <w:tcPr>
            <w:tcW w:w="4876" w:type="dxa"/>
          </w:tcPr>
          <w:p w:rsidR="004D4C89" w:rsidRPr="006167F9" w:rsidRDefault="004D4C89" w:rsidP="00A90DD5">
            <w:pPr>
              <w:pStyle w:val="ColumnHeading"/>
            </w:pPr>
            <w:r w:rsidRPr="006167F9">
              <w:t>Tekst koji je predložila Komisija</w:t>
            </w:r>
          </w:p>
        </w:tc>
        <w:tc>
          <w:tcPr>
            <w:tcW w:w="4876" w:type="dxa"/>
          </w:tcPr>
          <w:p w:rsidR="004D4C89" w:rsidRPr="006167F9" w:rsidRDefault="004D4C89" w:rsidP="00A90DD5">
            <w:pPr>
              <w:pStyle w:val="ColumnHeading"/>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3.</w:t>
            </w:r>
            <w:r w:rsidRPr="006167F9">
              <w:rPr>
                <w:b/>
                <w:i/>
              </w:rPr>
              <w:tab/>
            </w:r>
            <w:r w:rsidRPr="006167F9">
              <w:t>Ograničavanje transakcija, uključujući ograničavanje već dodijeljenog prekozonskog kapaciteta, ograničavanje u pružanju prekozonskog kapaciteta za raspodjelu kapaciteta ili ograničavanje u stavljanju rasporeda na raspolaganje pokreće se isključivo uz pridržavanje</w:t>
            </w:r>
            <w:r w:rsidRPr="006167F9">
              <w:rPr>
                <w:b/>
                <w:i/>
              </w:rPr>
              <w:t xml:space="preserve"> odredbe utvrđene člankom 14</w:t>
            </w:r>
            <w:r w:rsidRPr="006167F9">
              <w:t>.</w:t>
            </w:r>
            <w:r w:rsidRPr="006167F9">
              <w:rPr>
                <w:b/>
                <w:i/>
              </w:rPr>
              <w:t xml:space="preserve"> stavkom 2.</w:t>
            </w:r>
            <w:r w:rsidRPr="006167F9">
              <w:t xml:space="preserve"> Uredbe o električnoj energiji [predložena Uredba o električnoj energiji] i</w:t>
            </w:r>
            <w:r w:rsidRPr="006167F9">
              <w:rPr>
                <w:b/>
                <w:i/>
              </w:rPr>
              <w:t xml:space="preserve"> pravila</w:t>
            </w:r>
            <w:r w:rsidRPr="006167F9">
              <w:t xml:space="preserve"> donesenih radi dodatne razrade</w:t>
            </w:r>
            <w:r w:rsidRPr="006167F9">
              <w:rPr>
                <w:b/>
                <w:i/>
              </w:rPr>
              <w:t xml:space="preserve"> te odredbe</w:t>
            </w:r>
            <w:r w:rsidRPr="006167F9">
              <w:t>.</w:t>
            </w:r>
          </w:p>
        </w:tc>
        <w:tc>
          <w:tcPr>
            <w:tcW w:w="4876" w:type="dxa"/>
          </w:tcPr>
          <w:p w:rsidR="004D4C89" w:rsidRPr="006167F9" w:rsidRDefault="004D4C89" w:rsidP="00A90DD5">
            <w:pPr>
              <w:pStyle w:val="Normal6"/>
              <w:rPr>
                <w:b/>
                <w:i/>
              </w:rPr>
            </w:pPr>
            <w:r w:rsidRPr="006167F9">
              <w:t>3.</w:t>
            </w:r>
            <w:r w:rsidRPr="006167F9">
              <w:rPr>
                <w:b/>
                <w:i/>
              </w:rPr>
              <w:tab/>
            </w:r>
            <w:r w:rsidRPr="006167F9">
              <w:t>Ograničavanje transakcija, uključujući ograničavanje već dodijeljenog prekozonskog kapaciteta, ograničavanje u pružanju prekozonskog kapaciteta za raspodjelu kapaciteta ili ograničavanje u stavljanju rasporeda na raspolaganje pokreće se isključivo uz pridržavanje</w:t>
            </w:r>
            <w:r w:rsidRPr="006167F9">
              <w:rPr>
                <w:b/>
                <w:i/>
              </w:rPr>
              <w:t xml:space="preserve"> odredbi utvrđenih člankom 14</w:t>
            </w:r>
            <w:r w:rsidRPr="006167F9">
              <w:t>.</w:t>
            </w:r>
            <w:r w:rsidRPr="006167F9">
              <w:rPr>
                <w:b/>
                <w:i/>
              </w:rPr>
              <w:t xml:space="preserve"> stavkom 2.</w:t>
            </w:r>
            <w:r w:rsidRPr="006167F9">
              <w:t xml:space="preserve"> Uredbe o električnoj energiji [predložena Uredba o električnoj energiji]</w:t>
            </w:r>
            <w:r w:rsidRPr="006167F9">
              <w:rPr>
                <w:b/>
                <w:i/>
              </w:rPr>
              <w:t>, člankom 72. Uredbe Komisije (EU) 2015/1222</w:t>
            </w:r>
            <w:r w:rsidRPr="006167F9">
              <w:rPr>
                <w:b/>
                <w:i/>
                <w:vertAlign w:val="superscript"/>
              </w:rPr>
              <w:t>1a</w:t>
            </w:r>
            <w:r w:rsidRPr="006167F9">
              <w:t xml:space="preserve"> i</w:t>
            </w:r>
            <w:r w:rsidRPr="006167F9">
              <w:rPr>
                <w:b/>
                <w:i/>
              </w:rPr>
              <w:t xml:space="preserve"> odredbi</w:t>
            </w:r>
            <w:r w:rsidRPr="006167F9">
              <w:t xml:space="preserve"> donesenih radi dodatne razrade</w:t>
            </w:r>
            <w:r w:rsidRPr="006167F9">
              <w:rPr>
                <w:b/>
                <w:i/>
              </w:rPr>
              <w:t xml:space="preserve"> toga</w:t>
            </w:r>
            <w:r w:rsidRPr="006167F9">
              <w:t>.</w:t>
            </w:r>
          </w:p>
        </w:tc>
      </w:tr>
      <w:tr w:rsidR="004D4C89" w:rsidRPr="006167F9" w:rsidTr="00A90DD5">
        <w:trPr>
          <w:jc w:val="center"/>
        </w:trPr>
        <w:tc>
          <w:tcPr>
            <w:tcW w:w="4876" w:type="dxa"/>
          </w:tcPr>
          <w:p w:rsidR="004D4C89" w:rsidRPr="006167F9" w:rsidRDefault="004D4C89" w:rsidP="00A90DD5">
            <w:pPr>
              <w:pStyle w:val="Normal6"/>
            </w:pPr>
          </w:p>
        </w:tc>
        <w:tc>
          <w:tcPr>
            <w:tcW w:w="4876" w:type="dxa"/>
          </w:tcPr>
          <w:p w:rsidR="004D4C89" w:rsidRPr="006167F9" w:rsidRDefault="004D4C89" w:rsidP="00A90DD5">
            <w:pPr>
              <w:pStyle w:val="Normal6"/>
              <w:rPr>
                <w:b/>
                <w:i/>
              </w:rPr>
            </w:pPr>
            <w:r w:rsidRPr="006167F9">
              <w:rPr>
                <w:b/>
                <w:i/>
              </w:rPr>
              <w:t>_______________</w:t>
            </w:r>
          </w:p>
        </w:tc>
      </w:tr>
      <w:tr w:rsidR="004D4C89" w:rsidRPr="006167F9" w:rsidTr="00A90DD5">
        <w:trPr>
          <w:jc w:val="center"/>
        </w:trPr>
        <w:tc>
          <w:tcPr>
            <w:tcW w:w="4876" w:type="dxa"/>
          </w:tcPr>
          <w:p w:rsidR="004D4C89" w:rsidRPr="006167F9" w:rsidRDefault="004D4C89" w:rsidP="00A90DD5">
            <w:pPr>
              <w:pStyle w:val="Normal6"/>
            </w:pPr>
          </w:p>
        </w:tc>
        <w:tc>
          <w:tcPr>
            <w:tcW w:w="4876" w:type="dxa"/>
          </w:tcPr>
          <w:p w:rsidR="004D4C89" w:rsidRPr="006167F9" w:rsidRDefault="004D4C89" w:rsidP="00A90DD5">
            <w:pPr>
              <w:pStyle w:val="Normal6"/>
              <w:rPr>
                <w:b/>
                <w:i/>
              </w:rPr>
            </w:pPr>
            <w:r w:rsidRPr="006167F9">
              <w:rPr>
                <w:b/>
                <w:i/>
                <w:vertAlign w:val="superscript"/>
              </w:rPr>
              <w:t>1a</w:t>
            </w:r>
            <w:r w:rsidRPr="006167F9">
              <w:rPr>
                <w:b/>
                <w:i/>
              </w:rPr>
              <w:t xml:space="preserve"> Uredba Komisije (EU) 2015/1222 od 24. srpnja 2015. o uspostavljanju smjernica za dodjelu kapaciteta i upravljanje zagušenjima (SL L 197, 25.7.2015., str. 24.).</w:t>
            </w:r>
          </w:p>
        </w:tc>
      </w:tr>
    </w:tbl>
    <w:p w:rsidR="004D4C89" w:rsidRPr="006167F9" w:rsidRDefault="004D4C89" w:rsidP="004D4C89">
      <w:pPr>
        <w:pStyle w:val="JustificationTitle"/>
      </w:pPr>
      <w:r w:rsidRPr="006167F9">
        <w:t>Obrazloženje</w:t>
      </w:r>
    </w:p>
    <w:p w:rsidR="00084A59" w:rsidRPr="006167F9" w:rsidRDefault="004D4C89" w:rsidP="004D4C89">
      <w:pPr>
        <w:pStyle w:val="Normal12Italic"/>
      </w:pPr>
      <w:r w:rsidRPr="006167F9">
        <w:t>Izmjenom se želi pojasniti da se i drugi stavci članka 14. odnose na dodjelu kapaciteta, primjerice stavkom 3. propisano je sljedeće: „Najveći kapacitet interkonekcija i/ili prijenosnih mreža koje utječu na prekogranične tokove na raspolaganju je sudionicima na tržištu”.Također je važno dodati upućivanje na Uredbu o uspostavljanju smjernica za dodjelu kapaciteta i upravljanje zagušenjima.</w:t>
      </w:r>
    </w:p>
    <w:p w:rsidR="004D4C89" w:rsidRPr="006167F9" w:rsidRDefault="004D4C89" w:rsidP="004D4C89">
      <w:pPr>
        <w:pStyle w:val="AMNumberTabs"/>
      </w:pPr>
      <w:r w:rsidRPr="006167F9">
        <w:t>Amandman</w:t>
      </w:r>
      <w:r w:rsidRPr="006167F9">
        <w:tab/>
      </w:r>
      <w:r w:rsidRPr="006167F9">
        <w:tab/>
        <w:t>52</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16. – stavak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C89" w:rsidRPr="006167F9" w:rsidTr="00A90DD5">
        <w:trPr>
          <w:trHeight w:hRule="exact" w:val="240"/>
          <w:jc w:val="center"/>
        </w:trPr>
        <w:tc>
          <w:tcPr>
            <w:tcW w:w="9752" w:type="dxa"/>
            <w:gridSpan w:val="2"/>
          </w:tcPr>
          <w:p w:rsidR="004D4C89" w:rsidRPr="006167F9" w:rsidRDefault="004D4C89" w:rsidP="00A90DD5"/>
        </w:tc>
      </w:tr>
      <w:tr w:rsidR="004D4C89" w:rsidRPr="006167F9" w:rsidTr="00A90DD5">
        <w:trPr>
          <w:trHeight w:val="240"/>
          <w:jc w:val="center"/>
        </w:trPr>
        <w:tc>
          <w:tcPr>
            <w:tcW w:w="4876" w:type="dxa"/>
          </w:tcPr>
          <w:p w:rsidR="004D4C89" w:rsidRPr="006167F9" w:rsidRDefault="004D4C89" w:rsidP="00A90DD5">
            <w:pPr>
              <w:pStyle w:val="ColumnHeading"/>
            </w:pPr>
            <w:r w:rsidRPr="006167F9">
              <w:t>Tekst koji je predložila Komisija</w:t>
            </w:r>
          </w:p>
        </w:tc>
        <w:tc>
          <w:tcPr>
            <w:tcW w:w="4876" w:type="dxa"/>
          </w:tcPr>
          <w:p w:rsidR="004D4C89" w:rsidRPr="006167F9" w:rsidRDefault="004D4C89" w:rsidP="00A90DD5">
            <w:pPr>
              <w:pStyle w:val="ColumnHeading"/>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1.</w:t>
            </w:r>
            <w:r w:rsidRPr="006167F9">
              <w:rPr>
                <w:b/>
                <w:i/>
              </w:rPr>
              <w:tab/>
            </w:r>
            <w:r w:rsidRPr="006167F9">
              <w:t>Što je prije moguće, a najkasnije šest tjedana nakon</w:t>
            </w:r>
            <w:r w:rsidRPr="006167F9">
              <w:rPr>
                <w:b/>
                <w:i/>
              </w:rPr>
              <w:t xml:space="preserve"> proglašavanja</w:t>
            </w:r>
            <w:r w:rsidRPr="006167F9">
              <w:t xml:space="preserve"> elektroenergetske krizne situacije,</w:t>
            </w:r>
            <w:r w:rsidRPr="006167F9">
              <w:rPr>
                <w:b/>
                <w:i/>
              </w:rPr>
              <w:t xml:space="preserve"> predmetno nadležno tijelo</w:t>
            </w:r>
            <w:r w:rsidRPr="006167F9">
              <w:t>, uz savjetovanje</w:t>
            </w:r>
            <w:r w:rsidRPr="006167F9">
              <w:rPr>
                <w:b/>
                <w:i/>
              </w:rPr>
              <w:t xml:space="preserve"> sa svojim</w:t>
            </w:r>
            <w:r w:rsidRPr="006167F9">
              <w:t xml:space="preserve"> nacionalnim regulatornim tijelom</w:t>
            </w:r>
            <w:r w:rsidRPr="006167F9">
              <w:rPr>
                <w:b/>
                <w:i/>
              </w:rPr>
              <w:t xml:space="preserve"> </w:t>
            </w:r>
            <w:r w:rsidRPr="006167F9">
              <w:t>(u slučajevima</w:t>
            </w:r>
            <w:r w:rsidRPr="006167F9">
              <w:rPr>
                <w:b/>
                <w:i/>
              </w:rPr>
              <w:t xml:space="preserve"> u kojima to</w:t>
            </w:r>
            <w:r w:rsidRPr="006167F9">
              <w:t xml:space="preserve"> nije</w:t>
            </w:r>
            <w:r w:rsidRPr="006167F9">
              <w:rPr>
                <w:b/>
                <w:i/>
              </w:rPr>
              <w:t xml:space="preserve"> isto</w:t>
            </w:r>
            <w:r w:rsidRPr="006167F9">
              <w:t xml:space="preserve"> tijelo)</w:t>
            </w:r>
            <w:r w:rsidRPr="006167F9">
              <w:rPr>
                <w:b/>
                <w:i/>
              </w:rPr>
              <w:t xml:space="preserve"> podnosi</w:t>
            </w:r>
            <w:r w:rsidRPr="006167F9">
              <w:t xml:space="preserve"> Koordinacijskoj skupini za električnu energiju i Komisiji izvješće o evaluaciji.</w:t>
            </w:r>
          </w:p>
        </w:tc>
        <w:tc>
          <w:tcPr>
            <w:tcW w:w="4876" w:type="dxa"/>
          </w:tcPr>
          <w:p w:rsidR="004D4C89" w:rsidRPr="006167F9" w:rsidRDefault="004D4C89" w:rsidP="00A90DD5">
            <w:pPr>
              <w:pStyle w:val="Normal6"/>
              <w:rPr>
                <w:b/>
                <w:i/>
              </w:rPr>
            </w:pPr>
            <w:r w:rsidRPr="006167F9">
              <w:t>1.</w:t>
            </w:r>
            <w:r w:rsidRPr="006167F9">
              <w:rPr>
                <w:b/>
                <w:i/>
              </w:rPr>
              <w:tab/>
            </w:r>
            <w:r w:rsidRPr="006167F9">
              <w:t>Što je prije moguće, a najkasnije šest tjedana nakon</w:t>
            </w:r>
            <w:r w:rsidRPr="006167F9">
              <w:rPr>
                <w:b/>
                <w:i/>
              </w:rPr>
              <w:t xml:space="preserve"> završetka</w:t>
            </w:r>
            <w:r w:rsidRPr="006167F9">
              <w:t xml:space="preserve"> elektroenergetske krizne situacije,</w:t>
            </w:r>
            <w:r w:rsidRPr="006167F9">
              <w:rPr>
                <w:b/>
                <w:i/>
              </w:rPr>
              <w:t xml:space="preserve"> predmetna nadležna tijela</w:t>
            </w:r>
            <w:r w:rsidRPr="006167F9">
              <w:t>, uz savjetovanje</w:t>
            </w:r>
            <w:r w:rsidRPr="006167F9">
              <w:rPr>
                <w:b/>
                <w:i/>
              </w:rPr>
              <w:t xml:space="preserve"> s vlastitim</w:t>
            </w:r>
            <w:r w:rsidRPr="006167F9">
              <w:t xml:space="preserve"> nacionalnim regulatornim tijelom</w:t>
            </w:r>
            <w:r w:rsidRPr="006167F9">
              <w:rPr>
                <w:b/>
                <w:i/>
              </w:rPr>
              <w:t xml:space="preserve"> </w:t>
            </w:r>
            <w:r w:rsidRPr="006167F9">
              <w:t>(u slučajevima</w:t>
            </w:r>
            <w:r w:rsidRPr="006167F9">
              <w:rPr>
                <w:b/>
                <w:i/>
              </w:rPr>
              <w:t xml:space="preserve"> kada ono</w:t>
            </w:r>
            <w:r w:rsidRPr="006167F9">
              <w:t xml:space="preserve"> nije</w:t>
            </w:r>
            <w:r w:rsidRPr="006167F9">
              <w:rPr>
                <w:b/>
                <w:i/>
              </w:rPr>
              <w:t xml:space="preserve"> nadležno</w:t>
            </w:r>
            <w:r w:rsidRPr="006167F9">
              <w:t xml:space="preserve"> tijelo)</w:t>
            </w:r>
            <w:r w:rsidRPr="006167F9">
              <w:rPr>
                <w:b/>
                <w:i/>
              </w:rPr>
              <w:t xml:space="preserve"> podnose</w:t>
            </w:r>
            <w:r w:rsidRPr="006167F9">
              <w:t xml:space="preserve"> Koordinacijskoj skupini za električnu energiju i Komisiji</w:t>
            </w:r>
            <w:r w:rsidRPr="006167F9">
              <w:rPr>
                <w:b/>
                <w:i/>
              </w:rPr>
              <w:t xml:space="preserve"> detaljno</w:t>
            </w:r>
            <w:r w:rsidRPr="006167F9">
              <w:t xml:space="preserve"> izvješće o evaluaciji.</w:t>
            </w:r>
          </w:p>
        </w:tc>
      </w:tr>
    </w:tbl>
    <w:p w:rsidR="00084A59" w:rsidRPr="006167F9" w:rsidRDefault="00084A59" w:rsidP="004D4C89"/>
    <w:p w:rsidR="004D4C89" w:rsidRPr="006167F9" w:rsidRDefault="004D4C89" w:rsidP="004D4C89">
      <w:pPr>
        <w:pStyle w:val="AMNumberTabs"/>
        <w:keepNext/>
      </w:pPr>
      <w:r w:rsidRPr="006167F9">
        <w:t>Amandman</w:t>
      </w:r>
      <w:r w:rsidRPr="006167F9">
        <w:tab/>
      </w:r>
      <w:r w:rsidRPr="006167F9">
        <w:tab/>
        <w:t>53</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16. – stavak 2. – točka d</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D4C89" w:rsidRPr="006167F9" w:rsidTr="00A90DD5">
        <w:trPr>
          <w:jc w:val="center"/>
        </w:trPr>
        <w:tc>
          <w:tcPr>
            <w:tcW w:w="9752" w:type="dxa"/>
            <w:gridSpan w:val="2"/>
          </w:tcPr>
          <w:p w:rsidR="004D4C89" w:rsidRPr="006167F9" w:rsidRDefault="004D4C89" w:rsidP="00A90DD5">
            <w:pPr>
              <w:keepNext/>
            </w:pPr>
          </w:p>
        </w:tc>
      </w:tr>
      <w:tr w:rsidR="004D4C89" w:rsidRPr="006167F9" w:rsidTr="00A90DD5">
        <w:trPr>
          <w:jc w:val="center"/>
        </w:trPr>
        <w:tc>
          <w:tcPr>
            <w:tcW w:w="4876" w:type="dxa"/>
          </w:tcPr>
          <w:p w:rsidR="004D4C89" w:rsidRPr="006167F9" w:rsidRDefault="004D4C89" w:rsidP="00A90DD5">
            <w:pPr>
              <w:pStyle w:val="ColumnHeading"/>
              <w:keepNext/>
            </w:pPr>
            <w:r w:rsidRPr="006167F9">
              <w:t>Tekst koji je predložila Komisija</w:t>
            </w:r>
          </w:p>
        </w:tc>
        <w:tc>
          <w:tcPr>
            <w:tcW w:w="4876" w:type="dxa"/>
          </w:tcPr>
          <w:p w:rsidR="004D4C89" w:rsidRPr="006167F9" w:rsidRDefault="004D4C89" w:rsidP="00A90DD5">
            <w:pPr>
              <w:pStyle w:val="ColumnHeading"/>
              <w:keepNext/>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(d)</w:t>
            </w:r>
            <w:r w:rsidRPr="006167F9">
              <w:rPr>
                <w:b/>
                <w:i/>
              </w:rPr>
              <w:tab/>
            </w:r>
            <w:r w:rsidRPr="006167F9">
              <w:t>izvještaj o pomoći pruženoj susjednim državama članicama ili trećim zemljama ili primljenoj od njih;</w:t>
            </w:r>
          </w:p>
        </w:tc>
        <w:tc>
          <w:tcPr>
            <w:tcW w:w="4876" w:type="dxa"/>
          </w:tcPr>
          <w:p w:rsidR="004D4C89" w:rsidRPr="006167F9" w:rsidRDefault="004D4C89" w:rsidP="00A90DD5">
            <w:pPr>
              <w:pStyle w:val="Normal6"/>
              <w:rPr>
                <w:b/>
                <w:i/>
                <w:szCs w:val="24"/>
              </w:rPr>
            </w:pPr>
            <w:r w:rsidRPr="006167F9">
              <w:t>(d)</w:t>
            </w:r>
            <w:r w:rsidRPr="006167F9">
              <w:rPr>
                <w:b/>
                <w:i/>
              </w:rPr>
              <w:tab/>
            </w:r>
            <w:r w:rsidRPr="006167F9">
              <w:t>izvještaj o</w:t>
            </w:r>
            <w:r w:rsidRPr="006167F9">
              <w:rPr>
                <w:b/>
                <w:i/>
              </w:rPr>
              <w:t xml:space="preserve"> pripremljenoj</w:t>
            </w:r>
            <w:r w:rsidRPr="006167F9">
              <w:t xml:space="preserve"> pomoći</w:t>
            </w:r>
            <w:r w:rsidRPr="006167F9">
              <w:rPr>
                <w:b/>
                <w:i/>
              </w:rPr>
              <w:t xml:space="preserve"> (bilo da je u konačnici pružena ili ne), pomoći</w:t>
            </w:r>
            <w:r w:rsidRPr="006167F9">
              <w:t xml:space="preserve"> pruženoj susjednim državama članicama ili trećim zemljama ili primljenoj od njih;</w:t>
            </w:r>
          </w:p>
        </w:tc>
      </w:tr>
    </w:tbl>
    <w:p w:rsidR="004D4C89" w:rsidRPr="006167F9" w:rsidRDefault="004D4C89" w:rsidP="004D4C89"/>
    <w:p w:rsidR="004D4C89" w:rsidRPr="006167F9" w:rsidRDefault="004D4C89" w:rsidP="004D4C89">
      <w:pPr>
        <w:pStyle w:val="AMNumberTabs"/>
        <w:keepNext/>
      </w:pPr>
      <w:r w:rsidRPr="006167F9">
        <w:t>Amandman</w:t>
      </w:r>
      <w:r w:rsidRPr="006167F9">
        <w:tab/>
      </w:r>
      <w:r w:rsidRPr="006167F9">
        <w:tab/>
        <w:t>54</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16. – stavak 2. – točka e</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D4C89" w:rsidRPr="006167F9" w:rsidTr="00A90DD5">
        <w:trPr>
          <w:jc w:val="center"/>
        </w:trPr>
        <w:tc>
          <w:tcPr>
            <w:tcW w:w="9752" w:type="dxa"/>
            <w:gridSpan w:val="2"/>
          </w:tcPr>
          <w:p w:rsidR="004D4C89" w:rsidRPr="006167F9" w:rsidRDefault="004D4C89" w:rsidP="00A90DD5">
            <w:pPr>
              <w:keepNext/>
            </w:pPr>
          </w:p>
        </w:tc>
      </w:tr>
      <w:tr w:rsidR="004D4C89" w:rsidRPr="006167F9" w:rsidTr="00A90DD5">
        <w:trPr>
          <w:jc w:val="center"/>
        </w:trPr>
        <w:tc>
          <w:tcPr>
            <w:tcW w:w="4876" w:type="dxa"/>
          </w:tcPr>
          <w:p w:rsidR="004D4C89" w:rsidRPr="006167F9" w:rsidRDefault="004D4C89" w:rsidP="00A90DD5">
            <w:pPr>
              <w:pStyle w:val="ColumnHeading"/>
              <w:keepNext/>
            </w:pPr>
            <w:r w:rsidRPr="006167F9">
              <w:t>Tekst koji je predložila Komisija</w:t>
            </w:r>
          </w:p>
        </w:tc>
        <w:tc>
          <w:tcPr>
            <w:tcW w:w="4876" w:type="dxa"/>
          </w:tcPr>
          <w:p w:rsidR="004D4C89" w:rsidRPr="006167F9" w:rsidRDefault="004D4C89" w:rsidP="00A90DD5">
            <w:pPr>
              <w:pStyle w:val="ColumnHeading"/>
              <w:keepNext/>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(e)</w:t>
            </w:r>
            <w:r w:rsidRPr="006167F9">
              <w:rPr>
                <w:b/>
                <w:i/>
              </w:rPr>
              <w:tab/>
            </w:r>
            <w:r w:rsidRPr="006167F9">
              <w:t>gospodarski učinak elektroenergetske krize i učinak mjera poduzetih u sektoru električne energije, a osobito količine neisporučene energije</w:t>
            </w:r>
            <w:r w:rsidRPr="006167F9">
              <w:rPr>
                <w:b/>
                <w:i/>
              </w:rPr>
              <w:t xml:space="preserve"> i</w:t>
            </w:r>
            <w:r w:rsidRPr="006167F9">
              <w:t xml:space="preserve"> razinu ručnog isključivanja potražnje</w:t>
            </w:r>
            <w:r w:rsidRPr="006167F9">
              <w:rPr>
                <w:b/>
                <w:i/>
              </w:rPr>
              <w:t xml:space="preserve"> </w:t>
            </w:r>
            <w:r w:rsidRPr="006167F9">
              <w:t>(uključujući usporedbu između razine dobrovoljnog i prisilnog isključivanja potražnje);</w:t>
            </w:r>
          </w:p>
        </w:tc>
        <w:tc>
          <w:tcPr>
            <w:tcW w:w="4876" w:type="dxa"/>
          </w:tcPr>
          <w:p w:rsidR="004D4C89" w:rsidRPr="006167F9" w:rsidRDefault="004D4C89" w:rsidP="00A90DD5">
            <w:pPr>
              <w:pStyle w:val="Normal6"/>
              <w:rPr>
                <w:b/>
                <w:i/>
                <w:szCs w:val="24"/>
              </w:rPr>
            </w:pPr>
            <w:r w:rsidRPr="006167F9">
              <w:t>(e)</w:t>
            </w:r>
            <w:r w:rsidRPr="006167F9">
              <w:rPr>
                <w:b/>
                <w:i/>
              </w:rPr>
              <w:tab/>
            </w:r>
            <w:r w:rsidRPr="006167F9">
              <w:t>gospodarski učinak elektroenergetske krize i učinak mjera poduzetih u sektoru električne energije, a osobito količine neisporučene energije</w:t>
            </w:r>
            <w:r w:rsidRPr="006167F9">
              <w:rPr>
                <w:b/>
                <w:i/>
              </w:rPr>
              <w:t>, ograničenje dostupnih ili dodijeljenih prekozonskih kapaciteta,</w:t>
            </w:r>
            <w:r w:rsidRPr="006167F9">
              <w:t xml:space="preserve"> razinu ručnog isključivanja potražnje</w:t>
            </w:r>
            <w:r w:rsidRPr="006167F9">
              <w:rPr>
                <w:b/>
                <w:i/>
              </w:rPr>
              <w:t xml:space="preserve"> </w:t>
            </w:r>
            <w:r w:rsidRPr="006167F9">
              <w:t>(uključujući usporedbu između razine dobrovoljnog i prisilnog isključivanja potražnje)</w:t>
            </w:r>
            <w:r w:rsidRPr="006167F9">
              <w:rPr>
                <w:b/>
                <w:i/>
              </w:rPr>
              <w:t xml:space="preserve"> i mjere nametnute dionicima, kao što su elektrane, opskrbljivači i ostali relevantni tržišni sudionici</w:t>
            </w:r>
            <w:r w:rsidRPr="006167F9">
              <w:t>;</w:t>
            </w:r>
          </w:p>
        </w:tc>
      </w:tr>
    </w:tbl>
    <w:p w:rsidR="004D4C89" w:rsidRPr="006167F9" w:rsidRDefault="004D4C89" w:rsidP="004D4C89"/>
    <w:p w:rsidR="004D4C89" w:rsidRPr="006167F9" w:rsidRDefault="004D4C89" w:rsidP="004D4C89">
      <w:pPr>
        <w:pStyle w:val="AMNumberTabs"/>
        <w:keepNext/>
      </w:pPr>
      <w:r w:rsidRPr="006167F9">
        <w:t>Amandman</w:t>
      </w:r>
      <w:r w:rsidRPr="006167F9">
        <w:tab/>
      </w:r>
      <w:r w:rsidRPr="006167F9">
        <w:tab/>
        <w:t>55</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16. – stavak 2. – točka ea (nova)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D4C89" w:rsidRPr="006167F9" w:rsidTr="00A90DD5">
        <w:trPr>
          <w:jc w:val="center"/>
        </w:trPr>
        <w:tc>
          <w:tcPr>
            <w:tcW w:w="9752" w:type="dxa"/>
            <w:gridSpan w:val="2"/>
          </w:tcPr>
          <w:p w:rsidR="004D4C89" w:rsidRPr="006167F9" w:rsidRDefault="004D4C89" w:rsidP="00A90DD5">
            <w:pPr>
              <w:keepNext/>
            </w:pPr>
          </w:p>
        </w:tc>
      </w:tr>
      <w:tr w:rsidR="004D4C89" w:rsidRPr="006167F9" w:rsidTr="00A90DD5">
        <w:trPr>
          <w:jc w:val="center"/>
        </w:trPr>
        <w:tc>
          <w:tcPr>
            <w:tcW w:w="4876" w:type="dxa"/>
          </w:tcPr>
          <w:p w:rsidR="004D4C89" w:rsidRPr="006167F9" w:rsidRDefault="004D4C89" w:rsidP="00A90DD5">
            <w:pPr>
              <w:pStyle w:val="ColumnHeading"/>
              <w:keepNext/>
            </w:pPr>
            <w:r w:rsidRPr="006167F9">
              <w:t>Tekst koji je predložila Komisija</w:t>
            </w:r>
          </w:p>
        </w:tc>
        <w:tc>
          <w:tcPr>
            <w:tcW w:w="4876" w:type="dxa"/>
          </w:tcPr>
          <w:p w:rsidR="004D4C89" w:rsidRPr="006167F9" w:rsidRDefault="004D4C89" w:rsidP="00A90DD5">
            <w:pPr>
              <w:pStyle w:val="ColumnHeading"/>
              <w:keepNext/>
            </w:pPr>
            <w:r w:rsidRPr="006167F9">
              <w:t>Izmjena</w:t>
            </w:r>
          </w:p>
        </w:tc>
      </w:tr>
      <w:tr w:rsidR="004D4C89" w:rsidRPr="006167F9" w:rsidTr="00A90DD5">
        <w:trPr>
          <w:jc w:val="center"/>
        </w:trPr>
        <w:tc>
          <w:tcPr>
            <w:tcW w:w="4876" w:type="dxa"/>
          </w:tcPr>
          <w:p w:rsidR="004D4C89" w:rsidRPr="006167F9" w:rsidRDefault="004D4C89" w:rsidP="00A90DD5">
            <w:pPr>
              <w:pStyle w:val="Normal6"/>
            </w:pPr>
          </w:p>
        </w:tc>
        <w:tc>
          <w:tcPr>
            <w:tcW w:w="4876" w:type="dxa"/>
          </w:tcPr>
          <w:p w:rsidR="004D4C89" w:rsidRPr="006167F9" w:rsidRDefault="004D4C89" w:rsidP="00A90DD5">
            <w:pPr>
              <w:pStyle w:val="Normal6"/>
              <w:rPr>
                <w:b/>
                <w:i/>
                <w:szCs w:val="24"/>
              </w:rPr>
            </w:pPr>
            <w:r w:rsidRPr="006167F9">
              <w:rPr>
                <w:b/>
                <w:i/>
              </w:rPr>
              <w:t>(e a)</w:t>
            </w:r>
            <w:r w:rsidRPr="006167F9">
              <w:rPr>
                <w:b/>
                <w:i/>
              </w:rPr>
              <w:tab/>
              <w:t>temeljito opravdanje primjene netržišnih mjera;</w:t>
            </w:r>
          </w:p>
        </w:tc>
      </w:tr>
    </w:tbl>
    <w:p w:rsidR="004D4C89" w:rsidRPr="006167F9" w:rsidRDefault="004D4C89" w:rsidP="004D4C89"/>
    <w:p w:rsidR="004D4C89" w:rsidRPr="006167F9" w:rsidRDefault="004D4C89" w:rsidP="004D4C89">
      <w:pPr>
        <w:pStyle w:val="AMNumberTabs"/>
        <w:keepNext/>
      </w:pPr>
      <w:r w:rsidRPr="006167F9">
        <w:t>Amandman</w:t>
      </w:r>
      <w:r w:rsidRPr="006167F9">
        <w:tab/>
      </w:r>
      <w:r w:rsidRPr="006167F9">
        <w:tab/>
        <w:t>56</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16. – stavak 2. – točka fa (nova)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D4C89" w:rsidRPr="006167F9" w:rsidTr="00A90DD5">
        <w:trPr>
          <w:jc w:val="center"/>
        </w:trPr>
        <w:tc>
          <w:tcPr>
            <w:tcW w:w="9752" w:type="dxa"/>
            <w:gridSpan w:val="2"/>
          </w:tcPr>
          <w:p w:rsidR="004D4C89" w:rsidRPr="006167F9" w:rsidRDefault="004D4C89" w:rsidP="00A90DD5">
            <w:pPr>
              <w:keepNext/>
            </w:pPr>
          </w:p>
        </w:tc>
      </w:tr>
      <w:tr w:rsidR="004D4C89" w:rsidRPr="006167F9" w:rsidTr="00A90DD5">
        <w:trPr>
          <w:jc w:val="center"/>
        </w:trPr>
        <w:tc>
          <w:tcPr>
            <w:tcW w:w="4876" w:type="dxa"/>
          </w:tcPr>
          <w:p w:rsidR="004D4C89" w:rsidRPr="006167F9" w:rsidRDefault="004D4C89" w:rsidP="00A90DD5">
            <w:pPr>
              <w:pStyle w:val="ColumnHeading"/>
              <w:keepNext/>
            </w:pPr>
            <w:r w:rsidRPr="006167F9">
              <w:t>Tekst koji je predložila Komisija</w:t>
            </w:r>
          </w:p>
        </w:tc>
        <w:tc>
          <w:tcPr>
            <w:tcW w:w="4876" w:type="dxa"/>
          </w:tcPr>
          <w:p w:rsidR="004D4C89" w:rsidRPr="006167F9" w:rsidRDefault="004D4C89" w:rsidP="00A90DD5">
            <w:pPr>
              <w:pStyle w:val="ColumnHeading"/>
              <w:keepNext/>
            </w:pPr>
            <w:r w:rsidRPr="006167F9">
              <w:t>Izmjena</w:t>
            </w:r>
          </w:p>
        </w:tc>
      </w:tr>
      <w:tr w:rsidR="004D4C89" w:rsidRPr="006167F9" w:rsidTr="00A90DD5">
        <w:trPr>
          <w:jc w:val="center"/>
        </w:trPr>
        <w:tc>
          <w:tcPr>
            <w:tcW w:w="4876" w:type="dxa"/>
          </w:tcPr>
          <w:p w:rsidR="004D4C89" w:rsidRPr="006167F9" w:rsidRDefault="004D4C89" w:rsidP="00A90DD5">
            <w:pPr>
              <w:pStyle w:val="Normal6"/>
            </w:pPr>
          </w:p>
        </w:tc>
        <w:tc>
          <w:tcPr>
            <w:tcW w:w="4876" w:type="dxa"/>
          </w:tcPr>
          <w:p w:rsidR="004D4C89" w:rsidRPr="006167F9" w:rsidRDefault="004D4C89" w:rsidP="00A90DD5">
            <w:pPr>
              <w:pStyle w:val="Normal6"/>
              <w:rPr>
                <w:b/>
                <w:i/>
                <w:szCs w:val="24"/>
              </w:rPr>
            </w:pPr>
            <w:r w:rsidRPr="006167F9">
              <w:rPr>
                <w:b/>
                <w:i/>
              </w:rPr>
              <w:t>(f a)</w:t>
            </w:r>
            <w:r w:rsidRPr="006167F9">
              <w:rPr>
                <w:b/>
                <w:i/>
              </w:rPr>
              <w:tab/>
              <w:t>pregled toga kako bi buduća mreža trebala izgledati kako bi se nosila s posljedicama koje su rezultat utvrđenih električnih kriza, uz opis strukturnih slabosti sustava, u skladu s načelima utvrđenima Direktivom (EU) ... [o zajedničkim pravilima za unutarnje tržište električne energije, COM(2016)864], te uz utvrđivanje periodičnih planova razvoja mreže [tekst treba uskladiti s relevantnim odredbama prijedloga direktive o modelu tržišta].</w:t>
            </w:r>
          </w:p>
        </w:tc>
      </w:tr>
    </w:tbl>
    <w:p w:rsidR="004D4C89" w:rsidRPr="006167F9" w:rsidRDefault="004D4C89" w:rsidP="004D4C89"/>
    <w:p w:rsidR="004D4C89" w:rsidRPr="006167F9" w:rsidRDefault="004D4C89" w:rsidP="004D4C89">
      <w:pPr>
        <w:pStyle w:val="AMNumberTabs"/>
      </w:pPr>
      <w:r w:rsidRPr="006167F9">
        <w:t>Amandman</w:t>
      </w:r>
      <w:r w:rsidRPr="006167F9">
        <w:tab/>
      </w:r>
      <w:r w:rsidRPr="006167F9">
        <w:tab/>
        <w:t>57</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16. – stavak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C89" w:rsidRPr="006167F9" w:rsidTr="00A90DD5">
        <w:trPr>
          <w:trHeight w:hRule="exact" w:val="240"/>
          <w:jc w:val="center"/>
        </w:trPr>
        <w:tc>
          <w:tcPr>
            <w:tcW w:w="9752" w:type="dxa"/>
            <w:gridSpan w:val="2"/>
          </w:tcPr>
          <w:p w:rsidR="004D4C89" w:rsidRPr="006167F9" w:rsidRDefault="004D4C89" w:rsidP="00A90DD5"/>
        </w:tc>
      </w:tr>
      <w:tr w:rsidR="004D4C89" w:rsidRPr="006167F9" w:rsidTr="00A90DD5">
        <w:trPr>
          <w:trHeight w:val="240"/>
          <w:jc w:val="center"/>
        </w:trPr>
        <w:tc>
          <w:tcPr>
            <w:tcW w:w="4876" w:type="dxa"/>
          </w:tcPr>
          <w:p w:rsidR="004D4C89" w:rsidRPr="006167F9" w:rsidRDefault="004D4C89" w:rsidP="00A90DD5">
            <w:pPr>
              <w:pStyle w:val="ColumnHeading"/>
            </w:pPr>
            <w:r w:rsidRPr="006167F9">
              <w:t>Tekst koji je predložila Komisija</w:t>
            </w:r>
          </w:p>
        </w:tc>
        <w:tc>
          <w:tcPr>
            <w:tcW w:w="4876" w:type="dxa"/>
          </w:tcPr>
          <w:p w:rsidR="004D4C89" w:rsidRPr="006167F9" w:rsidRDefault="004D4C89" w:rsidP="00A90DD5">
            <w:pPr>
              <w:pStyle w:val="ColumnHeading"/>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4.</w:t>
            </w:r>
            <w:r w:rsidRPr="006167F9">
              <w:rPr>
                <w:b/>
                <w:i/>
              </w:rPr>
              <w:tab/>
            </w:r>
            <w:r w:rsidRPr="006167F9">
              <w:t>Predmetna nadležna tijela podnose rezultate evaluacije Koordinacijskoj skupini za električnu energiju.</w:t>
            </w:r>
          </w:p>
        </w:tc>
        <w:tc>
          <w:tcPr>
            <w:tcW w:w="4876" w:type="dxa"/>
          </w:tcPr>
          <w:p w:rsidR="004D4C89" w:rsidRPr="006167F9" w:rsidRDefault="004D4C89" w:rsidP="00A90DD5">
            <w:pPr>
              <w:pStyle w:val="Normal6"/>
              <w:rPr>
                <w:b/>
                <w:i/>
              </w:rPr>
            </w:pPr>
            <w:r w:rsidRPr="006167F9">
              <w:t>4.</w:t>
            </w:r>
            <w:r w:rsidRPr="006167F9">
              <w:rPr>
                <w:b/>
                <w:i/>
              </w:rPr>
              <w:tab/>
            </w:r>
            <w:r w:rsidRPr="006167F9">
              <w:t>Predmetna nadležna tijela podnose rezultate evaluacije Koordinacijskoj skupini za električnu energiju.</w:t>
            </w:r>
            <w:r w:rsidRPr="006167F9">
              <w:rPr>
                <w:b/>
                <w:i/>
              </w:rPr>
              <w:t xml:space="preserve"> Ti rezultati moraju biti odraženi u ažuriranjima planova pripremljenosti za rizike.</w:t>
            </w:r>
          </w:p>
        </w:tc>
      </w:tr>
    </w:tbl>
    <w:p w:rsidR="004D4C89" w:rsidRPr="006167F9" w:rsidRDefault="004D4C89" w:rsidP="004D4C89"/>
    <w:p w:rsidR="004D4C89" w:rsidRPr="006167F9" w:rsidRDefault="004D4C89" w:rsidP="004D4C89">
      <w:pPr>
        <w:pStyle w:val="AMNumberTabs"/>
      </w:pPr>
      <w:r w:rsidRPr="006167F9">
        <w:t>Amandman</w:t>
      </w:r>
      <w:r w:rsidRPr="006167F9">
        <w:tab/>
      </w:r>
      <w:r w:rsidRPr="006167F9">
        <w:tab/>
        <w:t>58</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Članak 19. – stavak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C89" w:rsidRPr="006167F9" w:rsidTr="00A90DD5">
        <w:trPr>
          <w:trHeight w:hRule="exact" w:val="240"/>
          <w:jc w:val="center"/>
        </w:trPr>
        <w:tc>
          <w:tcPr>
            <w:tcW w:w="9752" w:type="dxa"/>
            <w:gridSpan w:val="2"/>
          </w:tcPr>
          <w:p w:rsidR="004D4C89" w:rsidRPr="006167F9" w:rsidRDefault="004D4C89" w:rsidP="00A90DD5"/>
        </w:tc>
      </w:tr>
      <w:tr w:rsidR="004D4C89" w:rsidRPr="006167F9" w:rsidTr="00A90DD5">
        <w:trPr>
          <w:trHeight w:val="240"/>
          <w:jc w:val="center"/>
        </w:trPr>
        <w:tc>
          <w:tcPr>
            <w:tcW w:w="4876" w:type="dxa"/>
          </w:tcPr>
          <w:p w:rsidR="004D4C89" w:rsidRPr="006167F9" w:rsidRDefault="004D4C89" w:rsidP="00A90DD5">
            <w:pPr>
              <w:pStyle w:val="ColumnHeading"/>
            </w:pPr>
            <w:r w:rsidRPr="006167F9">
              <w:t>Tekst koji je predložila Komisija</w:t>
            </w:r>
          </w:p>
        </w:tc>
        <w:tc>
          <w:tcPr>
            <w:tcW w:w="4876" w:type="dxa"/>
          </w:tcPr>
          <w:p w:rsidR="004D4C89" w:rsidRPr="006167F9" w:rsidRDefault="004D4C89" w:rsidP="00A90DD5">
            <w:pPr>
              <w:pStyle w:val="ColumnHeading"/>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5.</w:t>
            </w:r>
            <w:r w:rsidRPr="006167F9">
              <w:rPr>
                <w:b/>
                <w:i/>
              </w:rPr>
              <w:tab/>
            </w:r>
            <w:r w:rsidRPr="006167F9">
              <w:t>Čim donese delegirani akt, Komisija ga istodobno priopćuje Europskom parlamentu i</w:t>
            </w:r>
            <w:r w:rsidRPr="006167F9">
              <w:rPr>
                <w:b/>
                <w:i/>
              </w:rPr>
              <w:t xml:space="preserve"> Vijeću</w:t>
            </w:r>
            <w:r w:rsidRPr="006167F9">
              <w:t>.</w:t>
            </w:r>
          </w:p>
        </w:tc>
        <w:tc>
          <w:tcPr>
            <w:tcW w:w="4876" w:type="dxa"/>
          </w:tcPr>
          <w:p w:rsidR="004D4C89" w:rsidRPr="006167F9" w:rsidRDefault="004D4C89" w:rsidP="00A90DD5">
            <w:pPr>
              <w:pStyle w:val="Normal6"/>
              <w:rPr>
                <w:b/>
                <w:i/>
              </w:rPr>
            </w:pPr>
            <w:r w:rsidRPr="006167F9">
              <w:t>5.</w:t>
            </w:r>
            <w:r w:rsidRPr="006167F9">
              <w:rPr>
                <w:b/>
                <w:i/>
              </w:rPr>
              <w:tab/>
            </w:r>
            <w:r w:rsidRPr="006167F9">
              <w:t>Čim donese delegirani akt, Komisija ga istodobno priopćuje Europskom parlamentu</w:t>
            </w:r>
            <w:r w:rsidRPr="006167F9">
              <w:rPr>
                <w:b/>
                <w:i/>
              </w:rPr>
              <w:t>, Vijeću</w:t>
            </w:r>
            <w:r w:rsidRPr="006167F9">
              <w:t xml:space="preserve"> i</w:t>
            </w:r>
            <w:r w:rsidRPr="006167F9">
              <w:rPr>
                <w:b/>
                <w:i/>
              </w:rPr>
              <w:t xml:space="preserve"> Službenom listu Europske unije</w:t>
            </w:r>
            <w:r w:rsidRPr="006167F9">
              <w:t>.</w:t>
            </w:r>
          </w:p>
        </w:tc>
      </w:tr>
    </w:tbl>
    <w:p w:rsidR="00084A59" w:rsidRPr="006167F9" w:rsidRDefault="00084A59" w:rsidP="004D4C89"/>
    <w:p w:rsidR="004D4C89" w:rsidRPr="006167F9" w:rsidRDefault="004D4C89" w:rsidP="004D4C89">
      <w:pPr>
        <w:pStyle w:val="AMNumberTabs"/>
        <w:keepNext/>
      </w:pPr>
      <w:r w:rsidRPr="006167F9">
        <w:t>Amandman</w:t>
      </w:r>
      <w:r w:rsidRPr="006167F9">
        <w:tab/>
      </w:r>
      <w:r w:rsidRPr="006167F9">
        <w:tab/>
        <w:t>59</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 xml:space="preserve">Prilog I. – dio 3. – poddio 3.1. – točka c </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D4C89" w:rsidRPr="006167F9" w:rsidTr="00A90DD5">
        <w:trPr>
          <w:jc w:val="center"/>
        </w:trPr>
        <w:tc>
          <w:tcPr>
            <w:tcW w:w="9752" w:type="dxa"/>
            <w:gridSpan w:val="2"/>
          </w:tcPr>
          <w:p w:rsidR="004D4C89" w:rsidRPr="006167F9" w:rsidRDefault="004D4C89" w:rsidP="00A90DD5">
            <w:pPr>
              <w:keepNext/>
            </w:pPr>
          </w:p>
        </w:tc>
      </w:tr>
      <w:tr w:rsidR="004D4C89" w:rsidRPr="006167F9" w:rsidTr="00A90DD5">
        <w:trPr>
          <w:jc w:val="center"/>
        </w:trPr>
        <w:tc>
          <w:tcPr>
            <w:tcW w:w="4876" w:type="dxa"/>
          </w:tcPr>
          <w:p w:rsidR="004D4C89" w:rsidRPr="006167F9" w:rsidRDefault="004D4C89" w:rsidP="00A90DD5">
            <w:pPr>
              <w:pStyle w:val="ColumnHeading"/>
              <w:keepNext/>
            </w:pPr>
            <w:r w:rsidRPr="006167F9">
              <w:t>Tekst koji je predložila Komisija</w:t>
            </w:r>
          </w:p>
        </w:tc>
        <w:tc>
          <w:tcPr>
            <w:tcW w:w="4876" w:type="dxa"/>
          </w:tcPr>
          <w:p w:rsidR="004D4C89" w:rsidRPr="006167F9" w:rsidRDefault="004D4C89" w:rsidP="00A90DD5">
            <w:pPr>
              <w:pStyle w:val="ColumnHeading"/>
              <w:keepNext/>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(c)</w:t>
            </w:r>
            <w:r w:rsidRPr="006167F9">
              <w:rPr>
                <w:b/>
                <w:i/>
              </w:rPr>
              <w:tab/>
            </w:r>
            <w:r w:rsidRPr="006167F9">
              <w:t>opišite mjere za ublažavanje elektroenergetskih kriznih situacija, osobito mjere na strani ponude i na strani potražnje, pri čemu treba navesti u kojim se okolnostima te mjere mogu upotrebljavati i koji su pokretači za svaku pojedinačnu mjeru</w:t>
            </w:r>
            <w:r w:rsidRPr="006167F9">
              <w:rPr>
                <w:b/>
                <w:i/>
              </w:rPr>
              <w:t>.</w:t>
            </w:r>
            <w:r w:rsidRPr="006167F9">
              <w:t xml:space="preserve"> U slučajevima u kojima se razmatraju netržišne mjere, one moraju biti valjano opravdane s obzirom na zahtjeve iz članka 15.;</w:t>
            </w:r>
          </w:p>
        </w:tc>
        <w:tc>
          <w:tcPr>
            <w:tcW w:w="4876" w:type="dxa"/>
          </w:tcPr>
          <w:p w:rsidR="004D4C89" w:rsidRPr="006167F9" w:rsidRDefault="004D4C89" w:rsidP="00A90DD5">
            <w:pPr>
              <w:pStyle w:val="Normal6"/>
              <w:rPr>
                <w:b/>
                <w:i/>
                <w:szCs w:val="24"/>
              </w:rPr>
            </w:pPr>
            <w:r w:rsidRPr="006167F9">
              <w:t>(c)</w:t>
            </w:r>
            <w:r w:rsidRPr="006167F9">
              <w:rPr>
                <w:b/>
                <w:i/>
              </w:rPr>
              <w:tab/>
            </w:r>
            <w:r w:rsidRPr="006167F9">
              <w:t>opišite mjere za ublažavanje elektroenergetskih kriznih situacija, osobito mjere na strani ponude</w:t>
            </w:r>
            <w:r w:rsidRPr="006167F9">
              <w:rPr>
                <w:b/>
                <w:i/>
              </w:rPr>
              <w:t>, na strani mreže</w:t>
            </w:r>
            <w:r w:rsidRPr="006167F9">
              <w:t xml:space="preserve"> i na strani potražnje, pri čemu treba navesti u kojim se okolnostima te mjere mogu upotrebljavati i koji su pokretači za svaku pojedinačnu mjeru</w:t>
            </w:r>
            <w:r w:rsidRPr="006167F9">
              <w:rPr>
                <w:b/>
                <w:i/>
              </w:rPr>
              <w:t>;</w:t>
            </w:r>
            <w:r w:rsidRPr="006167F9">
              <w:t xml:space="preserve"> u slučajevima u kojima se razmatraju netržišne mjere, one moraju biti valjano opravdane s obzirom na zahtjeve iz članka 15.;</w:t>
            </w:r>
          </w:p>
        </w:tc>
      </w:tr>
    </w:tbl>
    <w:p w:rsidR="004D4C89" w:rsidRPr="006167F9" w:rsidRDefault="004D4C89" w:rsidP="004D4C89"/>
    <w:p w:rsidR="004D4C89" w:rsidRPr="006167F9" w:rsidRDefault="004D4C89" w:rsidP="004D4C89">
      <w:pPr>
        <w:pStyle w:val="AMNumberTabs"/>
        <w:keepNext/>
      </w:pPr>
      <w:r w:rsidRPr="006167F9">
        <w:t>Amandman</w:t>
      </w:r>
      <w:r w:rsidRPr="006167F9">
        <w:tab/>
      </w:r>
      <w:r w:rsidRPr="006167F9">
        <w:tab/>
        <w:t>60</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Prilog I. – dio 3. – poddio 3.1. – točka ea (nova)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D4C89" w:rsidRPr="006167F9" w:rsidTr="00A90DD5">
        <w:trPr>
          <w:jc w:val="center"/>
        </w:trPr>
        <w:tc>
          <w:tcPr>
            <w:tcW w:w="9752" w:type="dxa"/>
            <w:gridSpan w:val="2"/>
          </w:tcPr>
          <w:p w:rsidR="004D4C89" w:rsidRPr="006167F9" w:rsidRDefault="004D4C89" w:rsidP="00A90DD5">
            <w:pPr>
              <w:keepNext/>
            </w:pPr>
          </w:p>
        </w:tc>
      </w:tr>
      <w:tr w:rsidR="004D4C89" w:rsidRPr="006167F9" w:rsidTr="00A90DD5">
        <w:trPr>
          <w:jc w:val="center"/>
        </w:trPr>
        <w:tc>
          <w:tcPr>
            <w:tcW w:w="4876" w:type="dxa"/>
          </w:tcPr>
          <w:p w:rsidR="004D4C89" w:rsidRPr="006167F9" w:rsidRDefault="004D4C89" w:rsidP="00A90DD5">
            <w:pPr>
              <w:pStyle w:val="ColumnHeading"/>
              <w:keepNext/>
            </w:pPr>
            <w:r w:rsidRPr="006167F9">
              <w:t>Tekst koji je predložila Komisija</w:t>
            </w:r>
          </w:p>
        </w:tc>
        <w:tc>
          <w:tcPr>
            <w:tcW w:w="4876" w:type="dxa"/>
          </w:tcPr>
          <w:p w:rsidR="004D4C89" w:rsidRPr="006167F9" w:rsidRDefault="004D4C89" w:rsidP="00A90DD5">
            <w:pPr>
              <w:pStyle w:val="ColumnHeading"/>
              <w:keepNext/>
            </w:pPr>
            <w:r w:rsidRPr="006167F9">
              <w:t>Izmjena</w:t>
            </w:r>
          </w:p>
        </w:tc>
      </w:tr>
      <w:tr w:rsidR="004D4C89" w:rsidRPr="006167F9" w:rsidTr="00A90DD5">
        <w:trPr>
          <w:jc w:val="center"/>
        </w:trPr>
        <w:tc>
          <w:tcPr>
            <w:tcW w:w="4876" w:type="dxa"/>
          </w:tcPr>
          <w:p w:rsidR="004D4C89" w:rsidRPr="006167F9" w:rsidRDefault="004D4C89" w:rsidP="00A90DD5">
            <w:pPr>
              <w:pStyle w:val="Normal6"/>
            </w:pPr>
          </w:p>
        </w:tc>
        <w:tc>
          <w:tcPr>
            <w:tcW w:w="4876" w:type="dxa"/>
          </w:tcPr>
          <w:p w:rsidR="004D4C89" w:rsidRPr="006167F9" w:rsidRDefault="004D4C89" w:rsidP="00A90DD5">
            <w:pPr>
              <w:pStyle w:val="Normal6"/>
              <w:rPr>
                <w:b/>
                <w:i/>
                <w:szCs w:val="24"/>
              </w:rPr>
            </w:pPr>
            <w:r w:rsidRPr="006167F9">
              <w:rPr>
                <w:b/>
                <w:i/>
              </w:rPr>
              <w:t>(ea)</w:t>
            </w:r>
            <w:r w:rsidRPr="006167F9">
              <w:rPr>
                <w:b/>
                <w:i/>
              </w:rPr>
              <w:tab/>
              <w:t>opišite nacionalne mjere potrebne za primjenu i provedbu regionalnih mjera dogovorenih u skladu s člankom 12.</w:t>
            </w:r>
          </w:p>
        </w:tc>
      </w:tr>
    </w:tbl>
    <w:p w:rsidR="004D4C89" w:rsidRPr="006167F9" w:rsidRDefault="004D4C89" w:rsidP="004D4C89"/>
    <w:p w:rsidR="004D4C89" w:rsidRPr="006167F9" w:rsidRDefault="004D4C89" w:rsidP="004D4C89">
      <w:pPr>
        <w:pStyle w:val="AMNumberTabs"/>
        <w:keepNext/>
      </w:pPr>
      <w:r w:rsidRPr="006167F9">
        <w:t>Amandman</w:t>
      </w:r>
      <w:r w:rsidRPr="006167F9">
        <w:tab/>
      </w:r>
      <w:r w:rsidRPr="006167F9">
        <w:tab/>
        <w:t>61</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Prilog I. – dio 3. – poddio 3.2. – točka b</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D4C89" w:rsidRPr="006167F9" w:rsidTr="00A90DD5">
        <w:trPr>
          <w:jc w:val="center"/>
        </w:trPr>
        <w:tc>
          <w:tcPr>
            <w:tcW w:w="9752" w:type="dxa"/>
            <w:gridSpan w:val="2"/>
          </w:tcPr>
          <w:p w:rsidR="004D4C89" w:rsidRPr="006167F9" w:rsidRDefault="004D4C89" w:rsidP="00A90DD5">
            <w:pPr>
              <w:keepNext/>
            </w:pPr>
          </w:p>
        </w:tc>
      </w:tr>
      <w:tr w:rsidR="004D4C89" w:rsidRPr="006167F9" w:rsidTr="00A90DD5">
        <w:trPr>
          <w:jc w:val="center"/>
        </w:trPr>
        <w:tc>
          <w:tcPr>
            <w:tcW w:w="4876" w:type="dxa"/>
          </w:tcPr>
          <w:p w:rsidR="004D4C89" w:rsidRPr="006167F9" w:rsidRDefault="004D4C89" w:rsidP="00A90DD5">
            <w:pPr>
              <w:pStyle w:val="ColumnHeading"/>
              <w:keepNext/>
            </w:pPr>
            <w:r w:rsidRPr="006167F9">
              <w:t>Tekst koji je predložila Komisija</w:t>
            </w:r>
          </w:p>
        </w:tc>
        <w:tc>
          <w:tcPr>
            <w:tcW w:w="4876" w:type="dxa"/>
          </w:tcPr>
          <w:p w:rsidR="004D4C89" w:rsidRPr="006167F9" w:rsidRDefault="004D4C89" w:rsidP="00A90DD5">
            <w:pPr>
              <w:pStyle w:val="ColumnHeading"/>
              <w:keepNext/>
            </w:pPr>
            <w:r w:rsidRPr="006167F9">
              <w:t>Izmjena</w:t>
            </w:r>
          </w:p>
        </w:tc>
      </w:tr>
      <w:tr w:rsidR="004D4C89" w:rsidRPr="006167F9" w:rsidTr="00A90DD5">
        <w:trPr>
          <w:jc w:val="center"/>
        </w:trPr>
        <w:tc>
          <w:tcPr>
            <w:tcW w:w="4876" w:type="dxa"/>
          </w:tcPr>
          <w:p w:rsidR="004D4C89" w:rsidRPr="006167F9" w:rsidRDefault="004D4C89" w:rsidP="00A90DD5">
            <w:pPr>
              <w:pStyle w:val="Normal6"/>
              <w:rPr>
                <w:b/>
                <w:i/>
              </w:rPr>
            </w:pPr>
            <w:r w:rsidRPr="006167F9">
              <w:t>(b)</w:t>
            </w:r>
            <w:r w:rsidRPr="006167F9">
              <w:rPr>
                <w:b/>
                <w:i/>
              </w:rPr>
              <w:tab/>
            </w:r>
            <w:r w:rsidRPr="006167F9">
              <w:t>opišite dogovorene mjere koje će se upotrebljavati tijekom istodobnih</w:t>
            </w:r>
            <w:r w:rsidRPr="006167F9">
              <w:rPr>
                <w:b/>
                <w:i/>
              </w:rPr>
              <w:t xml:space="preserve"> kriznih situacija</w:t>
            </w:r>
            <w:r w:rsidRPr="006167F9">
              <w:t>, uključujući utvrđivanje prioritetnih potrošača i regionalnih planova za raspoređivanje opterećenja te financijskih aranžmana za pomoć u cilju sprječavanja ili ublažavanja elektroenergetske krize</w:t>
            </w:r>
            <w:r w:rsidRPr="006167F9">
              <w:rPr>
                <w:b/>
                <w:i/>
              </w:rPr>
              <w:t>.</w:t>
            </w:r>
            <w:r w:rsidRPr="006167F9">
              <w:t xml:space="preserve"> U opis tih aranžmana uključite elemente kao što su definicija pokretača pomoći, formula za njezin izračun ili njezin iznos, strane koje plaćaju i primaju pomoć i pravila o arbitraži</w:t>
            </w:r>
            <w:r w:rsidRPr="006167F9">
              <w:rPr>
                <w:b/>
                <w:i/>
              </w:rPr>
              <w:t>.</w:t>
            </w:r>
            <w:r w:rsidRPr="006167F9">
              <w:t xml:space="preserve"> Navedite kada se i kako pokreću regionalni planovi za raspoređivanje opterećenja;</w:t>
            </w:r>
          </w:p>
        </w:tc>
        <w:tc>
          <w:tcPr>
            <w:tcW w:w="4876" w:type="dxa"/>
          </w:tcPr>
          <w:p w:rsidR="004D4C89" w:rsidRPr="006167F9" w:rsidRDefault="004D4C89" w:rsidP="00A90DD5">
            <w:pPr>
              <w:pStyle w:val="Normal6"/>
              <w:rPr>
                <w:b/>
                <w:i/>
                <w:szCs w:val="24"/>
              </w:rPr>
            </w:pPr>
            <w:r w:rsidRPr="006167F9">
              <w:t>(b)</w:t>
            </w:r>
            <w:r w:rsidRPr="006167F9">
              <w:rPr>
                <w:b/>
                <w:i/>
              </w:rPr>
              <w:tab/>
            </w:r>
            <w:r w:rsidRPr="006167F9">
              <w:t>opišite dogovorene mjere koje će se upotrebljavati tijekom istodobnih</w:t>
            </w:r>
            <w:r w:rsidRPr="006167F9">
              <w:rPr>
                <w:b/>
                <w:i/>
              </w:rPr>
              <w:t xml:space="preserve"> kriza</w:t>
            </w:r>
            <w:r w:rsidRPr="006167F9">
              <w:t>, uključujući utvrđivanje prioritetnih potrošača i regionalnih planova za raspoređivanje opterećenja te financijskih aranžmana za pomoć u cilju sprječavanja ili ublažavanja elektroenergetske krize</w:t>
            </w:r>
            <w:r w:rsidRPr="006167F9">
              <w:rPr>
                <w:b/>
                <w:i/>
              </w:rPr>
              <w:t>;</w:t>
            </w:r>
            <w:r w:rsidRPr="006167F9">
              <w:t xml:space="preserve"> u opis tih aranžmana uključite elemente kao što su definicija pokretača pomoći, formula za njezin izračun ili njezin iznos, strane koje plaćaju i primaju pomoć i pravila o arbitraži</w:t>
            </w:r>
            <w:r w:rsidRPr="006167F9">
              <w:rPr>
                <w:b/>
                <w:i/>
              </w:rPr>
              <w:t>;</w:t>
            </w:r>
            <w:r w:rsidRPr="006167F9">
              <w:t xml:space="preserve"> navedite kada se i kako pokreću regionalni planovi za raspoređivanje opterećenja;</w:t>
            </w:r>
          </w:p>
        </w:tc>
      </w:tr>
    </w:tbl>
    <w:p w:rsidR="004D4C89" w:rsidRPr="006167F9" w:rsidRDefault="004D4C89" w:rsidP="004D4C89"/>
    <w:p w:rsidR="004D4C89" w:rsidRPr="006167F9" w:rsidRDefault="004D4C89" w:rsidP="004D4C89">
      <w:pPr>
        <w:pStyle w:val="AMNumberTabs"/>
        <w:keepNext/>
      </w:pPr>
      <w:r w:rsidRPr="006167F9">
        <w:t>Amandman</w:t>
      </w:r>
      <w:r w:rsidRPr="006167F9">
        <w:tab/>
      </w:r>
      <w:r w:rsidRPr="006167F9">
        <w:tab/>
        <w:t>62</w:t>
      </w:r>
    </w:p>
    <w:p w:rsidR="004D4C89" w:rsidRPr="006167F9" w:rsidRDefault="004D4C89" w:rsidP="004D4C89">
      <w:pPr>
        <w:pStyle w:val="NormalBold12b"/>
      </w:pPr>
      <w:r w:rsidRPr="006167F9">
        <w:t>Prijedlog uredbe</w:t>
      </w:r>
    </w:p>
    <w:p w:rsidR="004D4C89" w:rsidRPr="006167F9" w:rsidRDefault="004D4C89" w:rsidP="004D4C89">
      <w:pPr>
        <w:pStyle w:val="NormalBold"/>
      </w:pPr>
      <w:r w:rsidRPr="006167F9">
        <w:t>Prilog I. – dio 5. – stavak 1. – točka da (nova)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D4C89" w:rsidRPr="006167F9" w:rsidTr="00A90DD5">
        <w:trPr>
          <w:jc w:val="center"/>
        </w:trPr>
        <w:tc>
          <w:tcPr>
            <w:tcW w:w="9752" w:type="dxa"/>
            <w:gridSpan w:val="2"/>
          </w:tcPr>
          <w:p w:rsidR="004D4C89" w:rsidRPr="006167F9" w:rsidRDefault="004D4C89" w:rsidP="00A90DD5">
            <w:pPr>
              <w:keepNext/>
            </w:pPr>
          </w:p>
        </w:tc>
      </w:tr>
      <w:tr w:rsidR="004D4C89" w:rsidRPr="006167F9" w:rsidTr="00A90DD5">
        <w:trPr>
          <w:jc w:val="center"/>
        </w:trPr>
        <w:tc>
          <w:tcPr>
            <w:tcW w:w="4876" w:type="dxa"/>
          </w:tcPr>
          <w:p w:rsidR="004D4C89" w:rsidRPr="006167F9" w:rsidRDefault="004D4C89" w:rsidP="00A90DD5">
            <w:pPr>
              <w:pStyle w:val="ColumnHeading"/>
              <w:keepNext/>
            </w:pPr>
            <w:r w:rsidRPr="006167F9">
              <w:t>Tekst koji je predložila Komisija</w:t>
            </w:r>
          </w:p>
        </w:tc>
        <w:tc>
          <w:tcPr>
            <w:tcW w:w="4876" w:type="dxa"/>
          </w:tcPr>
          <w:p w:rsidR="004D4C89" w:rsidRPr="006167F9" w:rsidRDefault="004D4C89" w:rsidP="00A90DD5">
            <w:pPr>
              <w:pStyle w:val="ColumnHeading"/>
              <w:keepNext/>
            </w:pPr>
            <w:r w:rsidRPr="006167F9">
              <w:t>Izmjena</w:t>
            </w:r>
          </w:p>
        </w:tc>
      </w:tr>
      <w:tr w:rsidR="004D4C89" w:rsidRPr="006167F9" w:rsidTr="00A90DD5">
        <w:trPr>
          <w:jc w:val="center"/>
        </w:trPr>
        <w:tc>
          <w:tcPr>
            <w:tcW w:w="4876" w:type="dxa"/>
          </w:tcPr>
          <w:p w:rsidR="004D4C89" w:rsidRPr="006167F9" w:rsidRDefault="004D4C89" w:rsidP="00A90DD5">
            <w:pPr>
              <w:pStyle w:val="Normal6"/>
            </w:pPr>
          </w:p>
        </w:tc>
        <w:tc>
          <w:tcPr>
            <w:tcW w:w="4876" w:type="dxa"/>
          </w:tcPr>
          <w:p w:rsidR="004D4C89" w:rsidRPr="006167F9" w:rsidRDefault="004D4C89" w:rsidP="00A90DD5">
            <w:pPr>
              <w:pStyle w:val="Normal6"/>
              <w:rPr>
                <w:b/>
                <w:i/>
                <w:szCs w:val="24"/>
              </w:rPr>
            </w:pPr>
            <w:r w:rsidRPr="006167F9">
              <w:rPr>
                <w:b/>
                <w:i/>
              </w:rPr>
              <w:t>(d a)</w:t>
            </w:r>
            <w:r w:rsidRPr="006167F9">
              <w:rPr>
                <w:b/>
                <w:i/>
              </w:rPr>
              <w:tab/>
              <w:t>operatora prijenosnih i distribucijskih sustava.</w:t>
            </w:r>
          </w:p>
        </w:tc>
      </w:tr>
    </w:tbl>
    <w:p w:rsidR="004D4C89" w:rsidRPr="006167F9" w:rsidRDefault="004D4C89" w:rsidP="004D4C89"/>
    <w:p w:rsidR="00084A59" w:rsidRPr="006167F9" w:rsidRDefault="004D4C89" w:rsidP="004D4C89">
      <w:r w:rsidRPr="006167F9">
        <w:br w:type="page"/>
      </w:r>
    </w:p>
    <w:p w:rsidR="00E365E1" w:rsidRPr="006167F9" w:rsidRDefault="00E365E1" w:rsidP="004D4C89">
      <w:bookmarkStart w:id="1" w:name="TextBodyEnd"/>
      <w:bookmarkEnd w:id="1"/>
    </w:p>
    <w:sectPr w:rsidR="00E365E1" w:rsidRPr="006167F9" w:rsidSect="00885458">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7D9" w:rsidRPr="00885458" w:rsidRDefault="002A47D9">
      <w:r w:rsidRPr="00885458">
        <w:separator/>
      </w:r>
    </w:p>
  </w:endnote>
  <w:endnote w:type="continuationSeparator" w:id="0">
    <w:p w:rsidR="002A47D9" w:rsidRPr="00885458" w:rsidRDefault="002A47D9">
      <w:r w:rsidRPr="0088545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7F9" w:rsidRDefault="00616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458" w:rsidRDefault="00885458" w:rsidP="006167F9">
    <w:pPr>
      <w:pStyle w:val="Footer"/>
      <w:tabs>
        <w:tab w:val="clear" w:pos="9639"/>
        <w:tab w:val="right" w:pos="9184"/>
      </w:tabs>
    </w:pPr>
  </w:p>
  <w:p w:rsidR="006167F9" w:rsidRDefault="006167F9" w:rsidP="006167F9">
    <w:pPr>
      <w:pStyle w:val="Footer"/>
      <w:pBdr>
        <w:top w:val="single" w:sz="2" w:space="1" w:color="000000"/>
      </w:pBdr>
      <w:tabs>
        <w:tab w:val="clear" w:pos="9639"/>
        <w:tab w:val="right" w:pos="9184"/>
      </w:tabs>
    </w:pPr>
    <w:r>
      <w:tab/>
    </w:r>
    <w:r w:rsidRPr="006167F9">
      <w:rPr>
        <w:rStyle w:val="HideTWBExt"/>
      </w:rPr>
      <w:t>&lt;NuPE&gt;</w:t>
    </w:r>
    <w:r>
      <w:t>PE635.478</w:t>
    </w:r>
    <w:r w:rsidRPr="006167F9">
      <w:rPr>
        <w:rStyle w:val="HideTWBExt"/>
      </w:rPr>
      <w:t>&lt;/NuPE&gt;</w:t>
    </w:r>
    <w:r>
      <w:t xml:space="preserve">/ </w:t>
    </w:r>
    <w:r>
      <w:fldChar w:fldCharType="begin"/>
    </w:r>
    <w:r>
      <w:instrText xml:space="preserve"> PAGE  \* MERGEFORMAT </w:instrText>
    </w:r>
    <w:r>
      <w:fldChar w:fldCharType="separate"/>
    </w:r>
    <w:r w:rsidR="00091D40">
      <w:rPr>
        <w:noProof/>
      </w:rPr>
      <w:t>1</w:t>
    </w:r>
    <w:r>
      <w:fldChar w:fldCharType="end"/>
    </w:r>
  </w:p>
  <w:p w:rsidR="006167F9" w:rsidRPr="006167F9" w:rsidRDefault="006167F9" w:rsidP="006167F9">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7F9" w:rsidRDefault="00616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7D9" w:rsidRPr="00885458" w:rsidRDefault="002A47D9">
      <w:r w:rsidRPr="00885458">
        <w:separator/>
      </w:r>
    </w:p>
  </w:footnote>
  <w:footnote w:type="continuationSeparator" w:id="0">
    <w:p w:rsidR="002A47D9" w:rsidRPr="00885458" w:rsidRDefault="002A47D9">
      <w:r w:rsidRPr="0088545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7F9" w:rsidRDefault="00616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7F9" w:rsidRDefault="006167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7F9" w:rsidRDefault="00616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0D202BE1"/>
    <w:multiLevelType w:val="hybridMultilevel"/>
    <w:tmpl w:val="6F30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39/2018"/>
    <w:docVar w:name="dvlangue" w:val="HR"/>
    <w:docVar w:name="dvnumam" w:val="62"/>
    <w:docVar w:name="dvpe" w:val="606.138"/>
    <w:docVar w:name="dvrapporteur" w:val="Izvjestitelj: "/>
    <w:docVar w:name="dvtitre" w:val="Zakonodavna rezolucija Europskog parlamenta od .... 2019. o Prijedlogu uredbe Europskog parlamenta i Vijeća o pripremljenosti za rizike u sektoru električne energije i stavljanju izvan snage Direktive 2005/89/EZ(COM(2016)0862 – C8-0493/2016 – 2016/0377(COD))"/>
    <w:docVar w:name="TA_Comm_A5Nr" w:val="A8-0039/2018"/>
    <w:docVar w:name="TA_Comm_Langue" w:val="HR"/>
    <w:docVar w:name="TA_Comm_NrAM" w:val="001-062"/>
    <w:docVar w:name="TA_Type" w:val="TA_COMM"/>
  </w:docVars>
  <w:rsids>
    <w:rsidRoot w:val="002A47D9"/>
    <w:rsid w:val="00002272"/>
    <w:rsid w:val="000677B9"/>
    <w:rsid w:val="00084A59"/>
    <w:rsid w:val="00091D40"/>
    <w:rsid w:val="000E7DD9"/>
    <w:rsid w:val="0010095E"/>
    <w:rsid w:val="00125B37"/>
    <w:rsid w:val="002767FF"/>
    <w:rsid w:val="002A47D9"/>
    <w:rsid w:val="002B5493"/>
    <w:rsid w:val="00361C00"/>
    <w:rsid w:val="00395FA1"/>
    <w:rsid w:val="003E15D4"/>
    <w:rsid w:val="00411CCE"/>
    <w:rsid w:val="0041666E"/>
    <w:rsid w:val="00421060"/>
    <w:rsid w:val="00463442"/>
    <w:rsid w:val="00494A28"/>
    <w:rsid w:val="004D4C89"/>
    <w:rsid w:val="0050519A"/>
    <w:rsid w:val="005072A1"/>
    <w:rsid w:val="00514517"/>
    <w:rsid w:val="00575294"/>
    <w:rsid w:val="006037C0"/>
    <w:rsid w:val="006167F9"/>
    <w:rsid w:val="00680577"/>
    <w:rsid w:val="006F74FA"/>
    <w:rsid w:val="00731ADD"/>
    <w:rsid w:val="00734777"/>
    <w:rsid w:val="00751A4A"/>
    <w:rsid w:val="00756632"/>
    <w:rsid w:val="007D1690"/>
    <w:rsid w:val="00865F67"/>
    <w:rsid w:val="00881A7B"/>
    <w:rsid w:val="008840E5"/>
    <w:rsid w:val="00885458"/>
    <w:rsid w:val="008C2AC6"/>
    <w:rsid w:val="009509D8"/>
    <w:rsid w:val="00981893"/>
    <w:rsid w:val="009A7187"/>
    <w:rsid w:val="00A4678D"/>
    <w:rsid w:val="00AF3B82"/>
    <w:rsid w:val="00B558F0"/>
    <w:rsid w:val="00BC0E7C"/>
    <w:rsid w:val="00BD7BD8"/>
    <w:rsid w:val="00C05BFE"/>
    <w:rsid w:val="00C23CD4"/>
    <w:rsid w:val="00C941CB"/>
    <w:rsid w:val="00C942DC"/>
    <w:rsid w:val="00CC2357"/>
    <w:rsid w:val="00CE483D"/>
    <w:rsid w:val="00D058B8"/>
    <w:rsid w:val="00D834A0"/>
    <w:rsid w:val="00D91E21"/>
    <w:rsid w:val="00E365E1"/>
    <w:rsid w:val="00E93590"/>
    <w:rsid w:val="00E9578A"/>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C0276"/>
  <w15:chartTrackingRefBased/>
  <w15:docId w15:val="{DA3BC3FD-C38B-4867-8185-3C33032A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hr-HR"/>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4D4C89"/>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4D4C89"/>
    <w:rPr>
      <w:sz w:val="24"/>
      <w:lang w:val="fr-FR" w:eastAsia="fr-FR"/>
    </w:rPr>
  </w:style>
  <w:style w:type="character" w:customStyle="1" w:styleId="Heading3Char">
    <w:name w:val="Heading 3 Char"/>
    <w:link w:val="Heading3"/>
    <w:rsid w:val="004D4C89"/>
    <w:rPr>
      <w:rFonts w:ascii="Arial" w:hAnsi="Arial"/>
      <w:sz w:val="24"/>
      <w:lang w:val="fr-FR" w:eastAsia="fr-FR"/>
    </w:rPr>
  </w:style>
  <w:style w:type="character" w:customStyle="1" w:styleId="Heading4Char">
    <w:name w:val="Heading 4 Char"/>
    <w:link w:val="Heading4"/>
    <w:rsid w:val="004D4C89"/>
    <w:rPr>
      <w:sz w:val="24"/>
      <w:lang w:val="en-US" w:eastAsia="fr-FR"/>
    </w:rPr>
  </w:style>
  <w:style w:type="character" w:customStyle="1" w:styleId="Heading5Char">
    <w:name w:val="Heading 5 Char"/>
    <w:link w:val="Heading5"/>
    <w:rsid w:val="004D4C89"/>
    <w:rPr>
      <w:sz w:val="24"/>
      <w:lang w:val="en-US" w:eastAsia="fr-FR"/>
    </w:rPr>
  </w:style>
  <w:style w:type="character" w:customStyle="1" w:styleId="Heading6Char">
    <w:name w:val="Heading 6 Char"/>
    <w:link w:val="Heading6"/>
    <w:rsid w:val="004D4C89"/>
    <w:rPr>
      <w:i/>
      <w:sz w:val="22"/>
      <w:lang w:val="hr-HR"/>
    </w:rPr>
  </w:style>
  <w:style w:type="character" w:customStyle="1" w:styleId="Heading7Char">
    <w:name w:val="Heading 7 Char"/>
    <w:link w:val="Heading7"/>
    <w:rsid w:val="004D4C89"/>
    <w:rPr>
      <w:rFonts w:ascii="Arial" w:hAnsi="Arial"/>
      <w:sz w:val="24"/>
      <w:lang w:val="hr-HR"/>
    </w:rPr>
  </w:style>
  <w:style w:type="character" w:customStyle="1" w:styleId="Heading8Char">
    <w:name w:val="Heading 8 Char"/>
    <w:link w:val="Heading8"/>
    <w:rsid w:val="004D4C89"/>
    <w:rPr>
      <w:rFonts w:ascii="Arial" w:hAnsi="Arial"/>
      <w:i/>
      <w:sz w:val="24"/>
      <w:lang w:val="hr-HR"/>
    </w:rPr>
  </w:style>
  <w:style w:type="character" w:customStyle="1" w:styleId="Heading9Char">
    <w:name w:val="Heading 9 Char"/>
    <w:link w:val="Heading9"/>
    <w:rsid w:val="004D4C89"/>
    <w:rPr>
      <w:rFonts w:ascii="Arial" w:hAnsi="Arial"/>
      <w:b/>
      <w:i/>
      <w:sz w:val="18"/>
      <w:lang w:val="hr-HR"/>
    </w:rPr>
  </w:style>
  <w:style w:type="character" w:customStyle="1" w:styleId="FooterChar">
    <w:name w:val="Footer Char"/>
    <w:link w:val="Footer"/>
    <w:rsid w:val="004D4C89"/>
    <w:rPr>
      <w:sz w:val="22"/>
      <w:lang w:val="fr-FR" w:eastAsia="fr-FR"/>
    </w:rPr>
  </w:style>
  <w:style w:type="character" w:customStyle="1" w:styleId="Normal6Char">
    <w:name w:val="Normal6 Char"/>
    <w:link w:val="Normal6"/>
    <w:rsid w:val="004D4C89"/>
    <w:rPr>
      <w:sz w:val="24"/>
      <w:lang w:val="hr-HR"/>
    </w:rPr>
  </w:style>
  <w:style w:type="character" w:customStyle="1" w:styleId="NormalBoldChar">
    <w:name w:val="NormalBold Char"/>
    <w:link w:val="NormalBold"/>
    <w:rsid w:val="004D4C89"/>
    <w:rPr>
      <w:b/>
      <w:sz w:val="24"/>
      <w:lang w:val="hr-HR"/>
    </w:rPr>
  </w:style>
  <w:style w:type="paragraph" w:customStyle="1" w:styleId="Normal12Italic">
    <w:name w:val="Normal12Italic"/>
    <w:basedOn w:val="Normal"/>
    <w:rsid w:val="004D4C89"/>
    <w:pPr>
      <w:spacing w:before="240"/>
    </w:pPr>
    <w:rPr>
      <w:i/>
      <w:lang w:eastAsia="hr-HR" w:bidi="hr-HR"/>
    </w:rPr>
  </w:style>
  <w:style w:type="paragraph" w:customStyle="1" w:styleId="CrossRef">
    <w:name w:val="CrossRef"/>
    <w:basedOn w:val="Normal"/>
    <w:rsid w:val="004D4C89"/>
    <w:pPr>
      <w:spacing w:before="240"/>
      <w:jc w:val="center"/>
    </w:pPr>
    <w:rPr>
      <w:i/>
      <w:lang w:eastAsia="hr-HR" w:bidi="hr-HR"/>
    </w:rPr>
  </w:style>
  <w:style w:type="paragraph" w:customStyle="1" w:styleId="JustificationTitle">
    <w:name w:val="JustificationTitle"/>
    <w:basedOn w:val="Normal"/>
    <w:next w:val="Normal12"/>
    <w:rsid w:val="004D4C89"/>
    <w:pPr>
      <w:keepNext/>
      <w:spacing w:before="240"/>
      <w:jc w:val="center"/>
    </w:pPr>
    <w:rPr>
      <w:i/>
      <w:lang w:eastAsia="hr-HR" w:bidi="hr-HR"/>
    </w:rPr>
  </w:style>
  <w:style w:type="paragraph" w:customStyle="1" w:styleId="Normal12Centre">
    <w:name w:val="Normal12Centre"/>
    <w:basedOn w:val="Normal12"/>
    <w:rsid w:val="004D4C89"/>
    <w:pPr>
      <w:jc w:val="center"/>
    </w:pPr>
    <w:rPr>
      <w:lang w:eastAsia="hr-HR" w:bidi="hr-HR"/>
    </w:rPr>
  </w:style>
  <w:style w:type="paragraph" w:customStyle="1" w:styleId="Normal12Keep">
    <w:name w:val="Normal12Keep"/>
    <w:basedOn w:val="Normal12"/>
    <w:rsid w:val="004D4C89"/>
    <w:pPr>
      <w:keepNext/>
    </w:pPr>
    <w:rPr>
      <w:lang w:eastAsia="hr-HR" w:bidi="hr-HR"/>
    </w:rPr>
  </w:style>
  <w:style w:type="paragraph" w:customStyle="1" w:styleId="Normal12Tab">
    <w:name w:val="Normal12Tab"/>
    <w:basedOn w:val="Normal12"/>
    <w:rsid w:val="004D4C89"/>
    <w:pPr>
      <w:tabs>
        <w:tab w:val="left" w:pos="567"/>
      </w:tabs>
    </w:pPr>
    <w:rPr>
      <w:lang w:eastAsia="hr-HR" w:bidi="hr-HR"/>
    </w:rPr>
  </w:style>
  <w:style w:type="paragraph" w:customStyle="1" w:styleId="StarsAndIs">
    <w:name w:val="StarsAndIs"/>
    <w:basedOn w:val="Normal"/>
    <w:rsid w:val="004D4C89"/>
    <w:pPr>
      <w:ind w:left="1418"/>
    </w:pPr>
    <w:rPr>
      <w:rFonts w:ascii="Arial" w:hAnsi="Arial"/>
      <w:b/>
      <w:sz w:val="48"/>
      <w:lang w:eastAsia="hr-HR" w:bidi="hr-HR"/>
    </w:rPr>
  </w:style>
  <w:style w:type="paragraph" w:customStyle="1" w:styleId="Lgendesigne">
    <w:name w:val="Légende signe"/>
    <w:basedOn w:val="Normal"/>
    <w:rsid w:val="004D4C89"/>
    <w:pPr>
      <w:tabs>
        <w:tab w:val="right" w:pos="454"/>
        <w:tab w:val="left" w:pos="737"/>
      </w:tabs>
      <w:ind w:left="737" w:hanging="737"/>
    </w:pPr>
    <w:rPr>
      <w:snapToGrid w:val="0"/>
      <w:sz w:val="18"/>
      <w:lang w:eastAsia="hr-HR" w:bidi="hr-HR"/>
    </w:rPr>
  </w:style>
  <w:style w:type="paragraph" w:customStyle="1" w:styleId="TypeDoc">
    <w:name w:val="TypeDoc"/>
    <w:basedOn w:val="Normal24"/>
    <w:rsid w:val="004D4C89"/>
    <w:pPr>
      <w:ind w:left="1418"/>
    </w:pPr>
    <w:rPr>
      <w:rFonts w:ascii="Arial" w:hAnsi="Arial"/>
      <w:b/>
      <w:sz w:val="48"/>
      <w:lang w:eastAsia="hr-HR" w:bidi="hr-HR"/>
    </w:rPr>
  </w:style>
  <w:style w:type="paragraph" w:customStyle="1" w:styleId="ZDate">
    <w:name w:val="ZDate"/>
    <w:basedOn w:val="Normal"/>
    <w:rsid w:val="004D4C89"/>
    <w:pPr>
      <w:spacing w:after="1200"/>
    </w:pPr>
    <w:rPr>
      <w:lang w:eastAsia="hr-HR" w:bidi="hr-HR"/>
    </w:rPr>
  </w:style>
  <w:style w:type="character" w:customStyle="1" w:styleId="HeaderChar">
    <w:name w:val="Header Char"/>
    <w:link w:val="Header"/>
    <w:rsid w:val="004D4C89"/>
    <w:rPr>
      <w:sz w:val="24"/>
      <w:lang w:val="fr-FR" w:eastAsia="fr-FR"/>
    </w:rPr>
  </w:style>
  <w:style w:type="paragraph" w:customStyle="1" w:styleId="Olang">
    <w:name w:val="Olang"/>
    <w:basedOn w:val="Normal"/>
    <w:rsid w:val="004D4C89"/>
    <w:pPr>
      <w:spacing w:before="240" w:after="240"/>
      <w:jc w:val="right"/>
    </w:pPr>
    <w:rPr>
      <w:noProof/>
      <w:lang w:eastAsia="hr-HR" w:bidi="hr-HR"/>
    </w:rPr>
  </w:style>
  <w:style w:type="paragraph" w:customStyle="1" w:styleId="ColumnHeading">
    <w:name w:val="ColumnHeading"/>
    <w:basedOn w:val="Normal"/>
    <w:rsid w:val="004D4C89"/>
    <w:pPr>
      <w:spacing w:after="240"/>
      <w:jc w:val="center"/>
    </w:pPr>
    <w:rPr>
      <w:i/>
      <w:lang w:eastAsia="hr-HR" w:bidi="hr-HR"/>
    </w:rPr>
  </w:style>
  <w:style w:type="paragraph" w:customStyle="1" w:styleId="AMNumberTabs">
    <w:name w:val="AMNumberTabs"/>
    <w:basedOn w:val="Normal"/>
    <w:rsid w:val="004D4C8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eastAsia="hr-HR" w:bidi="hr-HR"/>
    </w:rPr>
  </w:style>
  <w:style w:type="paragraph" w:customStyle="1" w:styleId="NormalBold12b">
    <w:name w:val="NormalBold12b"/>
    <w:basedOn w:val="Normal"/>
    <w:rsid w:val="004D4C89"/>
    <w:pPr>
      <w:spacing w:before="240"/>
    </w:pPr>
    <w:rPr>
      <w:b/>
      <w:lang w:eastAsia="hr-HR" w:bidi="hr-HR"/>
    </w:rPr>
  </w:style>
  <w:style w:type="paragraph" w:customStyle="1" w:styleId="ZCommittee">
    <w:name w:val="ZCommittee"/>
    <w:basedOn w:val="Normal"/>
    <w:next w:val="Normal"/>
    <w:rsid w:val="004D4C89"/>
    <w:pPr>
      <w:jc w:val="center"/>
    </w:pPr>
    <w:rPr>
      <w:rFonts w:ascii="Arial" w:hAnsi="Arial" w:cs="Arial"/>
      <w:i/>
      <w:sz w:val="22"/>
      <w:szCs w:val="22"/>
      <w:lang w:eastAsia="hr-HR" w:bidi="hr-HR"/>
    </w:rPr>
  </w:style>
  <w:style w:type="paragraph" w:customStyle="1" w:styleId="Lgendetitre">
    <w:name w:val="Légende titre"/>
    <w:basedOn w:val="Normal"/>
    <w:rsid w:val="004D4C89"/>
    <w:pPr>
      <w:spacing w:before="240" w:after="240"/>
    </w:pPr>
    <w:rPr>
      <w:b/>
      <w:i/>
      <w:snapToGrid w:val="0"/>
      <w:lang w:eastAsia="hr-HR" w:bidi="hr-HR"/>
    </w:rPr>
  </w:style>
  <w:style w:type="paragraph" w:customStyle="1" w:styleId="Lgendestandard">
    <w:name w:val="Légende standard"/>
    <w:basedOn w:val="Lgendesigne"/>
    <w:rsid w:val="004D4C89"/>
    <w:pPr>
      <w:ind w:left="0" w:firstLine="0"/>
    </w:pPr>
  </w:style>
  <w:style w:type="paragraph" w:styleId="ListParagraph">
    <w:name w:val="List Paragraph"/>
    <w:basedOn w:val="Normal"/>
    <w:uiPriority w:val="34"/>
    <w:qFormat/>
    <w:rsid w:val="004D4C89"/>
    <w:pPr>
      <w:widowControl/>
      <w:ind w:left="720"/>
    </w:pPr>
    <w:rPr>
      <w:rFonts w:ascii="Calibri" w:eastAsia="Calibri" w:hAnsi="Calibri" w:cs="Calibri"/>
      <w:sz w:val="22"/>
      <w:szCs w:val="22"/>
      <w:lang w:eastAsia="hr-HR" w:bidi="hr-HR"/>
    </w:rPr>
  </w:style>
  <w:style w:type="character" w:customStyle="1" w:styleId="st">
    <w:name w:val="st"/>
    <w:rsid w:val="004D4C89"/>
  </w:style>
  <w:style w:type="character" w:customStyle="1" w:styleId="fn">
    <w:name w:val="fn"/>
    <w:rsid w:val="004D4C89"/>
  </w:style>
  <w:style w:type="paragraph" w:styleId="BalloonText">
    <w:name w:val="Balloon Text"/>
    <w:basedOn w:val="Normal"/>
    <w:link w:val="BalloonTextChar"/>
    <w:rsid w:val="004D4C89"/>
    <w:rPr>
      <w:rFonts w:ascii="Segoe UI" w:hAnsi="Segoe UI" w:cs="Segoe UI"/>
      <w:sz w:val="18"/>
      <w:szCs w:val="18"/>
      <w:lang w:eastAsia="hr-HR" w:bidi="hr-HR"/>
    </w:rPr>
  </w:style>
  <w:style w:type="character" w:customStyle="1" w:styleId="BalloonTextChar">
    <w:name w:val="Balloon Text Char"/>
    <w:basedOn w:val="DefaultParagraphFont"/>
    <w:link w:val="BalloonText"/>
    <w:rsid w:val="004D4C89"/>
    <w:rPr>
      <w:rFonts w:ascii="Segoe UI" w:hAnsi="Segoe UI" w:cs="Segoe UI"/>
      <w:sz w:val="18"/>
      <w:szCs w:val="18"/>
      <w:lang w:val="hr-HR" w:eastAsia="hr-HR" w:bidi="hr-HR"/>
    </w:rPr>
  </w:style>
  <w:style w:type="character" w:styleId="CommentReference">
    <w:name w:val="annotation reference"/>
    <w:rsid w:val="004D4C89"/>
    <w:rPr>
      <w:sz w:val="16"/>
      <w:szCs w:val="16"/>
    </w:rPr>
  </w:style>
  <w:style w:type="paragraph" w:styleId="CommentText">
    <w:name w:val="annotation text"/>
    <w:basedOn w:val="Normal"/>
    <w:link w:val="CommentTextChar"/>
    <w:rsid w:val="004D4C89"/>
    <w:rPr>
      <w:sz w:val="20"/>
      <w:lang w:eastAsia="hr-HR" w:bidi="hr-HR"/>
    </w:rPr>
  </w:style>
  <w:style w:type="character" w:customStyle="1" w:styleId="CommentTextChar">
    <w:name w:val="Comment Text Char"/>
    <w:basedOn w:val="DefaultParagraphFont"/>
    <w:link w:val="CommentText"/>
    <w:rsid w:val="004D4C89"/>
    <w:rPr>
      <w:lang w:val="hr-HR" w:eastAsia="hr-HR" w:bidi="hr-HR"/>
    </w:rPr>
  </w:style>
  <w:style w:type="paragraph" w:styleId="CommentSubject">
    <w:name w:val="annotation subject"/>
    <w:basedOn w:val="CommentText"/>
    <w:next w:val="CommentText"/>
    <w:link w:val="CommentSubjectChar"/>
    <w:rsid w:val="004D4C89"/>
    <w:rPr>
      <w:b/>
      <w:bCs/>
    </w:rPr>
  </w:style>
  <w:style w:type="character" w:customStyle="1" w:styleId="CommentSubjectChar">
    <w:name w:val="Comment Subject Char"/>
    <w:basedOn w:val="CommentTextChar"/>
    <w:link w:val="CommentSubject"/>
    <w:rsid w:val="004D4C89"/>
    <w:rPr>
      <w:b/>
      <w:bCs/>
      <w:lang w:val="hr-HR" w:eastAsia="hr-HR" w:bidi="hr-HR"/>
    </w:rPr>
  </w:style>
  <w:style w:type="paragraph" w:customStyle="1" w:styleId="Center">
    <w:name w:val="Center"/>
    <w:rsid w:val="004D4C89"/>
    <w:pPr>
      <w:spacing w:after="120"/>
      <w:jc w:val="center"/>
    </w:pPr>
    <w:rPr>
      <w:color w:val="000000"/>
      <w:lang w:val="hr-HR"/>
    </w:rPr>
  </w:style>
  <w:style w:type="character" w:customStyle="1" w:styleId="Sup">
    <w:name w:val="Sup"/>
    <w:rsid w:val="004D4C89"/>
    <w:rPr>
      <w:color w:val="000000"/>
      <w:vertAlign w:val="superscript"/>
    </w:rPr>
  </w:style>
  <w:style w:type="paragraph" w:customStyle="1" w:styleId="NormalTabs">
    <w:name w:val="NormalTabs"/>
    <w:basedOn w:val="Normal"/>
    <w:qFormat/>
    <w:rsid w:val="004D4C89"/>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8289</Words>
  <Characters>53572</Characters>
  <Application>Microsoft Office Word</Application>
  <DocSecurity>0</DocSecurity>
  <Lines>1984</Lines>
  <Paragraphs>562</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61299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ZOVKO Jadranka</dc:creator>
  <cp:keywords/>
  <cp:lastModifiedBy>ZOVKO Jadranka</cp:lastModifiedBy>
  <cp:revision>2</cp:revision>
  <cp:lastPrinted>2004-11-19T15:42:00Z</cp:lastPrinted>
  <dcterms:created xsi:type="dcterms:W3CDTF">2019-03-21T10:28:00Z</dcterms:created>
  <dcterms:modified xsi:type="dcterms:W3CDTF">2019-03-21T10:28:00Z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HR</vt:lpwstr>
  </property>
  <property fmtid="{D5CDD505-2E9C-101B-9397-08002B2CF9AE}" pid="3" name="&lt;FdR&gt;">
    <vt:lpwstr>A8-0039/2018</vt:lpwstr>
  </property>
  <property fmtid="{D5CDD505-2E9C-101B-9397-08002B2CF9AE}" pid="4" name="&lt;Type&gt;">
    <vt:lpwstr>RR</vt:lpwstr>
  </property>
</Properties>
</file>