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46466" w:rsidRPr="00AC7681" w14:paraId="5AFF08C7" w14:textId="77777777" w:rsidTr="00947D3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ED96C8B" w14:textId="77777777" w:rsidR="00D46466" w:rsidRPr="00AC7681" w:rsidRDefault="00577776" w:rsidP="00947D32">
            <w:pPr>
              <w:pStyle w:val="EPName"/>
              <w:rPr>
                <w:noProof/>
              </w:rPr>
            </w:pPr>
            <w:r>
              <w:t>Parlamentul European</w:t>
            </w:r>
          </w:p>
          <w:p w14:paraId="2625FFEB" w14:textId="77777777" w:rsidR="00D46466" w:rsidRPr="00AC7681" w:rsidRDefault="00723148" w:rsidP="00723148">
            <w:pPr>
              <w:pStyle w:val="EPTerm"/>
              <w:rPr>
                <w:rStyle w:val="HideTWBExt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1AD791BF" w14:textId="77777777" w:rsidR="00D46466" w:rsidRPr="00AC7681" w:rsidRDefault="005A2FB3" w:rsidP="00947D32">
            <w:pPr>
              <w:pStyle w:val="EPLogo"/>
              <w:rPr>
                <w:noProof/>
              </w:rPr>
            </w:pPr>
            <w:r>
              <w:rPr>
                <w:noProof/>
              </w:rPr>
              <w:pict w14:anchorId="4094B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14:paraId="0500A392" w14:textId="77777777" w:rsidR="00390068" w:rsidRPr="00AC7681" w:rsidRDefault="00390068" w:rsidP="00390068">
      <w:pPr>
        <w:pStyle w:val="LineTop"/>
        <w:rPr>
          <w:noProof/>
        </w:rPr>
      </w:pPr>
    </w:p>
    <w:p w14:paraId="048FD363" w14:textId="6771D899" w:rsidR="00390068" w:rsidRPr="00AC7681" w:rsidRDefault="00522BA7" w:rsidP="00390068">
      <w:pPr>
        <w:pStyle w:val="ZCommittee"/>
        <w:rPr>
          <w:noProof/>
        </w:rPr>
      </w:pPr>
      <w:r>
        <w:t xml:space="preserve">Document de </w:t>
      </w:r>
      <w:r w:rsidR="005A2FB3">
        <w:t>ș</w:t>
      </w:r>
      <w:r>
        <w:t>edin</w:t>
      </w:r>
      <w:r w:rsidR="005A2FB3">
        <w:t>ț</w:t>
      </w:r>
      <w:r>
        <w:t>ă</w:t>
      </w:r>
    </w:p>
    <w:p w14:paraId="1CAD2B0C" w14:textId="77777777" w:rsidR="00390068" w:rsidRPr="00AC7681" w:rsidRDefault="00390068" w:rsidP="00390068">
      <w:pPr>
        <w:pStyle w:val="LineBottom"/>
        <w:rPr>
          <w:noProof/>
        </w:rPr>
      </w:pPr>
    </w:p>
    <w:p w14:paraId="3A593A09" w14:textId="698277B7" w:rsidR="00C1531C" w:rsidRPr="00AC7681" w:rsidRDefault="00522BA7">
      <w:pPr>
        <w:pStyle w:val="RefProc"/>
        <w:rPr>
          <w:noProof/>
        </w:rPr>
      </w:pPr>
      <w:r>
        <w:rPr>
          <w:rStyle w:val="HideTWBExt"/>
        </w:rPr>
        <w:t>&lt;NoDocSe&gt;</w:t>
      </w:r>
      <w:r w:rsidRPr="00BD57BD">
        <w:t>A8-0082/2018</w:t>
      </w:r>
      <w:r>
        <w:rPr>
          <w:rStyle w:val="HideTWBExt"/>
        </w:rPr>
        <w:t>&lt;/NoDocSe&gt;</w:t>
      </w:r>
    </w:p>
    <w:p w14:paraId="0C143A79" w14:textId="077B678E" w:rsidR="00C1531C" w:rsidRPr="00AC7681" w:rsidRDefault="00C1531C">
      <w:pPr>
        <w:pStyle w:val="ZDate"/>
        <w:rPr>
          <w:noProof/>
        </w:rPr>
      </w:pPr>
      <w:r>
        <w:rPr>
          <w:rStyle w:val="HideTWBExt"/>
        </w:rPr>
        <w:t>&lt;Date&gt;</w:t>
      </w:r>
      <w:r w:rsidRPr="00BD57BD">
        <w:rPr>
          <w:rStyle w:val="HideTWBInt"/>
          <w:color w:val="auto"/>
        </w:rPr>
        <w:t>{23/03/2018}</w:t>
      </w:r>
      <w:r w:rsidRPr="00BD57BD">
        <w:t>23.3.2018</w:t>
      </w:r>
      <w:r>
        <w:rPr>
          <w:rStyle w:val="HideTWBExt"/>
        </w:rPr>
        <w:t>&lt;/Date&gt;</w:t>
      </w:r>
    </w:p>
    <w:p w14:paraId="7F13E734" w14:textId="295EA261" w:rsidR="00C1531C" w:rsidRPr="00AC7681" w:rsidRDefault="00C1531C">
      <w:pPr>
        <w:pStyle w:val="TypeDoc"/>
        <w:rPr>
          <w:noProof/>
        </w:rPr>
      </w:pPr>
      <w:r>
        <w:rPr>
          <w:rStyle w:val="HideTWBExt"/>
          <w:b w:val="0"/>
        </w:rPr>
        <w:t>&lt;TitreType&gt;</w:t>
      </w:r>
      <w:r w:rsidRPr="00BD57BD">
        <w:t>RAPORT</w:t>
      </w:r>
      <w:r>
        <w:rPr>
          <w:rStyle w:val="HideTWBExt"/>
          <w:b w:val="0"/>
        </w:rPr>
        <w:t>&lt;/TitreType&gt;</w:t>
      </w:r>
    </w:p>
    <w:p w14:paraId="3999BF62" w14:textId="2C496674" w:rsidR="00C1531C" w:rsidRPr="00AC7681" w:rsidRDefault="00C1531C">
      <w:pPr>
        <w:pStyle w:val="CoverNormal"/>
        <w:rPr>
          <w:noProof/>
        </w:rPr>
      </w:pPr>
      <w:r>
        <w:rPr>
          <w:rStyle w:val="HideTWBExt"/>
        </w:rPr>
        <w:t>&lt;Titre&gt;</w:t>
      </w:r>
      <w:r>
        <w:t>referitor la descărcarea de gestiune pentru execu</w:t>
      </w:r>
      <w:r w:rsidR="005A2FB3">
        <w:t>ț</w:t>
      </w:r>
      <w:r>
        <w:t>ia bugetului Agen</w:t>
      </w:r>
      <w:r w:rsidR="005A2FB3">
        <w:t>ț</w:t>
      </w:r>
      <w:r>
        <w:t>iei GNSS European aferent exerci</w:t>
      </w:r>
      <w:r w:rsidR="005A2FB3">
        <w:t>ț</w:t>
      </w:r>
      <w:r>
        <w:t>iului financiar 2016</w:t>
      </w:r>
      <w:r>
        <w:rPr>
          <w:rStyle w:val="HideTWBExt"/>
        </w:rPr>
        <w:t>&lt;/Titre&gt;</w:t>
      </w:r>
    </w:p>
    <w:p w14:paraId="5A4FF86E" w14:textId="77777777" w:rsidR="00C1531C" w:rsidRPr="00AC7681" w:rsidRDefault="005C689E">
      <w:pPr>
        <w:pStyle w:val="Cover24"/>
        <w:rPr>
          <w:noProof/>
        </w:rPr>
      </w:pPr>
      <w:r>
        <w:rPr>
          <w:rStyle w:val="HideTWBExt"/>
        </w:rPr>
        <w:t>&lt;DocRef&gt;</w:t>
      </w:r>
      <w:r w:rsidRPr="00BD57BD">
        <w:t>(2017/2165(DEC))</w:t>
      </w:r>
      <w:r>
        <w:rPr>
          <w:rStyle w:val="HideTWBExt"/>
        </w:rPr>
        <w:t>&lt;/DocRef&gt;</w:t>
      </w:r>
    </w:p>
    <w:p w14:paraId="48FA6808" w14:textId="77777777" w:rsidR="00C1531C" w:rsidRPr="00AC7681" w:rsidRDefault="00C1531C">
      <w:pPr>
        <w:pStyle w:val="Cover24"/>
        <w:rPr>
          <w:noProof/>
        </w:rPr>
      </w:pPr>
      <w:r>
        <w:rPr>
          <w:rStyle w:val="HideTWBExt"/>
        </w:rPr>
        <w:t>&lt;Commission&gt;</w:t>
      </w:r>
      <w:r w:rsidRPr="00BD57BD">
        <w:rPr>
          <w:rStyle w:val="HideTWBInt"/>
          <w:color w:val="auto"/>
        </w:rPr>
        <w:t>{CONT}</w:t>
      </w:r>
      <w:r w:rsidRPr="00BD57BD">
        <w:t>Comisia pentru control bugetar</w:t>
      </w:r>
      <w:r>
        <w:rPr>
          <w:rStyle w:val="HideTWBExt"/>
        </w:rPr>
        <w:t>&lt;/Commission&gt;</w:t>
      </w:r>
    </w:p>
    <w:p w14:paraId="60441E40" w14:textId="77777777" w:rsidR="00D9422B" w:rsidRPr="00AC7681" w:rsidRDefault="00577776">
      <w:pPr>
        <w:pStyle w:val="Cover24"/>
        <w:rPr>
          <w:noProof/>
        </w:rPr>
      </w:pPr>
      <w:r>
        <w:t xml:space="preserve">Raportor: </w:t>
      </w:r>
      <w:r>
        <w:rPr>
          <w:rStyle w:val="HideTWBExt"/>
        </w:rPr>
        <w:t>&lt;Depute&gt;</w:t>
      </w:r>
      <w:r>
        <w:t>Bart Staes</w:t>
      </w:r>
    </w:p>
    <w:p w14:paraId="4975CD1A" w14:textId="306A87B2" w:rsidR="00C1531C" w:rsidRPr="00AC7681" w:rsidRDefault="00C1531C">
      <w:pPr>
        <w:pStyle w:val="Cover24"/>
        <w:rPr>
          <w:noProof/>
        </w:rPr>
      </w:pPr>
      <w:r>
        <w:rPr>
          <w:rStyle w:val="HideTWBExt"/>
        </w:rPr>
        <w:t>&lt;/Depute&gt;</w:t>
      </w:r>
    </w:p>
    <w:p w14:paraId="474A4240" w14:textId="77777777" w:rsidR="00C1531C" w:rsidRPr="00AC7681" w:rsidRDefault="00C1531C" w:rsidP="00D46466">
      <w:pPr>
        <w:widowControl/>
        <w:tabs>
          <w:tab w:val="center" w:pos="4677"/>
        </w:tabs>
        <w:rPr>
          <w:noProof/>
        </w:rPr>
      </w:pPr>
      <w:r>
        <w:br w:type="page"/>
      </w:r>
    </w:p>
    <w:p w14:paraId="06DC68FF" w14:textId="77777777" w:rsidR="00C1531C" w:rsidRPr="00AC7681" w:rsidRDefault="00577776" w:rsidP="00D46466">
      <w:pPr>
        <w:widowControl/>
        <w:tabs>
          <w:tab w:val="center" w:pos="4677"/>
        </w:tabs>
        <w:rPr>
          <w:noProof/>
        </w:rPr>
      </w:pPr>
      <w:r>
        <w:t>PR_DEC_Agencies</w:t>
      </w:r>
    </w:p>
    <w:p w14:paraId="50B4A6A6" w14:textId="77777777" w:rsidR="00C1531C" w:rsidRPr="00AC7681" w:rsidRDefault="00577776">
      <w:pPr>
        <w:pStyle w:val="TOCHeading"/>
        <w:rPr>
          <w:noProof/>
        </w:rPr>
      </w:pPr>
      <w:r>
        <w:t>CUPRINS</w:t>
      </w:r>
    </w:p>
    <w:p w14:paraId="15063F10" w14:textId="77777777" w:rsidR="005A2FB3" w:rsidRDefault="00577776" w:rsidP="000B47E5">
      <w:pPr>
        <w:pStyle w:val="TOCPage"/>
        <w:rPr>
          <w:noProof/>
        </w:rPr>
      </w:pPr>
      <w:r>
        <w:t>Pagina</w:t>
      </w:r>
      <w:r w:rsidR="00C1531C" w:rsidRPr="00AC7681">
        <w:fldChar w:fldCharType="begin"/>
      </w:r>
      <w:r w:rsidR="00C1531C" w:rsidRPr="00AC7681">
        <w:instrText xml:space="preserve"> TOC \t "PageHeading</w:instrText>
      </w:r>
      <w:r w:rsidR="00EC38BE" w:rsidRPr="00AC7681">
        <w:instrText>;</w:instrText>
      </w:r>
      <w:r w:rsidR="00FD18F9" w:rsidRPr="00AC7681">
        <w:instrText>3</w:instrText>
      </w:r>
      <w:r w:rsidR="00C1531C" w:rsidRPr="00AC7681">
        <w:instrText xml:space="preserve">" </w:instrText>
      </w:r>
      <w:r w:rsidR="00C1531C" w:rsidRPr="00AC7681">
        <w:fldChar w:fldCharType="separate"/>
      </w:r>
    </w:p>
    <w:p w14:paraId="2BAE0CA0" w14:textId="77777777" w:rsidR="005A2FB3" w:rsidRDefault="005A2FB3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1. PROPUNERE DE DECIZIE A PARLAMENTULUI EUROPEAN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_Toc511223132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F27185C" w14:textId="77777777" w:rsidR="005A2FB3" w:rsidRDefault="005A2FB3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2. PROPUNERE DE DECIZIE A PARLAMENTULUI EUROPEAN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_Toc511223133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DE7124" w14:textId="77777777" w:rsidR="005A2FB3" w:rsidRDefault="005A2FB3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3. PROPUNERE DE REZOLUȚIE A PARLAMENTULUI EUROPEAN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_Toc511223134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5A7453F" w14:textId="77777777" w:rsidR="005A2FB3" w:rsidRDefault="005A2FB3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INFORMAȚII PRIVIND ADOPTAREA ÎN COMISIA COMPETENTĂ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_Toc511223135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D18738E" w14:textId="77777777" w:rsidR="005A2FB3" w:rsidRDefault="005A2FB3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 FINAL PRIN APEL NOMINAL ÎN COMISIA COMPETENTĂ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_Toc511223136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F0A292A" w14:textId="77777777" w:rsidR="00C1531C" w:rsidRPr="00AC7681" w:rsidRDefault="00C1531C">
      <w:pPr>
        <w:pStyle w:val="PageHeading"/>
      </w:pPr>
      <w:r w:rsidRPr="00AC7681">
        <w:rPr>
          <w:rFonts w:ascii="Times New Roman" w:hAnsi="Times New Roman"/>
        </w:rPr>
        <w:fldChar w:fldCharType="end"/>
      </w:r>
    </w:p>
    <w:p w14:paraId="73DA2571" w14:textId="77777777" w:rsidR="00C1531C" w:rsidRPr="00AC7681" w:rsidRDefault="00C1531C" w:rsidP="004D13BA">
      <w:pPr>
        <w:pStyle w:val="PageHeading"/>
        <w:rPr>
          <w:noProof/>
        </w:rPr>
      </w:pPr>
      <w:r>
        <w:br w:type="page"/>
      </w:r>
      <w:bookmarkStart w:id="0" w:name="Decision1"/>
      <w:bookmarkStart w:id="1" w:name="_Toc26759888"/>
      <w:bookmarkStart w:id="2" w:name="_Toc86200285"/>
      <w:bookmarkStart w:id="3" w:name="_Toc511223132"/>
      <w:r>
        <w:lastRenderedPageBreak/>
        <w:t>1. PROPUNERE DE DECIZIE A PARLAMENTULUI EUROPEAN</w:t>
      </w:r>
      <w:bookmarkEnd w:id="3"/>
    </w:p>
    <w:p w14:paraId="12DB638E" w14:textId="67CE8F8A" w:rsidR="00C1531C" w:rsidRPr="00AC7681" w:rsidRDefault="00577776">
      <w:pPr>
        <w:pStyle w:val="NormalBold"/>
        <w:rPr>
          <w:noProof/>
        </w:rPr>
      </w:pPr>
      <w:bookmarkStart w:id="4" w:name="DecisionTitle1"/>
      <w:bookmarkEnd w:id="0"/>
      <w:r>
        <w:t>referitoare la descărcarea de gestiune pentru execu</w:t>
      </w:r>
      <w:r w:rsidR="005A2FB3">
        <w:t>ț</w:t>
      </w:r>
      <w:r>
        <w:t>ia bugetului Agen</w:t>
      </w:r>
      <w:r w:rsidR="005A2FB3">
        <w:t>ț</w:t>
      </w:r>
      <w:r>
        <w:t>iei GNSS European aferent exerci</w:t>
      </w:r>
      <w:r w:rsidR="005A2FB3">
        <w:t>ț</w:t>
      </w:r>
      <w:r>
        <w:t>iului financiar 2016</w:t>
      </w:r>
    </w:p>
    <w:bookmarkEnd w:id="4"/>
    <w:p w14:paraId="0586E9AC" w14:textId="77777777" w:rsidR="00C1531C" w:rsidRPr="00AC7681" w:rsidRDefault="00577776">
      <w:pPr>
        <w:pStyle w:val="Normal12Bold"/>
        <w:rPr>
          <w:noProof/>
        </w:rPr>
      </w:pPr>
      <w:r>
        <w:t>(2017/2165(DEC))</w:t>
      </w:r>
    </w:p>
    <w:p w14:paraId="23BF2FF9" w14:textId="77777777" w:rsidR="00C1531C" w:rsidRPr="00AC7681" w:rsidRDefault="00577776">
      <w:pPr>
        <w:pStyle w:val="Normal12"/>
        <w:rPr>
          <w:noProof/>
        </w:rPr>
      </w:pPr>
      <w:r>
        <w:rPr>
          <w:i/>
        </w:rPr>
        <w:t>Parlamentul European</w:t>
      </w:r>
      <w:r>
        <w:t>,</w:t>
      </w:r>
    </w:p>
    <w:p w14:paraId="78A017AE" w14:textId="40C1CD15" w:rsidR="00C1531C" w:rsidRPr="00AC7681" w:rsidRDefault="00C1531C">
      <w:pPr>
        <w:pStyle w:val="Normal12Hanging"/>
        <w:rPr>
          <w:noProof/>
        </w:rPr>
      </w:pPr>
      <w:r>
        <w:t>–</w:t>
      </w:r>
      <w:r>
        <w:tab/>
        <w:t>având în vedere conturile anuale finale ale Agen</w:t>
      </w:r>
      <w:r w:rsidR="005A2FB3">
        <w:t>ț</w:t>
      </w:r>
      <w:r>
        <w:t>iei GNSS European pentru exerci</w:t>
      </w:r>
      <w:r w:rsidR="005A2FB3">
        <w:t>ț</w:t>
      </w:r>
      <w:r>
        <w:t>iul financiar 2016,</w:t>
      </w:r>
    </w:p>
    <w:p w14:paraId="30B95F34" w14:textId="50BD64AF" w:rsidR="005A6CAE" w:rsidRPr="00AC7681" w:rsidRDefault="005A6CAE" w:rsidP="005A6CAE">
      <w:pPr>
        <w:pStyle w:val="Normal12Hanging"/>
        <w:rPr>
          <w:noProof/>
        </w:rPr>
      </w:pPr>
      <w:r>
        <w:t>–</w:t>
      </w:r>
      <w:r>
        <w:tab/>
        <w:t>având în vedere Raportul Cur</w:t>
      </w:r>
      <w:r w:rsidR="005A2FB3">
        <w:t>ț</w:t>
      </w:r>
      <w:r>
        <w:t>ii de Conturi privind conturile anuale ale Agen</w:t>
      </w:r>
      <w:r w:rsidR="005A2FB3">
        <w:t>ț</w:t>
      </w:r>
      <w:r>
        <w:t>iei GNSS European pentru exerci</w:t>
      </w:r>
      <w:r w:rsidR="005A2FB3">
        <w:t>ț</w:t>
      </w:r>
      <w:r>
        <w:t>iul financiar 2016, înso</w:t>
      </w:r>
      <w:r w:rsidR="005A2FB3">
        <w:t>ț</w:t>
      </w:r>
      <w:r>
        <w:t>it de răspunsul Agen</w:t>
      </w:r>
      <w:r w:rsidR="005A2FB3">
        <w:t>ț</w:t>
      </w:r>
      <w:r>
        <w:t>iei</w:t>
      </w:r>
      <w:r w:rsidR="00723148" w:rsidRPr="00AC7681">
        <w:rPr>
          <w:rStyle w:val="FootnoteReference"/>
          <w:noProof/>
        </w:rPr>
        <w:footnoteReference w:id="1"/>
      </w:r>
      <w:r>
        <w:t>,</w:t>
      </w:r>
    </w:p>
    <w:p w14:paraId="5286246F" w14:textId="5C3AEDDE" w:rsidR="009B566F" w:rsidRPr="00AC7681" w:rsidRDefault="009B566F" w:rsidP="009B566F">
      <w:pPr>
        <w:pStyle w:val="Normal12Hanging"/>
        <w:rPr>
          <w:noProof/>
        </w:rPr>
      </w:pPr>
      <w:r>
        <w:t>–</w:t>
      </w:r>
      <w:r>
        <w:tab/>
        <w:t>având în vedere declara</w:t>
      </w:r>
      <w:r w:rsidR="005A2FB3">
        <w:t>ț</w:t>
      </w:r>
      <w:r>
        <w:t>ia de asigurare</w:t>
      </w:r>
      <w:r w:rsidR="00723148" w:rsidRPr="00AC7681">
        <w:rPr>
          <w:rStyle w:val="FootnoteReference"/>
          <w:noProof/>
        </w:rPr>
        <w:footnoteReference w:id="2"/>
      </w:r>
      <w:r>
        <w:t xml:space="preserve"> privind fiabilitatea conturilor </w:t>
      </w:r>
      <w:r w:rsidR="005A2FB3">
        <w:t>ș</w:t>
      </w:r>
      <w:r>
        <w:t xml:space="preserve">i legalitatea </w:t>
      </w:r>
      <w:r w:rsidR="005A2FB3">
        <w:t>ș</w:t>
      </w:r>
      <w:r>
        <w:t>i regularitatea opera</w:t>
      </w:r>
      <w:r w:rsidR="005A2FB3">
        <w:t>ț</w:t>
      </w:r>
      <w:r>
        <w:t>iunilor subiacente întocmită de Curtea de Conturi pentru exerci</w:t>
      </w:r>
      <w:r w:rsidR="005A2FB3">
        <w:t>ț</w:t>
      </w:r>
      <w:r>
        <w:t>iul 2016 în temeiul articolului 287 din Tratatul privind func</w:t>
      </w:r>
      <w:r w:rsidR="005A2FB3">
        <w:t>ț</w:t>
      </w:r>
      <w:r>
        <w:t>ionarea Uniunii Europene,</w:t>
      </w:r>
    </w:p>
    <w:p w14:paraId="7F30884B" w14:textId="0B766554" w:rsidR="005A6CAE" w:rsidRPr="00AC7681" w:rsidRDefault="005A6CAE" w:rsidP="005A6CAE">
      <w:pPr>
        <w:pStyle w:val="Normal12Hanging"/>
        <w:rPr>
          <w:noProof/>
        </w:rPr>
      </w:pPr>
      <w:r>
        <w:t>–</w:t>
      </w:r>
      <w:r>
        <w:tab/>
        <w:t>având în vedere Recomandarea Consiliului din 20 februarie 2018 privind descărcarea de gestiune a Agen</w:t>
      </w:r>
      <w:r w:rsidR="005A2FB3">
        <w:t>ț</w:t>
      </w:r>
      <w:r>
        <w:t>iei în ceea ce prive</w:t>
      </w:r>
      <w:r w:rsidR="005A2FB3">
        <w:t>ș</w:t>
      </w:r>
      <w:r>
        <w:t>te execu</w:t>
      </w:r>
      <w:r w:rsidR="005A2FB3">
        <w:t>ț</w:t>
      </w:r>
      <w:r>
        <w:t>ia bugetară pentru exerci</w:t>
      </w:r>
      <w:r w:rsidR="005A2FB3">
        <w:t>ț</w:t>
      </w:r>
      <w:r>
        <w:t>iul financiar 2016 (05941/2018 – C8-0075/2018),</w:t>
      </w:r>
    </w:p>
    <w:p w14:paraId="03E99A83" w14:textId="76CA5EEF" w:rsidR="005A6CAE" w:rsidRPr="00AC7681" w:rsidRDefault="005A6CAE" w:rsidP="005A6CAE">
      <w:pPr>
        <w:pStyle w:val="Normal12Hanging"/>
        <w:rPr>
          <w:noProof/>
        </w:rPr>
      </w:pPr>
      <w:r>
        <w:t>–</w:t>
      </w:r>
      <w:r>
        <w:tab/>
        <w:t>având în vedere articolul 319 din Tratatul privind func</w:t>
      </w:r>
      <w:r w:rsidR="005A2FB3">
        <w:t>ț</w:t>
      </w:r>
      <w:r>
        <w:t>ionarea Uniunii Europene,</w:t>
      </w:r>
    </w:p>
    <w:p w14:paraId="33D95168" w14:textId="1D505528" w:rsidR="00CF07EC" w:rsidRPr="00AC7681" w:rsidRDefault="00CF07EC" w:rsidP="00CF07EC">
      <w:pPr>
        <w:pStyle w:val="Normal12Hanging"/>
        <w:rPr>
          <w:noProof/>
        </w:rPr>
      </w:pPr>
      <w:r>
        <w:t>–</w:t>
      </w:r>
      <w:r>
        <w:tab/>
        <w:t xml:space="preserve">având în vedere Regulamentul (UE, Euratom) nr. 966/2012 al Parlamentului European </w:t>
      </w:r>
      <w:r w:rsidR="005A2FB3">
        <w:t>ș</w:t>
      </w:r>
      <w:r>
        <w:t xml:space="preserve">i al Consiliului din 25 octombrie 2012 privind normele financiare aplicabile bugetului general al Uniunii </w:t>
      </w:r>
      <w:r w:rsidR="005A2FB3">
        <w:t>ș</w:t>
      </w:r>
      <w:r>
        <w:t>i de abrogare a Regulamentului (CE, Euratom) nr. 1605/2002 al Consiliului</w:t>
      </w:r>
      <w:r w:rsidR="00723148" w:rsidRPr="00AC7681">
        <w:rPr>
          <w:rStyle w:val="FootnoteReference"/>
          <w:noProof/>
        </w:rPr>
        <w:footnoteReference w:id="3"/>
      </w:r>
      <w:r>
        <w:t>, în special articolul 208,</w:t>
      </w:r>
    </w:p>
    <w:p w14:paraId="3314D700" w14:textId="0E6BA31C" w:rsidR="005A6CAE" w:rsidRPr="00AC7681" w:rsidRDefault="005A6CAE" w:rsidP="0017746B">
      <w:pPr>
        <w:pStyle w:val="Normal12Hanging"/>
        <w:rPr>
          <w:noProof/>
        </w:rPr>
      </w:pPr>
      <w:r>
        <w:t>–</w:t>
      </w:r>
      <w:r>
        <w:tab/>
        <w:t xml:space="preserve">având în vedere Regulamentul (UE) nr. 912/2010 al Parlamentului European </w:t>
      </w:r>
      <w:r w:rsidR="005A2FB3">
        <w:t>ș</w:t>
      </w:r>
      <w:r>
        <w:t>i al Consiliului din 22 septembrie 2010 de instituire a Agen</w:t>
      </w:r>
      <w:r w:rsidR="005A2FB3">
        <w:t>ț</w:t>
      </w:r>
      <w:r>
        <w:t>iei GNSS European, de abrogare a Regulamentului (CE) nr. 1321/2004 al Consiliului privind crearea unor structuri de gestionare a programelor europene de radionaviga</w:t>
      </w:r>
      <w:r w:rsidR="005A2FB3">
        <w:t>ț</w:t>
      </w:r>
      <w:r>
        <w:t xml:space="preserve">ie prin satelit </w:t>
      </w:r>
      <w:r w:rsidR="005A2FB3">
        <w:t>ș</w:t>
      </w:r>
      <w:r>
        <w:t xml:space="preserve">i de modificare a Regulamentului (CE) nr. 683/2008 al Parlamentului European </w:t>
      </w:r>
      <w:r w:rsidR="005A2FB3">
        <w:t>ș</w:t>
      </w:r>
      <w:r>
        <w:t>i al Consiliului</w:t>
      </w:r>
      <w:r w:rsidR="00723148" w:rsidRPr="00AC7681">
        <w:rPr>
          <w:rStyle w:val="FootnoteReference"/>
          <w:noProof/>
        </w:rPr>
        <w:footnoteReference w:id="4"/>
      </w:r>
      <w:r>
        <w:t>, în special articolul 14,</w:t>
      </w:r>
    </w:p>
    <w:p w14:paraId="4188FB22" w14:textId="59549BA6" w:rsidR="005A6CAE" w:rsidRPr="00AC7681" w:rsidRDefault="005A6CAE" w:rsidP="00BA46FB">
      <w:pPr>
        <w:pStyle w:val="Normal12Hanging"/>
        <w:rPr>
          <w:noProof/>
        </w:rPr>
      </w:pPr>
      <w:r>
        <w:t>–</w:t>
      </w:r>
      <w:r>
        <w:tab/>
        <w:t>având în vedere Regulamentul delegat (UE) nr. 1271/2013 al Comisiei din 30 septembrie 2013 privind Regulamentul financiar cadru pentru organismele men</w:t>
      </w:r>
      <w:r w:rsidR="005A2FB3">
        <w:t>ț</w:t>
      </w:r>
      <w:r>
        <w:t xml:space="preserve">ionate la articolul 208 din Regulamentul (UE, Euratom) nr. 966/2012 al Parlamentului European </w:t>
      </w:r>
      <w:r w:rsidR="005A2FB3">
        <w:t>ș</w:t>
      </w:r>
      <w:r>
        <w:t>i al Consiliului</w:t>
      </w:r>
      <w:r w:rsidR="00723148" w:rsidRPr="00AC7681">
        <w:rPr>
          <w:rStyle w:val="FootnoteReference"/>
          <w:noProof/>
        </w:rPr>
        <w:footnoteReference w:id="5"/>
      </w:r>
      <w:r>
        <w:t>, în special articolul 108,</w:t>
      </w:r>
    </w:p>
    <w:p w14:paraId="3F1722EA" w14:textId="74E53FEB" w:rsidR="005A6CAE" w:rsidRPr="00AC7681" w:rsidRDefault="005A6CAE" w:rsidP="005A6CAE">
      <w:pPr>
        <w:pStyle w:val="Normal12Hanging"/>
        <w:rPr>
          <w:noProof/>
        </w:rPr>
      </w:pPr>
      <w:r>
        <w:t>–</w:t>
      </w:r>
      <w:r>
        <w:tab/>
        <w:t xml:space="preserve">având în vedere articolul 94 </w:t>
      </w:r>
      <w:r w:rsidR="005A2FB3">
        <w:t>ș</w:t>
      </w:r>
      <w:r>
        <w:t>i anexa IV la Regulamentul său de procedură,</w:t>
      </w:r>
    </w:p>
    <w:p w14:paraId="75A3437F" w14:textId="65D9136A" w:rsidR="005A6CAE" w:rsidRPr="00AC7681" w:rsidRDefault="005A6CAE" w:rsidP="005A6CAE">
      <w:pPr>
        <w:pStyle w:val="Normal12Hanging"/>
        <w:rPr>
          <w:noProof/>
        </w:rPr>
      </w:pPr>
      <w:r>
        <w:t>–</w:t>
      </w:r>
      <w:r>
        <w:tab/>
        <w:t>având în vedere raportul Comisiei pentru control bugetar (A8-0082/2018),</w:t>
      </w:r>
    </w:p>
    <w:p w14:paraId="3C2BFAFA" w14:textId="61AE4249" w:rsidR="00062400" w:rsidRPr="00AC7681" w:rsidRDefault="00062400" w:rsidP="00062400">
      <w:pPr>
        <w:pStyle w:val="Normal12Hanging"/>
        <w:rPr>
          <w:noProof/>
        </w:rPr>
      </w:pPr>
      <w:r>
        <w:lastRenderedPageBreak/>
        <w:t>1.</w:t>
      </w:r>
      <w:r>
        <w:tab/>
        <w:t>acordă directorului executiv al Agen</w:t>
      </w:r>
      <w:r w:rsidR="005A2FB3">
        <w:t>ț</w:t>
      </w:r>
      <w:r>
        <w:t>iei GNSS European descărcarea de gestiune pentru execu</w:t>
      </w:r>
      <w:r w:rsidR="005A2FB3">
        <w:t>ț</w:t>
      </w:r>
      <w:r>
        <w:t>ia bugetului Agen</w:t>
      </w:r>
      <w:r w:rsidR="005A2FB3">
        <w:t>ț</w:t>
      </w:r>
      <w:r>
        <w:t>iei aferent exerci</w:t>
      </w:r>
      <w:r w:rsidR="005A2FB3">
        <w:t>ț</w:t>
      </w:r>
      <w:r>
        <w:t>iului financiar 2016;</w:t>
      </w:r>
    </w:p>
    <w:p w14:paraId="16CD5E39" w14:textId="3F873953" w:rsidR="00C1531C" w:rsidRPr="00AC7681" w:rsidRDefault="00C1531C">
      <w:pPr>
        <w:pStyle w:val="Normal12Hanging"/>
        <w:rPr>
          <w:noProof/>
        </w:rPr>
      </w:pPr>
      <w:r>
        <w:t>2.</w:t>
      </w:r>
      <w:r>
        <w:tab/>
        <w:t>î</w:t>
      </w:r>
      <w:r w:rsidR="005A2FB3">
        <w:t>ș</w:t>
      </w:r>
      <w:r>
        <w:t>i prezintă observa</w:t>
      </w:r>
      <w:r w:rsidR="005A2FB3">
        <w:t>ț</w:t>
      </w:r>
      <w:r>
        <w:t>iile în cadrul rezolu</w:t>
      </w:r>
      <w:r w:rsidR="005A2FB3">
        <w:t>ț</w:t>
      </w:r>
      <w:r>
        <w:t>iei de mai jos;</w:t>
      </w:r>
    </w:p>
    <w:p w14:paraId="5FA47830" w14:textId="2767CDEB" w:rsidR="00C1531C" w:rsidRPr="00AC7681" w:rsidRDefault="00C1531C">
      <w:pPr>
        <w:pStyle w:val="Normal12Hanging"/>
        <w:rPr>
          <w:noProof/>
        </w:rPr>
      </w:pPr>
      <w:r>
        <w:t>3.</w:t>
      </w:r>
      <w:r>
        <w:tab/>
        <w:t>încredin</w:t>
      </w:r>
      <w:r w:rsidR="005A2FB3">
        <w:t>ț</w:t>
      </w:r>
      <w:r>
        <w:t>ează Pre</w:t>
      </w:r>
      <w:r w:rsidR="005A2FB3">
        <w:t>ș</w:t>
      </w:r>
      <w:r>
        <w:t>edintelui sarcina de a transmite prezenta decizie împreună cu rezolu</w:t>
      </w:r>
      <w:r w:rsidR="005A2FB3">
        <w:t>ț</w:t>
      </w:r>
      <w:r>
        <w:t>ia Parlamentului, ca parte integrantă a acesteia, directorului executiv al Agen</w:t>
      </w:r>
      <w:r w:rsidR="005A2FB3">
        <w:t>ț</w:t>
      </w:r>
      <w:r>
        <w:t xml:space="preserve">iei GNSS European, Consiliului, Comisiei </w:t>
      </w:r>
      <w:r w:rsidR="005A2FB3">
        <w:t>ș</w:t>
      </w:r>
      <w:r>
        <w:t>i Cur</w:t>
      </w:r>
      <w:r w:rsidR="005A2FB3">
        <w:t>ț</w:t>
      </w:r>
      <w:r>
        <w:t xml:space="preserve">ii de Conturi </w:t>
      </w:r>
      <w:r w:rsidR="005A2FB3">
        <w:t>ș</w:t>
      </w:r>
      <w:r>
        <w:t>i de a asigura publicarea acestora în Jurnalul Oficial al Uniunii Europene (seria L).</w:t>
      </w:r>
    </w:p>
    <w:p w14:paraId="43A3AE37" w14:textId="77777777" w:rsidR="00C1531C" w:rsidRPr="00AC7681" w:rsidRDefault="00C1531C" w:rsidP="004D13BA">
      <w:pPr>
        <w:pStyle w:val="PageHeading"/>
        <w:rPr>
          <w:noProof/>
        </w:rPr>
      </w:pPr>
      <w:r>
        <w:br w:type="page"/>
      </w:r>
      <w:bookmarkStart w:id="5" w:name="Decision2"/>
      <w:bookmarkStart w:id="6" w:name="_Toc511223133"/>
      <w:r>
        <w:lastRenderedPageBreak/>
        <w:t>2. PROPUNERE DE DECIZIE A PARLAMENTULUI EUROPEAN</w:t>
      </w:r>
      <w:bookmarkEnd w:id="6"/>
    </w:p>
    <w:p w14:paraId="795F5994" w14:textId="07C17D59" w:rsidR="00C1531C" w:rsidRPr="00AC7681" w:rsidRDefault="00577776">
      <w:pPr>
        <w:pStyle w:val="NormalBold"/>
        <w:rPr>
          <w:noProof/>
        </w:rPr>
      </w:pPr>
      <w:bookmarkStart w:id="7" w:name="DecisionTitle2"/>
      <w:bookmarkEnd w:id="5"/>
      <w:r>
        <w:t>privind închiderea conturilor Agen</w:t>
      </w:r>
      <w:r w:rsidR="005A2FB3">
        <w:t>ț</w:t>
      </w:r>
      <w:r>
        <w:t>iei GNSS European pentru exerci</w:t>
      </w:r>
      <w:r w:rsidR="005A2FB3">
        <w:t>ț</w:t>
      </w:r>
      <w:r>
        <w:t>iul financiar 2016</w:t>
      </w:r>
    </w:p>
    <w:bookmarkEnd w:id="7"/>
    <w:p w14:paraId="59FC8EA8" w14:textId="77777777" w:rsidR="00C1531C" w:rsidRPr="00AC7681" w:rsidRDefault="00577776">
      <w:pPr>
        <w:pStyle w:val="Normal12Bold"/>
        <w:rPr>
          <w:noProof/>
        </w:rPr>
      </w:pPr>
      <w:r>
        <w:t>(2017/2165(DEC))</w:t>
      </w:r>
    </w:p>
    <w:p w14:paraId="48F9A1AA" w14:textId="77777777" w:rsidR="00C1531C" w:rsidRPr="00AC7681" w:rsidRDefault="00577776">
      <w:pPr>
        <w:pStyle w:val="Normal12"/>
        <w:rPr>
          <w:noProof/>
        </w:rPr>
      </w:pPr>
      <w:r>
        <w:rPr>
          <w:i/>
        </w:rPr>
        <w:t>Parlamentul European</w:t>
      </w:r>
      <w:r>
        <w:t>,</w:t>
      </w:r>
    </w:p>
    <w:p w14:paraId="2BBBE069" w14:textId="39E34FAC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>având în vedere conturile anuale finale ale Agen</w:t>
      </w:r>
      <w:r w:rsidR="005A2FB3">
        <w:t>ț</w:t>
      </w:r>
      <w:r>
        <w:t>iei GNSS European pentru exerci</w:t>
      </w:r>
      <w:r w:rsidR="005A2FB3">
        <w:t>ț</w:t>
      </w:r>
      <w:r>
        <w:t>iul financiar 2016,</w:t>
      </w:r>
    </w:p>
    <w:p w14:paraId="619CD3F7" w14:textId="23F0B492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>având în vedere Raportul Cur</w:t>
      </w:r>
      <w:r w:rsidR="005A2FB3">
        <w:t>ț</w:t>
      </w:r>
      <w:r>
        <w:t>ii de Conturi privind conturile anuale ale Agen</w:t>
      </w:r>
      <w:r w:rsidR="005A2FB3">
        <w:t>ț</w:t>
      </w:r>
      <w:r>
        <w:t>iei GNSS European pentru exerci</w:t>
      </w:r>
      <w:r w:rsidR="005A2FB3">
        <w:t>ț</w:t>
      </w:r>
      <w:r>
        <w:t>iul financiar 2016, înso</w:t>
      </w:r>
      <w:r w:rsidR="005A2FB3">
        <w:t>ț</w:t>
      </w:r>
      <w:r>
        <w:t>it de răspunsul Agen</w:t>
      </w:r>
      <w:r w:rsidR="005A2FB3">
        <w:t>ț</w:t>
      </w:r>
      <w:r>
        <w:t>iei</w:t>
      </w:r>
      <w:r w:rsidR="00723148" w:rsidRPr="00AC7681">
        <w:rPr>
          <w:rStyle w:val="FootnoteReference"/>
          <w:noProof/>
        </w:rPr>
        <w:footnoteReference w:id="6"/>
      </w:r>
      <w:r>
        <w:t>,</w:t>
      </w:r>
    </w:p>
    <w:p w14:paraId="587C90EE" w14:textId="264F5129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>având în vedere declara</w:t>
      </w:r>
      <w:r w:rsidR="005A2FB3">
        <w:t>ț</w:t>
      </w:r>
      <w:r>
        <w:t>ia de asigurare</w:t>
      </w:r>
      <w:r w:rsidR="00723148" w:rsidRPr="00AC7681">
        <w:rPr>
          <w:rStyle w:val="FootnoteReference"/>
          <w:noProof/>
        </w:rPr>
        <w:footnoteReference w:id="7"/>
      </w:r>
      <w:r>
        <w:t xml:space="preserve"> privind fiabilitatea conturilor </w:t>
      </w:r>
      <w:r w:rsidR="005A2FB3">
        <w:t>ș</w:t>
      </w:r>
      <w:r>
        <w:t xml:space="preserve">i legalitatea </w:t>
      </w:r>
      <w:r w:rsidR="005A2FB3">
        <w:t>ș</w:t>
      </w:r>
      <w:r>
        <w:t>i regularitatea opera</w:t>
      </w:r>
      <w:r w:rsidR="005A2FB3">
        <w:t>ț</w:t>
      </w:r>
      <w:r>
        <w:t>iunilor subiacente întocmită de Curtea de Conturi pentru exerci</w:t>
      </w:r>
      <w:r w:rsidR="005A2FB3">
        <w:t>ț</w:t>
      </w:r>
      <w:r>
        <w:t>iul 2016 în temeiul articolului 287 din Tratatul privind func</w:t>
      </w:r>
      <w:r w:rsidR="005A2FB3">
        <w:t>ț</w:t>
      </w:r>
      <w:r>
        <w:t>ionarea Uniunii Europene,</w:t>
      </w:r>
    </w:p>
    <w:p w14:paraId="3DD0F15F" w14:textId="18B3AB81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>având în vedere Recomandarea Consiliului din 20 februarie 2018 privind descărcarea de gestiune a Agen</w:t>
      </w:r>
      <w:r w:rsidR="005A2FB3">
        <w:t>ț</w:t>
      </w:r>
      <w:r>
        <w:t>iei în ceea ce prive</w:t>
      </w:r>
      <w:r w:rsidR="005A2FB3">
        <w:t>ș</w:t>
      </w:r>
      <w:r>
        <w:t>te execu</w:t>
      </w:r>
      <w:r w:rsidR="005A2FB3">
        <w:t>ț</w:t>
      </w:r>
      <w:r>
        <w:t>ia bugetară pentru exerci</w:t>
      </w:r>
      <w:r w:rsidR="005A2FB3">
        <w:t>ț</w:t>
      </w:r>
      <w:r>
        <w:t>iul financiar 2016 (05941/2018 – C8-0075/2018),</w:t>
      </w:r>
    </w:p>
    <w:p w14:paraId="13C8AD78" w14:textId="55B30C7C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>având în vedere articolul 319 din Tratatul privind func</w:t>
      </w:r>
      <w:r w:rsidR="005A2FB3">
        <w:t>ț</w:t>
      </w:r>
      <w:r>
        <w:t>ionarea Uniunii Europene,</w:t>
      </w:r>
    </w:p>
    <w:p w14:paraId="14B393E9" w14:textId="1FE94F78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 xml:space="preserve">având în vedere Regulamentul (UE, Euratom) nr. 966/2012 al Parlamentului European </w:t>
      </w:r>
      <w:r w:rsidR="005A2FB3">
        <w:t>ș</w:t>
      </w:r>
      <w:r>
        <w:t xml:space="preserve">i al Consiliului din 25 octombrie 2012 privind normele financiare aplicabile bugetului general al Uniunii </w:t>
      </w:r>
      <w:r w:rsidR="005A2FB3">
        <w:t>ș</w:t>
      </w:r>
      <w:r>
        <w:t>i de abrogare a Regulamentului (CE, Euratom) nr. 1605/2002 al Consiliului</w:t>
      </w:r>
      <w:r w:rsidR="00723148" w:rsidRPr="00AC7681">
        <w:rPr>
          <w:rStyle w:val="FootnoteReference"/>
          <w:noProof/>
        </w:rPr>
        <w:footnoteReference w:id="8"/>
      </w:r>
      <w:r>
        <w:t>, în special articolul 208,</w:t>
      </w:r>
    </w:p>
    <w:p w14:paraId="483E17C7" w14:textId="6A94B909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 xml:space="preserve">având în vedere Regulamentul (UE) nr. 912/2010 al Parlamentului European </w:t>
      </w:r>
      <w:r w:rsidR="005A2FB3">
        <w:t>ș</w:t>
      </w:r>
      <w:r>
        <w:t>i al Consiliului din 22 septembrie 2010 de instituire a Agen</w:t>
      </w:r>
      <w:r w:rsidR="005A2FB3">
        <w:t>ț</w:t>
      </w:r>
      <w:r>
        <w:t>iei GNSS European, de abrogare a Regulamentului (CE) nr. 1321/2004 al Consiliului privind crearea unor structuri de gestionare a programelor europene de radionaviga</w:t>
      </w:r>
      <w:r w:rsidR="005A2FB3">
        <w:t>ț</w:t>
      </w:r>
      <w:r>
        <w:t xml:space="preserve">ie prin satelit </w:t>
      </w:r>
      <w:r w:rsidR="005A2FB3">
        <w:t>ș</w:t>
      </w:r>
      <w:r>
        <w:t xml:space="preserve">i de modificare a Regulamentului (CE) nr. 683/2008 al Parlamentului European </w:t>
      </w:r>
      <w:r w:rsidR="005A2FB3">
        <w:t>ș</w:t>
      </w:r>
      <w:r>
        <w:t>i al Consiliului</w:t>
      </w:r>
      <w:r w:rsidR="00723148" w:rsidRPr="00AC7681">
        <w:rPr>
          <w:rStyle w:val="FootnoteReference"/>
          <w:noProof/>
        </w:rPr>
        <w:footnoteReference w:id="9"/>
      </w:r>
      <w:r>
        <w:t>, în special articolul 14,</w:t>
      </w:r>
    </w:p>
    <w:p w14:paraId="112307BC" w14:textId="11F9D43D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>având în vedere Regulamentul delegat (UE) nr. 1271/2013 al Comisiei din 30 septembrie 2013 privind Regulamentul financiar cadru pentru organismele men</w:t>
      </w:r>
      <w:r w:rsidR="005A2FB3">
        <w:t>ț</w:t>
      </w:r>
      <w:r>
        <w:t xml:space="preserve">ionate la articolul 208 din Regulamentul (UE, Euratom) nr. 966/2012 al Parlamentului European </w:t>
      </w:r>
      <w:r w:rsidR="005A2FB3">
        <w:t>ș</w:t>
      </w:r>
      <w:r>
        <w:t>i al Consiliului</w:t>
      </w:r>
      <w:r w:rsidR="00723148" w:rsidRPr="00AC7681">
        <w:rPr>
          <w:rStyle w:val="FootnoteReference"/>
          <w:noProof/>
        </w:rPr>
        <w:footnoteReference w:id="10"/>
      </w:r>
      <w:r>
        <w:t>, în special articolul 108,</w:t>
      </w:r>
    </w:p>
    <w:p w14:paraId="07EC73FE" w14:textId="32B63580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 xml:space="preserve">având în vedere articolul 94 </w:t>
      </w:r>
      <w:r w:rsidR="005A2FB3">
        <w:t>ș</w:t>
      </w:r>
      <w:r>
        <w:t>i anexa IV la Regulamentul său de procedură,</w:t>
      </w:r>
    </w:p>
    <w:p w14:paraId="152A8FB3" w14:textId="0556D02B" w:rsidR="009A1AE4" w:rsidRPr="00AC7681" w:rsidRDefault="009A1AE4" w:rsidP="009A1AE4">
      <w:pPr>
        <w:pStyle w:val="Normal12Hanging"/>
        <w:rPr>
          <w:noProof/>
        </w:rPr>
      </w:pPr>
      <w:r>
        <w:t>–</w:t>
      </w:r>
      <w:r>
        <w:tab/>
        <w:t>având în vedere raportul Comisiei pentru control bugetar (A8-0082/2018),</w:t>
      </w:r>
    </w:p>
    <w:p w14:paraId="245EBCCF" w14:textId="27AC48B3" w:rsidR="00062400" w:rsidRPr="00AC7681" w:rsidRDefault="00062400" w:rsidP="00062400">
      <w:pPr>
        <w:pStyle w:val="Normal12Hanging"/>
        <w:rPr>
          <w:noProof/>
        </w:rPr>
      </w:pPr>
      <w:r>
        <w:lastRenderedPageBreak/>
        <w:t>1.</w:t>
      </w:r>
      <w:r>
        <w:tab/>
        <w:t>aprobă închiderea conturilor Agen</w:t>
      </w:r>
      <w:r w:rsidR="005A2FB3">
        <w:t>ț</w:t>
      </w:r>
      <w:r>
        <w:t>iei GNSS European pentru exerci</w:t>
      </w:r>
      <w:r w:rsidR="005A2FB3">
        <w:t>ț</w:t>
      </w:r>
      <w:r>
        <w:t>iul financiar 2016;</w:t>
      </w:r>
    </w:p>
    <w:p w14:paraId="10128A69" w14:textId="7B7B49D2" w:rsidR="00C1531C" w:rsidRPr="00AC7681" w:rsidRDefault="00EB31C4">
      <w:pPr>
        <w:pStyle w:val="Normal12Hanging"/>
        <w:rPr>
          <w:noProof/>
        </w:rPr>
      </w:pPr>
      <w:r>
        <w:t>2.</w:t>
      </w:r>
      <w:r>
        <w:tab/>
        <w:t>încredin</w:t>
      </w:r>
      <w:r w:rsidR="005A2FB3">
        <w:t>ț</w:t>
      </w:r>
      <w:r>
        <w:t>ează Pre</w:t>
      </w:r>
      <w:r w:rsidR="005A2FB3">
        <w:t>ș</w:t>
      </w:r>
      <w:r>
        <w:t>edintelui sarcina de a transmite prezenta decizie directorului executiv al Agen</w:t>
      </w:r>
      <w:r w:rsidR="005A2FB3">
        <w:t>ț</w:t>
      </w:r>
      <w:r>
        <w:t xml:space="preserve">iei GNSS European, Consiliului, Comisiei </w:t>
      </w:r>
      <w:r w:rsidR="005A2FB3">
        <w:t>ș</w:t>
      </w:r>
      <w:r>
        <w:t>i Cur</w:t>
      </w:r>
      <w:r w:rsidR="005A2FB3">
        <w:t>ț</w:t>
      </w:r>
      <w:r>
        <w:t xml:space="preserve">ii de Conturi </w:t>
      </w:r>
      <w:r w:rsidR="005A2FB3">
        <w:t>ș</w:t>
      </w:r>
      <w:r>
        <w:t xml:space="preserve">i de a asigura publicarea acesteia în </w:t>
      </w:r>
      <w:r>
        <w:rPr>
          <w:i/>
        </w:rPr>
        <w:t>Jurnalul Oficial al Uniunii Europene</w:t>
      </w:r>
      <w:r>
        <w:t xml:space="preserve"> (seria L).</w:t>
      </w:r>
    </w:p>
    <w:p w14:paraId="32549EBC" w14:textId="31340634" w:rsidR="00C1531C" w:rsidRPr="00AC7681" w:rsidRDefault="00C1531C" w:rsidP="004D13BA">
      <w:pPr>
        <w:pStyle w:val="PageHeading"/>
        <w:rPr>
          <w:noProof/>
        </w:rPr>
      </w:pPr>
      <w:r>
        <w:br w:type="page"/>
      </w:r>
      <w:bookmarkStart w:id="8" w:name="Resolution"/>
      <w:bookmarkStart w:id="9" w:name="_Toc511223134"/>
      <w:bookmarkEnd w:id="1"/>
      <w:bookmarkEnd w:id="2"/>
      <w:r>
        <w:lastRenderedPageBreak/>
        <w:t>3. PROPUNERE DE REZOLU</w:t>
      </w:r>
      <w:r w:rsidR="005A2FB3">
        <w:t>Ț</w:t>
      </w:r>
      <w:r>
        <w:t>IE A PARLAMENTULUI EUROPEAN</w:t>
      </w:r>
      <w:bookmarkEnd w:id="9"/>
    </w:p>
    <w:p w14:paraId="735A5BCC" w14:textId="6A560F4E" w:rsidR="00C1531C" w:rsidRPr="00AC7681" w:rsidRDefault="00577776">
      <w:pPr>
        <w:pStyle w:val="NormalBold"/>
        <w:rPr>
          <w:noProof/>
        </w:rPr>
      </w:pPr>
      <w:bookmarkStart w:id="10" w:name="ResolutionTitle"/>
      <w:bookmarkEnd w:id="8"/>
      <w:r>
        <w:t>con</w:t>
      </w:r>
      <w:r w:rsidR="005A2FB3">
        <w:t>ț</w:t>
      </w:r>
      <w:r>
        <w:t>inând observa</w:t>
      </w:r>
      <w:r w:rsidR="005A2FB3">
        <w:t>ț</w:t>
      </w:r>
      <w:r>
        <w:t>iile care fac parte integrantă din decizia privind descărcarea de gestiune pentru execu</w:t>
      </w:r>
      <w:r w:rsidR="005A2FB3">
        <w:t>ț</w:t>
      </w:r>
      <w:r>
        <w:t>ia bugetului Agen</w:t>
      </w:r>
      <w:r w:rsidR="005A2FB3">
        <w:t>ț</w:t>
      </w:r>
      <w:r>
        <w:t>iei GNSS european aferent exerci</w:t>
      </w:r>
      <w:r w:rsidR="005A2FB3">
        <w:t>ț</w:t>
      </w:r>
      <w:r>
        <w:t>iului financiar 2016</w:t>
      </w:r>
    </w:p>
    <w:bookmarkEnd w:id="10"/>
    <w:p w14:paraId="6C80A894" w14:textId="77777777" w:rsidR="00C1531C" w:rsidRPr="00AC7681" w:rsidRDefault="00577776">
      <w:pPr>
        <w:pStyle w:val="Normal12Bold"/>
        <w:rPr>
          <w:noProof/>
        </w:rPr>
      </w:pPr>
      <w:r>
        <w:t>(2017/2165(DEC))</w:t>
      </w:r>
    </w:p>
    <w:p w14:paraId="1ED01F31" w14:textId="77777777" w:rsidR="007E16E9" w:rsidRPr="00AC7681" w:rsidRDefault="007E16E9" w:rsidP="007E16E9">
      <w:pPr>
        <w:pStyle w:val="Normal12"/>
        <w:rPr>
          <w:noProof/>
        </w:rPr>
      </w:pPr>
      <w:r>
        <w:rPr>
          <w:i/>
        </w:rPr>
        <w:t>Parlamentul European</w:t>
      </w:r>
      <w:r>
        <w:t>,</w:t>
      </w:r>
    </w:p>
    <w:p w14:paraId="31496428" w14:textId="664170F8" w:rsidR="007E16E9" w:rsidRPr="00AC7681" w:rsidRDefault="007E16E9" w:rsidP="007E16E9">
      <w:pPr>
        <w:pStyle w:val="Normal12Hanging"/>
        <w:rPr>
          <w:noProof/>
        </w:rPr>
      </w:pPr>
      <w:r>
        <w:t>–</w:t>
      </w:r>
      <w:r>
        <w:tab/>
        <w:t>având în vedere decizia sa privind descărcarea de gestiune pentru execu</w:t>
      </w:r>
      <w:r w:rsidR="005A2FB3">
        <w:t>ț</w:t>
      </w:r>
      <w:r>
        <w:t>ia bugetului Agen</w:t>
      </w:r>
      <w:r w:rsidR="005A2FB3">
        <w:t>ț</w:t>
      </w:r>
      <w:r>
        <w:t>iei GNSS European aferent exerci</w:t>
      </w:r>
      <w:r w:rsidR="005A2FB3">
        <w:t>ț</w:t>
      </w:r>
      <w:r>
        <w:t>iului financiar 2016,</w:t>
      </w:r>
    </w:p>
    <w:p w14:paraId="679425B3" w14:textId="12DB5F2B" w:rsidR="007E16E9" w:rsidRPr="00AC7681" w:rsidRDefault="007E16E9" w:rsidP="007E16E9">
      <w:pPr>
        <w:pStyle w:val="Normal12Hanging"/>
        <w:rPr>
          <w:noProof/>
        </w:rPr>
      </w:pPr>
      <w:r>
        <w:t>–</w:t>
      </w:r>
      <w:r>
        <w:tab/>
        <w:t xml:space="preserve">având în vedere articolul 94 </w:t>
      </w:r>
      <w:r w:rsidR="005A2FB3">
        <w:t>ș</w:t>
      </w:r>
      <w:r>
        <w:t>i anexa IV la Regulamentul său de procedură,</w:t>
      </w:r>
    </w:p>
    <w:p w14:paraId="397735B2" w14:textId="22F366FB" w:rsidR="007E16E9" w:rsidRPr="00AC7681" w:rsidRDefault="007E16E9" w:rsidP="007E16E9">
      <w:pPr>
        <w:pStyle w:val="Normal12Hanging"/>
        <w:rPr>
          <w:noProof/>
        </w:rPr>
      </w:pPr>
      <w:r>
        <w:t>–</w:t>
      </w:r>
      <w:r>
        <w:tab/>
        <w:t>având în vedere raportul Comisiei pentru control bugetar (A8-0082/2018),</w:t>
      </w:r>
    </w:p>
    <w:p w14:paraId="2D53B632" w14:textId="43B44A50" w:rsidR="007E16E9" w:rsidRPr="00AC7681" w:rsidRDefault="007E16E9" w:rsidP="007E16E9">
      <w:pPr>
        <w:pStyle w:val="Normal12Hanging"/>
        <w:rPr>
          <w:noProof/>
        </w:rPr>
      </w:pPr>
      <w:r>
        <w:t>A.</w:t>
      </w:r>
      <w:r>
        <w:tab/>
        <w:t xml:space="preserve">întrucât, în contextul procedurii de descărcare de gestiune, autoritatea care acordă descărcarea de gestiune subliniază că este deosebit de important să se consolideze </w:t>
      </w:r>
      <w:r w:rsidR="005A2FB3">
        <w:t>ș</w:t>
      </w:r>
      <w:r>
        <w:t>i mai mult legitimitatea democratică a institu</w:t>
      </w:r>
      <w:r w:rsidR="005A2FB3">
        <w:t>ț</w:t>
      </w:r>
      <w:r>
        <w:t>iilor Uniunii prin îmbunătă</w:t>
      </w:r>
      <w:r w:rsidR="005A2FB3">
        <w:t>ț</w:t>
      </w:r>
      <w:r>
        <w:t>irea transparen</w:t>
      </w:r>
      <w:r w:rsidR="005A2FB3">
        <w:t>ț</w:t>
      </w:r>
      <w:r>
        <w:t xml:space="preserve">ei </w:t>
      </w:r>
      <w:r w:rsidR="005A2FB3">
        <w:t>ș</w:t>
      </w:r>
      <w:r>
        <w:t>i a răspunderii, prin punerea în aplicare a principiului întocmirii bugetului în func</w:t>
      </w:r>
      <w:r w:rsidR="005A2FB3">
        <w:t>ț</w:t>
      </w:r>
      <w:r>
        <w:t>ie de performan</w:t>
      </w:r>
      <w:r w:rsidR="005A2FB3">
        <w:t>ț</w:t>
      </w:r>
      <w:r>
        <w:t xml:space="preserve">e </w:t>
      </w:r>
      <w:r w:rsidR="005A2FB3">
        <w:t>ș</w:t>
      </w:r>
      <w:r>
        <w:t>i prin buna guvernare a resurselor umane,</w:t>
      </w:r>
    </w:p>
    <w:p w14:paraId="7F816F68" w14:textId="58F413F4" w:rsidR="007E16E9" w:rsidRPr="00AC7681" w:rsidRDefault="007E16E9" w:rsidP="007E16E9">
      <w:pPr>
        <w:pStyle w:val="Normal12Hanging"/>
        <w:rPr>
          <w:noProof/>
        </w:rPr>
      </w:pPr>
      <w:r>
        <w:t>B.</w:t>
      </w:r>
      <w:r>
        <w:tab/>
        <w:t>întrucât, potrivit situa</w:t>
      </w:r>
      <w:r w:rsidR="005A2FB3">
        <w:t>ț</w:t>
      </w:r>
      <w:r>
        <w:t xml:space="preserve">iei veniturilor </w:t>
      </w:r>
      <w:r w:rsidR="005A2FB3">
        <w:t>ș</w:t>
      </w:r>
      <w:r>
        <w:t>i cheltuielilor sale</w:t>
      </w:r>
      <w:r w:rsidRPr="00AC7681">
        <w:rPr>
          <w:rStyle w:val="FootnoteReference"/>
          <w:noProof/>
        </w:rPr>
        <w:footnoteReference w:id="11"/>
      </w:r>
      <w:r>
        <w:t>, subven</w:t>
      </w:r>
      <w:r w:rsidR="005A2FB3">
        <w:t>ț</w:t>
      </w:r>
      <w:r>
        <w:t>ia Uniunii pentru bugetul definitiv al Agen</w:t>
      </w:r>
      <w:r w:rsidR="005A2FB3">
        <w:t>ț</w:t>
      </w:r>
      <w:r>
        <w:t>iei pentru Sistemul Global European de Naviga</w:t>
      </w:r>
      <w:r w:rsidR="005A2FB3">
        <w:t>ț</w:t>
      </w:r>
      <w:r>
        <w:t>ie prin Satelit (denumită în continuare „Agen</w:t>
      </w:r>
      <w:r w:rsidR="005A2FB3">
        <w:t>ț</w:t>
      </w:r>
      <w:r>
        <w:t>ia”) aferent exerci</w:t>
      </w:r>
      <w:r w:rsidR="005A2FB3">
        <w:t>ț</w:t>
      </w:r>
      <w:r>
        <w:t>iului financiar 2016 a fost de 29 086 327 EUR, ceea ce reprezintă o cre</w:t>
      </w:r>
      <w:r w:rsidR="005A2FB3">
        <w:t>ș</w:t>
      </w:r>
      <w:r>
        <w:t>tere cu 5,36 % fa</w:t>
      </w:r>
      <w:r w:rsidR="005A2FB3">
        <w:t>ț</w:t>
      </w:r>
      <w:r>
        <w:t>ă de bugetul pe 2015;</w:t>
      </w:r>
    </w:p>
    <w:p w14:paraId="239BE16B" w14:textId="54B8B533" w:rsidR="007E16E9" w:rsidRPr="00AC7681" w:rsidRDefault="007E16E9" w:rsidP="007E16E9">
      <w:pPr>
        <w:pStyle w:val="Normal12Hanging"/>
        <w:rPr>
          <w:noProof/>
        </w:rPr>
      </w:pPr>
      <w:r>
        <w:t>C.</w:t>
      </w:r>
      <w:r>
        <w:tab/>
        <w:t>întrucât Curtea de Conturi (denumită în continuare „Curtea”) declară, în raportul său privind conturile anuale ale Agen</w:t>
      </w:r>
      <w:r w:rsidR="005A2FB3">
        <w:t>ț</w:t>
      </w:r>
      <w:r>
        <w:t>iei pentru exerci</w:t>
      </w:r>
      <w:r w:rsidR="005A2FB3">
        <w:t>ț</w:t>
      </w:r>
      <w:r>
        <w:t>iul financiar 2016 (denumit în continuare „raportul Cur</w:t>
      </w:r>
      <w:r w:rsidR="005A2FB3">
        <w:t>ț</w:t>
      </w:r>
      <w:r>
        <w:t>ii”), că a ob</w:t>
      </w:r>
      <w:r w:rsidR="005A2FB3">
        <w:t>ț</w:t>
      </w:r>
      <w:r>
        <w:t>inut asigurări rezonabile cu privire la fiabilitatea conturilor anuale ale Agen</w:t>
      </w:r>
      <w:r w:rsidR="005A2FB3">
        <w:t>ț</w:t>
      </w:r>
      <w:r>
        <w:t xml:space="preserve">iei </w:t>
      </w:r>
      <w:r w:rsidR="005A2FB3">
        <w:t>ș</w:t>
      </w:r>
      <w:r>
        <w:t xml:space="preserve">i cu privire la legalitatea </w:t>
      </w:r>
      <w:r w:rsidR="005A2FB3">
        <w:t>ș</w:t>
      </w:r>
      <w:r>
        <w:t>i regularitatea opera</w:t>
      </w:r>
      <w:r w:rsidR="005A2FB3">
        <w:t>ț</w:t>
      </w:r>
      <w:r>
        <w:t>iunilor subiacente;</w:t>
      </w:r>
    </w:p>
    <w:p w14:paraId="2E238A6F" w14:textId="6A6AC668" w:rsidR="007E16E9" w:rsidRPr="00AC7681" w:rsidRDefault="005474E0" w:rsidP="007E16E9">
      <w:pPr>
        <w:pStyle w:val="Normal12Hanging"/>
        <w:jc w:val="both"/>
        <w:rPr>
          <w:b/>
          <w:i/>
          <w:noProof/>
        </w:rPr>
      </w:pPr>
      <w:r>
        <w:rPr>
          <w:b/>
          <w:i/>
        </w:rPr>
        <w:t>Obliga</w:t>
      </w:r>
      <w:r w:rsidR="005A2FB3">
        <w:rPr>
          <w:b/>
          <w:i/>
        </w:rPr>
        <w:t>ț</w:t>
      </w:r>
      <w:r>
        <w:rPr>
          <w:b/>
          <w:i/>
        </w:rPr>
        <w:t>iile agen</w:t>
      </w:r>
      <w:r w:rsidR="005A2FB3">
        <w:rPr>
          <w:b/>
          <w:i/>
        </w:rPr>
        <w:t>ț</w:t>
      </w:r>
      <w:r>
        <w:rPr>
          <w:b/>
          <w:i/>
        </w:rPr>
        <w:t>iei</w:t>
      </w:r>
    </w:p>
    <w:p w14:paraId="24827F85" w14:textId="35DCB361" w:rsidR="007E16E9" w:rsidRPr="00AC7681" w:rsidRDefault="007E16E9" w:rsidP="007E16E9">
      <w:pPr>
        <w:pStyle w:val="Normal12Hanging"/>
        <w:rPr>
          <w:noProof/>
        </w:rPr>
      </w:pPr>
      <w:r>
        <w:t>1.</w:t>
      </w:r>
      <w:r>
        <w:tab/>
        <w:t>îi reaminte</w:t>
      </w:r>
      <w:r w:rsidR="005A2FB3">
        <w:t>ș</w:t>
      </w:r>
      <w:r>
        <w:t>te Agen</w:t>
      </w:r>
      <w:r w:rsidR="005A2FB3">
        <w:t>ț</w:t>
      </w:r>
      <w:r>
        <w:t>iei că trebuie să respecte dispozi</w:t>
      </w:r>
      <w:r w:rsidR="005A2FB3">
        <w:t>ț</w:t>
      </w:r>
      <w:r>
        <w:t xml:space="preserve">iile prevăzute la articolele 109 </w:t>
      </w:r>
      <w:r w:rsidR="005A2FB3">
        <w:t>ș</w:t>
      </w:r>
      <w:r>
        <w:t>i 110 din Regulamentul delegat (UE) nr. 1271/2013</w:t>
      </w:r>
      <w:r w:rsidR="00E83EFF" w:rsidRPr="00AC7681">
        <w:rPr>
          <w:rStyle w:val="FootnoteReference"/>
          <w:noProof/>
        </w:rPr>
        <w:footnoteReference w:id="12"/>
      </w:r>
      <w:r>
        <w:t xml:space="preserve"> al Comisiei </w:t>
      </w:r>
      <w:r w:rsidR="005A2FB3">
        <w:t>ș</w:t>
      </w:r>
      <w:r>
        <w:t>i că trebuie să î</w:t>
      </w:r>
      <w:r w:rsidR="005A2FB3">
        <w:t>ș</w:t>
      </w:r>
      <w:r>
        <w:t>i îndeplinească obliga</w:t>
      </w:r>
      <w:r w:rsidR="005A2FB3">
        <w:t>ț</w:t>
      </w:r>
      <w:r>
        <w:t>iile în cursul procedurii de descărcare de gestiune, în special să răspundă la chestionarul trimis de către deputa</w:t>
      </w:r>
      <w:r w:rsidR="005A2FB3">
        <w:t>ț</w:t>
      </w:r>
      <w:r>
        <w:t xml:space="preserve">ii în Parlamentul European </w:t>
      </w:r>
      <w:r w:rsidR="005A2FB3">
        <w:t>ș</w:t>
      </w:r>
      <w:r>
        <w:t>i la întrebările adresate în cursul procedurii de descărcare de gestiune 2015, a</w:t>
      </w:r>
      <w:r w:rsidR="005A2FB3">
        <w:t>ș</w:t>
      </w:r>
      <w:r>
        <w:t>a-numitul exerci</w:t>
      </w:r>
      <w:r w:rsidR="005A2FB3">
        <w:t>ț</w:t>
      </w:r>
      <w:r>
        <w:t>iu de monitorizare a măsurilor subsecvente; consideră că, în 2016, Agen</w:t>
      </w:r>
      <w:r w:rsidR="005A2FB3">
        <w:t>ț</w:t>
      </w:r>
      <w:r>
        <w:t xml:space="preserve">ia nu </w:t>
      </w:r>
      <w:r w:rsidR="005A2FB3">
        <w:t>ș</w:t>
      </w:r>
      <w:r>
        <w:t>i-a îndeplinit obliga</w:t>
      </w:r>
      <w:r w:rsidR="005A2FB3">
        <w:t>ț</w:t>
      </w:r>
      <w:r>
        <w:t xml:space="preserve">iile, pentru că a trimis răspunsurile prea târziu, încălcând astfel normele </w:t>
      </w:r>
      <w:r w:rsidR="005A2FB3">
        <w:t>ș</w:t>
      </w:r>
      <w:r>
        <w:t>i obliga</w:t>
      </w:r>
      <w:r w:rsidR="005A2FB3">
        <w:t>ț</w:t>
      </w:r>
      <w:r>
        <w:t>iile care îi revin; este de părere că acesta ar putea fi considerat un motiv procedural pentru a amâna procedura de descărcare de gestiune; consideră că această întârziere nu trebuie să se mai repete;</w:t>
      </w:r>
    </w:p>
    <w:p w14:paraId="3D62D7D3" w14:textId="6C988916" w:rsidR="007E16E9" w:rsidRPr="00AC7681" w:rsidRDefault="007E16E9" w:rsidP="007E16E9">
      <w:pPr>
        <w:pStyle w:val="Normal12Hanging"/>
        <w:jc w:val="both"/>
        <w:rPr>
          <w:b/>
          <w:i/>
          <w:noProof/>
        </w:rPr>
      </w:pPr>
      <w:r>
        <w:rPr>
          <w:b/>
          <w:i/>
        </w:rPr>
        <w:lastRenderedPageBreak/>
        <w:t xml:space="preserve">Măsuri luate în urma descărcării de gestiune din 2014 </w:t>
      </w:r>
      <w:r w:rsidR="005A2FB3">
        <w:rPr>
          <w:b/>
          <w:i/>
        </w:rPr>
        <w:t>ș</w:t>
      </w:r>
      <w:r>
        <w:rPr>
          <w:b/>
          <w:i/>
        </w:rPr>
        <w:t>i 2015</w:t>
      </w:r>
    </w:p>
    <w:p w14:paraId="13FE9092" w14:textId="68A5ADEF" w:rsidR="007E16E9" w:rsidRPr="00AC7681" w:rsidRDefault="007E16E9" w:rsidP="007E16E9">
      <w:pPr>
        <w:pStyle w:val="Normal12Hanging"/>
        <w:rPr>
          <w:noProof/>
        </w:rPr>
      </w:pPr>
      <w:r>
        <w:t>2.</w:t>
      </w:r>
      <w:r>
        <w:tab/>
        <w:t>observă cu îngrijorare numărul de măsuri corective în curs de derulare ca răspuns la observa</w:t>
      </w:r>
      <w:r w:rsidR="005A2FB3">
        <w:t>ț</w:t>
      </w:r>
      <w:r>
        <w:t>iile Cur</w:t>
      </w:r>
      <w:r w:rsidR="005A2FB3">
        <w:t>ț</w:t>
      </w:r>
      <w:r>
        <w:t xml:space="preserve">ii din 2014 </w:t>
      </w:r>
      <w:r w:rsidR="005A2FB3">
        <w:t>ș</w:t>
      </w:r>
      <w:r>
        <w:t>i 2015 privind contractele de asigurare, validarea sistemului contabil, planul de asigurare a continuită</w:t>
      </w:r>
      <w:r w:rsidR="005A2FB3">
        <w:t>ț</w:t>
      </w:r>
      <w:r>
        <w:t>ii activită</w:t>
      </w:r>
      <w:r w:rsidR="005A2FB3">
        <w:t>ț</w:t>
      </w:r>
      <w:r>
        <w:t xml:space="preserve">ii </w:t>
      </w:r>
      <w:r w:rsidR="005A2FB3">
        <w:t>ș</w:t>
      </w:r>
      <w:r>
        <w:t>i rata ridicată de rota</w:t>
      </w:r>
      <w:r w:rsidR="005A2FB3">
        <w:t>ț</w:t>
      </w:r>
      <w:r>
        <w:t>ie a personalului; invită Agen</w:t>
      </w:r>
      <w:r w:rsidR="005A2FB3">
        <w:t>ț</w:t>
      </w:r>
      <w:r>
        <w:t>ia să finalizeze cât mai multe ac</w:t>
      </w:r>
      <w:r w:rsidR="005A2FB3">
        <w:t>ț</w:t>
      </w:r>
      <w:r>
        <w:t>iuni corective în 2018;</w:t>
      </w:r>
    </w:p>
    <w:p w14:paraId="27FCFF7E" w14:textId="585995C2" w:rsidR="007E16E9" w:rsidRPr="00AC7681" w:rsidRDefault="007E16E9" w:rsidP="007E16E9">
      <w:pPr>
        <w:pStyle w:val="Normal12Hanging"/>
        <w:jc w:val="both"/>
        <w:rPr>
          <w:b/>
          <w:i/>
          <w:noProof/>
        </w:rPr>
      </w:pPr>
      <w:r>
        <w:rPr>
          <w:b/>
          <w:i/>
        </w:rPr>
        <w:t xml:space="preserve">Gestiunea bugetară </w:t>
      </w:r>
      <w:r w:rsidR="005A2FB3">
        <w:rPr>
          <w:b/>
          <w:i/>
        </w:rPr>
        <w:t>ș</w:t>
      </w:r>
      <w:r>
        <w:rPr>
          <w:b/>
          <w:i/>
        </w:rPr>
        <w:t xml:space="preserve">i financiară </w:t>
      </w:r>
    </w:p>
    <w:p w14:paraId="2FE23F12" w14:textId="2FFFC84F" w:rsidR="007E16E9" w:rsidRPr="00AC7681" w:rsidRDefault="007E16E9" w:rsidP="007E16E9">
      <w:pPr>
        <w:pStyle w:val="Normal12Hanging"/>
        <w:rPr>
          <w:noProof/>
        </w:rPr>
      </w:pPr>
      <w:r>
        <w:t>3.</w:t>
      </w:r>
      <w:r>
        <w:tab/>
        <w:t>constată că eforturile de monitorizare a bugetului în cursul exerci</w:t>
      </w:r>
      <w:r w:rsidR="005A2FB3">
        <w:t>ț</w:t>
      </w:r>
      <w:r>
        <w:t>iului financiar 2016 au condus la o rată de execu</w:t>
      </w:r>
      <w:r w:rsidR="005A2FB3">
        <w:t>ț</w:t>
      </w:r>
      <w:r>
        <w:t>ie bugetară de 100 %; constată, de asemenea, că rata de execu</w:t>
      </w:r>
      <w:r w:rsidR="005A2FB3">
        <w:t>ț</w:t>
      </w:r>
      <w:r>
        <w:t>ie a creditelor de plată a fost de 82,42 %;</w:t>
      </w:r>
    </w:p>
    <w:p w14:paraId="159A5528" w14:textId="2090CD01" w:rsidR="007E16E9" w:rsidRPr="00AC7681" w:rsidRDefault="007E16E9" w:rsidP="007E16E9">
      <w:pPr>
        <w:pStyle w:val="Normal12Hanging"/>
        <w:rPr>
          <w:noProof/>
        </w:rPr>
      </w:pPr>
      <w:r>
        <w:t>4.</w:t>
      </w:r>
      <w:r>
        <w:tab/>
        <w:t>ia act de faptul că, în 2016, Agen</w:t>
      </w:r>
      <w:r w:rsidR="005A2FB3">
        <w:t>ț</w:t>
      </w:r>
      <w:r>
        <w:t xml:space="preserve">ia a gestionat în continuare un buget delegat ridicat, în urma semnării în 2016 a două noi acorduri de delegare (exploatarea sistemelor Galileo </w:t>
      </w:r>
      <w:r w:rsidR="005A2FB3">
        <w:t>ș</w:t>
      </w:r>
      <w:r>
        <w:t xml:space="preserve">i EGNOS); ia act de faptul că în 2016 a fost angajat un buget delegat total în valoare de 1 074 000 000 EUR </w:t>
      </w:r>
      <w:r w:rsidR="005A2FB3">
        <w:t>ș</w:t>
      </w:r>
      <w:r>
        <w:t>i au fost efectuate plă</w:t>
      </w:r>
      <w:r w:rsidR="005A2FB3">
        <w:t>ț</w:t>
      </w:r>
      <w:r>
        <w:t>i în valoare de 111 600 000 EUR;</w:t>
      </w:r>
    </w:p>
    <w:p w14:paraId="5CC19B2C" w14:textId="7B527D4C" w:rsidR="007E16E9" w:rsidRPr="00AC7681" w:rsidRDefault="007E16E9" w:rsidP="007E16E9">
      <w:pPr>
        <w:pStyle w:val="Normal12Hanging"/>
        <w:jc w:val="both"/>
        <w:rPr>
          <w:b/>
          <w:i/>
          <w:noProof/>
        </w:rPr>
      </w:pPr>
      <w:r>
        <w:rPr>
          <w:b/>
          <w:i/>
        </w:rPr>
        <w:t xml:space="preserve">Credite de angajament </w:t>
      </w:r>
      <w:r w:rsidR="005A2FB3">
        <w:rPr>
          <w:b/>
          <w:i/>
        </w:rPr>
        <w:t>ș</w:t>
      </w:r>
      <w:r>
        <w:rPr>
          <w:b/>
          <w:i/>
        </w:rPr>
        <w:t>i reportări</w:t>
      </w:r>
    </w:p>
    <w:p w14:paraId="0A6AD74E" w14:textId="6FB3AF54" w:rsidR="007E16E9" w:rsidRPr="00AC7681" w:rsidRDefault="007E16E9" w:rsidP="00E83EFF">
      <w:pPr>
        <w:pStyle w:val="Normal12Hanging"/>
        <w:rPr>
          <w:noProof/>
        </w:rPr>
      </w:pPr>
      <w:r>
        <w:t>5.</w:t>
      </w:r>
      <w:r>
        <w:tab/>
        <w:t>observă că, potrivit raportului Cur</w:t>
      </w:r>
      <w:r w:rsidR="005A2FB3">
        <w:t>ț</w:t>
      </w:r>
      <w:r>
        <w:t>ii, în 2016 nivelul creditelor de angajament reportate de la titlul II (cheltuieli administrative) a fost ridicat, de 2 806 212 EUR (45 %), fa</w:t>
      </w:r>
      <w:r w:rsidR="005A2FB3">
        <w:t>ț</w:t>
      </w:r>
      <w:r>
        <w:t>ă de 2 511 309 (42 %) în 2015; este con</w:t>
      </w:r>
      <w:r w:rsidR="005A2FB3">
        <w:t>ș</w:t>
      </w:r>
      <w:r>
        <w:t>tient că aceste reportări sunt legate în principal de servicii informatice furnizate în 2016 pentru care nu s-au primit încă facturi;</w:t>
      </w:r>
    </w:p>
    <w:p w14:paraId="3FD28987" w14:textId="1EBBDE08" w:rsidR="007E16E9" w:rsidRPr="00AC7681" w:rsidRDefault="007E16E9" w:rsidP="007E16E9">
      <w:pPr>
        <w:pStyle w:val="Normal12Hanging"/>
        <w:rPr>
          <w:noProof/>
        </w:rPr>
      </w:pPr>
      <w:r>
        <w:t>6.</w:t>
      </w:r>
      <w:r>
        <w:tab/>
        <w:t>recunoa</w:t>
      </w:r>
      <w:r w:rsidR="005A2FB3">
        <w:t>ș</w:t>
      </w:r>
      <w:r>
        <w:t>te că nivelul reportărilor anulate ale Agen</w:t>
      </w:r>
      <w:r w:rsidR="005A2FB3">
        <w:t>ț</w:t>
      </w:r>
      <w:r>
        <w:t>iei este foarte scăzut (0,7 % în ansamblul bugetului 2016); ia notă de faptul că Agen</w:t>
      </w:r>
      <w:r w:rsidR="005A2FB3">
        <w:t>ț</w:t>
      </w:r>
      <w:r>
        <w:t>ia consideră acest lucru ca fiind un indiciu mai bun al calită</w:t>
      </w:r>
      <w:r w:rsidR="005A2FB3">
        <w:t>ț</w:t>
      </w:r>
      <w:r>
        <w:t>ii gestiunii bugetare decât nivelul propriu-zis al reportărilor;</w:t>
      </w:r>
    </w:p>
    <w:p w14:paraId="0AF2D0BF" w14:textId="10894E93" w:rsidR="007E16E9" w:rsidRPr="00AC7681" w:rsidRDefault="007E16E9" w:rsidP="007E16E9">
      <w:pPr>
        <w:pStyle w:val="Normal12Hanging"/>
        <w:rPr>
          <w:noProof/>
        </w:rPr>
      </w:pPr>
      <w:r>
        <w:t>7.</w:t>
      </w:r>
      <w:r>
        <w:tab/>
        <w:t>observă că reportările pot fi adesea justificate par</w:t>
      </w:r>
      <w:r w:rsidR="005A2FB3">
        <w:t>ț</w:t>
      </w:r>
      <w:r>
        <w:t>ial sau în totalitate de natura multianuală a programelor opera</w:t>
      </w:r>
      <w:r w:rsidR="005A2FB3">
        <w:t>ț</w:t>
      </w:r>
      <w:r>
        <w:t>ionale ale agen</w:t>
      </w:r>
      <w:r w:rsidR="005A2FB3">
        <w:t>ț</w:t>
      </w:r>
      <w:r>
        <w:t>iilor, că acestea nu indică neapărat deficien</w:t>
      </w:r>
      <w:r w:rsidR="005A2FB3">
        <w:t>ț</w:t>
      </w:r>
      <w:r>
        <w:t xml:space="preserve">e în planificarea </w:t>
      </w:r>
      <w:r w:rsidR="005A2FB3">
        <w:t>ș</w:t>
      </w:r>
      <w:r>
        <w:t>i execu</w:t>
      </w:r>
      <w:r w:rsidR="005A2FB3">
        <w:t>ț</w:t>
      </w:r>
      <w:r>
        <w:t xml:space="preserve">ia bugetului </w:t>
      </w:r>
      <w:r w:rsidR="005A2FB3">
        <w:t>ș</w:t>
      </w:r>
      <w:r>
        <w:t>i nu contravin întotdeauna principiului bugetar al anualită</w:t>
      </w:r>
      <w:r w:rsidR="005A2FB3">
        <w:t>ț</w:t>
      </w:r>
      <w:r>
        <w:t xml:space="preserve">ii, mai ales dacă sunt prevăzute din timp </w:t>
      </w:r>
      <w:r w:rsidR="005A2FB3">
        <w:t>ș</w:t>
      </w:r>
      <w:r>
        <w:t>i comunicate Cur</w:t>
      </w:r>
      <w:r w:rsidR="005A2FB3">
        <w:t>ț</w:t>
      </w:r>
      <w:r>
        <w:t>ii;</w:t>
      </w:r>
    </w:p>
    <w:p w14:paraId="203ED48E" w14:textId="77777777" w:rsidR="007E16E9" w:rsidRPr="00AC7681" w:rsidRDefault="007E16E9" w:rsidP="007E16E9">
      <w:pPr>
        <w:pStyle w:val="Normal12Hanging"/>
        <w:jc w:val="both"/>
        <w:rPr>
          <w:b/>
          <w:i/>
          <w:noProof/>
        </w:rPr>
      </w:pPr>
      <w:r>
        <w:rPr>
          <w:b/>
          <w:i/>
        </w:rPr>
        <w:t>Transferuri</w:t>
      </w:r>
    </w:p>
    <w:p w14:paraId="256D02A9" w14:textId="2C16EA8A" w:rsidR="007E16E9" w:rsidRPr="00AC7681" w:rsidRDefault="007E16E9" w:rsidP="00B234E5">
      <w:pPr>
        <w:pStyle w:val="Normal12Hanging"/>
        <w:rPr>
          <w:noProof/>
        </w:rPr>
      </w:pPr>
      <w:r>
        <w:t>8.</w:t>
      </w:r>
      <w:r>
        <w:tab/>
        <w:t xml:space="preserve">observă că, în 2016, au fost prelucrate </w:t>
      </w:r>
      <w:r w:rsidR="005A2FB3">
        <w:t>ș</w:t>
      </w:r>
      <w:r>
        <w:t>ase transferuri interne, toate acestea autorizate de către directorul executiv, întrucât privesc fie transferuri de sume în cadrul acelora</w:t>
      </w:r>
      <w:r w:rsidR="005A2FB3">
        <w:t>ș</w:t>
      </w:r>
      <w:r>
        <w:t>i titluri, fie transferuri între titluri în propor</w:t>
      </w:r>
      <w:r w:rsidR="005A2FB3">
        <w:t>ț</w:t>
      </w:r>
      <w:r>
        <w:t>ie mai mică de 10 %;</w:t>
      </w:r>
    </w:p>
    <w:p w14:paraId="620BD446" w14:textId="77777777" w:rsidR="007E16E9" w:rsidRPr="00AC7681" w:rsidRDefault="007E16E9" w:rsidP="007E16E9">
      <w:pPr>
        <w:pStyle w:val="Normal12Hanging"/>
        <w:ind w:left="360" w:hanging="360"/>
        <w:jc w:val="both"/>
        <w:rPr>
          <w:b/>
          <w:i/>
          <w:noProof/>
          <w:szCs w:val="24"/>
        </w:rPr>
      </w:pPr>
      <w:r>
        <w:rPr>
          <w:b/>
          <w:i/>
          <w:szCs w:val="24"/>
        </w:rPr>
        <w:t>Politica de personal</w:t>
      </w:r>
    </w:p>
    <w:p w14:paraId="7ADB7B2F" w14:textId="18A20A6E" w:rsidR="007E16E9" w:rsidRPr="00AC7681" w:rsidRDefault="007E16E9" w:rsidP="007E16E9">
      <w:pPr>
        <w:pStyle w:val="Normal12Hanging"/>
        <w:rPr>
          <w:noProof/>
        </w:rPr>
      </w:pPr>
      <w:r>
        <w:t>9.</w:t>
      </w:r>
      <w:r>
        <w:tab/>
        <w:t>ia act de faptul că, la începutul anului 2016, în Agen</w:t>
      </w:r>
      <w:r w:rsidR="005A2FB3">
        <w:t>ț</w:t>
      </w:r>
      <w:r>
        <w:t>ie lucrau 99 de agen</w:t>
      </w:r>
      <w:r w:rsidR="005A2FB3">
        <w:t>ț</w:t>
      </w:r>
      <w:r>
        <w:t>i temporari, 36 de agen</w:t>
      </w:r>
      <w:r w:rsidR="005A2FB3">
        <w:t>ț</w:t>
      </w:r>
      <w:r>
        <w:t xml:space="preserve">i contractuali </w:t>
      </w:r>
      <w:r w:rsidR="005A2FB3">
        <w:t>ș</w:t>
      </w:r>
      <w:r>
        <w:t>i 4 exper</w:t>
      </w:r>
      <w:r w:rsidR="005A2FB3">
        <w:t>ț</w:t>
      </w:r>
      <w:r>
        <w:t>i na</w:t>
      </w:r>
      <w:r w:rsidR="005A2FB3">
        <w:t>ț</w:t>
      </w:r>
      <w:r>
        <w:t>ionali deta</w:t>
      </w:r>
      <w:r w:rsidR="005A2FB3">
        <w:t>ș</w:t>
      </w:r>
      <w:r>
        <w:t>a</w:t>
      </w:r>
      <w:r w:rsidR="005A2FB3">
        <w:t>ț</w:t>
      </w:r>
      <w:r>
        <w:t>i, dintr-un total de 139 de angaja</w:t>
      </w:r>
      <w:r w:rsidR="005A2FB3">
        <w:t>ț</w:t>
      </w:r>
      <w:r>
        <w:t>i; constată că, la sfâr</w:t>
      </w:r>
      <w:r w:rsidR="005A2FB3">
        <w:t>ș</w:t>
      </w:r>
      <w:r>
        <w:t>itul lui 2016, Agen</w:t>
      </w:r>
      <w:r w:rsidR="005A2FB3">
        <w:t>ț</w:t>
      </w:r>
      <w:r>
        <w:t>ia număra 113 de agen</w:t>
      </w:r>
      <w:r w:rsidR="005A2FB3">
        <w:t>ț</w:t>
      </w:r>
      <w:r>
        <w:t>i temporari (dintre cele 113 de posturi autorizate în temeiul bugetului Uniunii), 43 agen</w:t>
      </w:r>
      <w:r w:rsidR="005A2FB3">
        <w:t>ț</w:t>
      </w:r>
      <w:r>
        <w:t xml:space="preserve">i contractuali </w:t>
      </w:r>
      <w:r w:rsidR="005A2FB3">
        <w:t>ș</w:t>
      </w:r>
      <w:r>
        <w:t>i 4 exper</w:t>
      </w:r>
      <w:r w:rsidR="005A2FB3">
        <w:t>ț</w:t>
      </w:r>
      <w:r>
        <w:t>i na</w:t>
      </w:r>
      <w:r w:rsidR="005A2FB3">
        <w:t>ț</w:t>
      </w:r>
      <w:r>
        <w:t>ionali deta</w:t>
      </w:r>
      <w:r w:rsidR="005A2FB3">
        <w:t>ș</w:t>
      </w:r>
      <w:r>
        <w:t>a</w:t>
      </w:r>
      <w:r w:rsidR="005A2FB3">
        <w:t>ț</w:t>
      </w:r>
      <w:r>
        <w:t>i, ridicând numărul total de angaja</w:t>
      </w:r>
      <w:r w:rsidR="005A2FB3">
        <w:t>ț</w:t>
      </w:r>
      <w:r>
        <w:t>i la 160;</w:t>
      </w:r>
    </w:p>
    <w:p w14:paraId="00129340" w14:textId="1E26AC5E" w:rsidR="00062400" w:rsidRPr="00AC7681" w:rsidRDefault="00062400" w:rsidP="00062400">
      <w:pPr>
        <w:pStyle w:val="Normal12Hanging"/>
        <w:rPr>
          <w:noProof/>
        </w:rPr>
      </w:pPr>
      <w:r>
        <w:t>10.</w:t>
      </w:r>
      <w:r>
        <w:tab/>
        <w:t>ia act cu preocupare de faptul că, potrivit numărului de posturi ocupate la 31 decembrie 2016, în 2016 rata echilibrului de gen a fost de 36 % femei fa</w:t>
      </w:r>
      <w:r w:rsidR="005A2FB3">
        <w:t>ț</w:t>
      </w:r>
      <w:r>
        <w:t>ă de 64 % bărba</w:t>
      </w:r>
      <w:r w:rsidR="005A2FB3">
        <w:t>ț</w:t>
      </w:r>
      <w:r>
        <w:t>i;</w:t>
      </w:r>
    </w:p>
    <w:p w14:paraId="31185C79" w14:textId="68B51228" w:rsidR="007E16E9" w:rsidRPr="00AC7681" w:rsidRDefault="007E16E9" w:rsidP="007E16E9">
      <w:pPr>
        <w:pStyle w:val="Normal12Hanging"/>
        <w:rPr>
          <w:noProof/>
        </w:rPr>
      </w:pPr>
      <w:r>
        <w:lastRenderedPageBreak/>
        <w:t>11.</w:t>
      </w:r>
      <w:r>
        <w:tab/>
        <w:t>apreciază faptul că Agen</w:t>
      </w:r>
      <w:r w:rsidR="005A2FB3">
        <w:t>ț</w:t>
      </w:r>
      <w:r>
        <w:t>ia a introdus numeroase măsuri pentru a-</w:t>
      </w:r>
      <w:r w:rsidR="005A2FB3">
        <w:t>ș</w:t>
      </w:r>
      <w:r>
        <w:t xml:space="preserve">i mări atractivitatea, atât pe plan extern, cât </w:t>
      </w:r>
      <w:r w:rsidR="005A2FB3">
        <w:t>ș</w:t>
      </w:r>
      <w:r>
        <w:t>i pe plan intern, de exemplu, insistând asupra importan</w:t>
      </w:r>
      <w:r w:rsidR="005A2FB3">
        <w:t>ț</w:t>
      </w:r>
      <w:r>
        <w:t xml:space="preserve">ei misiunii sale, prin difuzarea în cercuri mai largi a posturilor vacante </w:t>
      </w:r>
      <w:r w:rsidR="005A2FB3">
        <w:t>ș</w:t>
      </w:r>
      <w:r>
        <w:t xml:space="preserve">i simplificarea candidaturii, clarificarea beneficiilor pentru personal </w:t>
      </w:r>
      <w:r w:rsidR="005A2FB3">
        <w:t>ș</w:t>
      </w:r>
      <w:r>
        <w:t>i întărirea climatului de colaborare interdepartamentală pentru a trata problema ratei ridicate de rota</w:t>
      </w:r>
      <w:r w:rsidR="005A2FB3">
        <w:t>ț</w:t>
      </w:r>
      <w:r>
        <w:t>ie a personalului; invită Agen</w:t>
      </w:r>
      <w:r w:rsidR="005A2FB3">
        <w:t>ț</w:t>
      </w:r>
      <w:r>
        <w:t>ia să informeze autoritatea care acordă descărcarea de gestiune despre impactul acestor măsuri;</w:t>
      </w:r>
    </w:p>
    <w:p w14:paraId="0016614B" w14:textId="01B3791C" w:rsidR="00062400" w:rsidRPr="00AC7681" w:rsidRDefault="00062400" w:rsidP="00062400">
      <w:pPr>
        <w:pStyle w:val="Normal12Hanging"/>
        <w:rPr>
          <w:noProof/>
        </w:rPr>
      </w:pPr>
      <w:r>
        <w:t>12.</w:t>
      </w:r>
      <w:r>
        <w:tab/>
        <w:t>subliniază că echilibrul dintre via</w:t>
      </w:r>
      <w:r w:rsidR="005A2FB3">
        <w:t>ț</w:t>
      </w:r>
      <w:r>
        <w:t xml:space="preserve">a profesională </w:t>
      </w:r>
      <w:r w:rsidR="005A2FB3">
        <w:t>ș</w:t>
      </w:r>
      <w:r>
        <w:t>i cea privată ar trebui să facă parte din politica de personal a Agen</w:t>
      </w:r>
      <w:r w:rsidR="005A2FB3">
        <w:t>ț</w:t>
      </w:r>
      <w:r>
        <w:t>iei; constată că bugetul cheltuit pentru activită</w:t>
      </w:r>
      <w:r w:rsidR="005A2FB3">
        <w:t>ț</w:t>
      </w:r>
      <w:r>
        <w:t>i de recreare se ridică la aproximativ 84,70 EUR pe angajat, adică echivalentul a 1,1 zile; constată că numărul mediu de zile de concediu medical per membru al personalului a fost de 7,1;</w:t>
      </w:r>
    </w:p>
    <w:p w14:paraId="39E8F839" w14:textId="4217D6F1" w:rsidR="007E16E9" w:rsidRPr="00AC7681" w:rsidRDefault="007E16E9" w:rsidP="007E16E9">
      <w:pPr>
        <w:pStyle w:val="Normal12Hanging"/>
        <w:rPr>
          <w:noProof/>
          <w:szCs w:val="24"/>
        </w:rPr>
      </w:pPr>
      <w:r>
        <w:t>13.</w:t>
      </w:r>
      <w:r>
        <w:tab/>
        <w:t>salută faptul că, în 2017, Agen</w:t>
      </w:r>
      <w:r w:rsidR="005A2FB3">
        <w:t>ț</w:t>
      </w:r>
      <w:r>
        <w:t>ia a adoptat o politică nouă de protec</w:t>
      </w:r>
      <w:r w:rsidR="005A2FB3">
        <w:t>ț</w:t>
      </w:r>
      <w:r>
        <w:t>ie a demnită</w:t>
      </w:r>
      <w:r w:rsidR="005A2FB3">
        <w:t>ț</w:t>
      </w:r>
      <w:r>
        <w:t xml:space="preserve">ii persoanei </w:t>
      </w:r>
      <w:r w:rsidR="005A2FB3">
        <w:t>ș</w:t>
      </w:r>
      <w:r>
        <w:t>i de prevenire a hăr</w:t>
      </w:r>
      <w:r w:rsidR="005A2FB3">
        <w:t>ț</w:t>
      </w:r>
      <w:r>
        <w:t xml:space="preserve">uirii; sprijină formările organizate pentru a sensibiliza personalul în acest sens </w:t>
      </w:r>
      <w:r w:rsidR="005A2FB3">
        <w:t>ș</w:t>
      </w:r>
      <w:r>
        <w:t xml:space="preserve">i sugerează organizarea periodică de sesiuni de formare </w:t>
      </w:r>
      <w:r w:rsidR="005A2FB3">
        <w:t>ș</w:t>
      </w:r>
      <w:r>
        <w:t>i informare pe această temă;</w:t>
      </w:r>
    </w:p>
    <w:p w14:paraId="39877607" w14:textId="22965175" w:rsidR="007E16E9" w:rsidRPr="00AC7681" w:rsidRDefault="007E16E9" w:rsidP="007E16E9">
      <w:pPr>
        <w:pStyle w:val="Normal12Hanging"/>
        <w:rPr>
          <w:b/>
          <w:i/>
          <w:noProof/>
          <w:szCs w:val="24"/>
        </w:rPr>
      </w:pPr>
      <w:r>
        <w:t>14.</w:t>
      </w:r>
      <w:r>
        <w:tab/>
        <w:t>constată cu satisfac</w:t>
      </w:r>
      <w:r w:rsidR="005A2FB3">
        <w:t>ț</w:t>
      </w:r>
      <w:r>
        <w:t>ie că Agen</w:t>
      </w:r>
      <w:r w:rsidR="005A2FB3">
        <w:t>ț</w:t>
      </w:r>
      <w:r>
        <w:t>ia nu a primit nicio reclama</w:t>
      </w:r>
      <w:r w:rsidR="005A2FB3">
        <w:t>ț</w:t>
      </w:r>
      <w:r>
        <w:t xml:space="preserve">ie </w:t>
      </w:r>
      <w:r w:rsidR="005A2FB3">
        <w:t>ș</w:t>
      </w:r>
      <w:r>
        <w:t>i că nu i-au fost intentate ac</w:t>
      </w:r>
      <w:r w:rsidR="005A2FB3">
        <w:t>ț</w:t>
      </w:r>
      <w:r>
        <w:t>iuni în justi</w:t>
      </w:r>
      <w:r w:rsidR="005A2FB3">
        <w:t>ț</w:t>
      </w:r>
      <w:r>
        <w:t>ie sau cazuri legate de angajarea sau concedierea de personal în 2016;</w:t>
      </w:r>
      <w:r>
        <w:rPr>
          <w:b/>
          <w:i/>
          <w:szCs w:val="24"/>
        </w:rPr>
        <w:t xml:space="preserve"> </w:t>
      </w:r>
    </w:p>
    <w:p w14:paraId="1CC7C3C9" w14:textId="05409A26" w:rsidR="007E16E9" w:rsidRPr="00AC7681" w:rsidRDefault="007E16E9" w:rsidP="007E16E9">
      <w:pPr>
        <w:pStyle w:val="Normal12Hanging"/>
        <w:rPr>
          <w:noProof/>
        </w:rPr>
      </w:pPr>
      <w:r>
        <w:rPr>
          <w:b/>
          <w:i/>
          <w:szCs w:val="24"/>
        </w:rPr>
        <w:t>Achizi</w:t>
      </w:r>
      <w:r w:rsidR="005A2FB3">
        <w:rPr>
          <w:b/>
          <w:i/>
          <w:szCs w:val="24"/>
        </w:rPr>
        <w:t>ț</w:t>
      </w:r>
      <w:r>
        <w:rPr>
          <w:b/>
          <w:i/>
          <w:szCs w:val="24"/>
        </w:rPr>
        <w:t>iile</w:t>
      </w:r>
    </w:p>
    <w:p w14:paraId="36AEB64F" w14:textId="18199EF4" w:rsidR="007E16E9" w:rsidRPr="00AC7681" w:rsidRDefault="007E16E9" w:rsidP="007E16E9">
      <w:pPr>
        <w:pStyle w:val="Normal12Hanging"/>
        <w:rPr>
          <w:noProof/>
        </w:rPr>
      </w:pPr>
      <w:r>
        <w:t>15.</w:t>
      </w:r>
      <w:r>
        <w:tab/>
        <w:t>ia act de faptul că, în medie, termenele de plată ale Agen</w:t>
      </w:r>
      <w:r w:rsidR="005A2FB3">
        <w:t>ț</w:t>
      </w:r>
      <w:r>
        <w:t>iei au fost de 14 zile, sub termenul de referin</w:t>
      </w:r>
      <w:r w:rsidR="005A2FB3">
        <w:t>ț</w:t>
      </w:r>
      <w:r>
        <w:t xml:space="preserve">ă de 30 de zile al Comisiei </w:t>
      </w:r>
      <w:r w:rsidR="005A2FB3">
        <w:t>ș</w:t>
      </w:r>
      <w:r>
        <w:t>i sub obiectivul de 20 de zile al acesteia; ia act de faptul că Agen</w:t>
      </w:r>
      <w:r w:rsidR="005A2FB3">
        <w:t>ț</w:t>
      </w:r>
      <w:r>
        <w:t>ia a efectuat în total 4 740 de opera</w:t>
      </w:r>
      <w:r w:rsidR="005A2FB3">
        <w:t>ț</w:t>
      </w:r>
      <w:r>
        <w:t>iuni financiare, ceea ce reprezintă o cre</w:t>
      </w:r>
      <w:r w:rsidR="005A2FB3">
        <w:t>ș</w:t>
      </w:r>
      <w:r>
        <w:t>tere de 11 % fa</w:t>
      </w:r>
      <w:r w:rsidR="005A2FB3">
        <w:t>ț</w:t>
      </w:r>
      <w:r>
        <w:t>ă de 2015;</w:t>
      </w:r>
    </w:p>
    <w:p w14:paraId="6794C8B1" w14:textId="300108C9" w:rsidR="007E16E9" w:rsidRPr="00AC7681" w:rsidRDefault="007E16E9" w:rsidP="007E16E9">
      <w:pPr>
        <w:pStyle w:val="Normal12Hanging"/>
        <w:rPr>
          <w:noProof/>
        </w:rPr>
      </w:pPr>
      <w:r>
        <w:t>16.</w:t>
      </w:r>
      <w:r>
        <w:tab/>
        <w:t>ia act de faptul că, potrivit raportului Cur</w:t>
      </w:r>
      <w:r w:rsidR="005A2FB3">
        <w:t>ț</w:t>
      </w:r>
      <w:r>
        <w:t>ii, Agen</w:t>
      </w:r>
      <w:r w:rsidR="005A2FB3">
        <w:t>ț</w:t>
      </w:r>
      <w:r>
        <w:t>ia a semnat, la 15 decembrie 2016, un contract cadru privind exploatarea sistemului Galileo de radionaviga</w:t>
      </w:r>
      <w:r w:rsidR="005A2FB3">
        <w:t>ț</w:t>
      </w:r>
      <w:r>
        <w:t>ie prin satelit în perioada 2017-2027, care se ridică la 1 500 000 000 EUR; mai notează că contractul a fost atribuit în urma unei proceduri de achizi</w:t>
      </w:r>
      <w:r w:rsidR="005A2FB3">
        <w:t>ț</w:t>
      </w:r>
      <w:r>
        <w:t>ii publice; semnalează că unul dintre ofertan</w:t>
      </w:r>
      <w:r w:rsidR="005A2FB3">
        <w:t>ț</w:t>
      </w:r>
      <w:r>
        <w:t>ii implica</w:t>
      </w:r>
      <w:r w:rsidR="005A2FB3">
        <w:t>ț</w:t>
      </w:r>
      <w:r>
        <w:t>i a introdus o ac</w:t>
      </w:r>
      <w:r w:rsidR="005A2FB3">
        <w:t>ț</w:t>
      </w:r>
      <w:r>
        <w:t>iune împotriva agen</w:t>
      </w:r>
      <w:r w:rsidR="005A2FB3">
        <w:t>ț</w:t>
      </w:r>
      <w:r>
        <w:t>iei la Curtea de Justi</w:t>
      </w:r>
      <w:r w:rsidR="005A2FB3">
        <w:t>ț</w:t>
      </w:r>
      <w:r>
        <w:t>ie a Uniunii Europene (Curtea de Justi</w:t>
      </w:r>
      <w:r w:rsidR="005A2FB3">
        <w:t>ț</w:t>
      </w:r>
      <w:r>
        <w:t>ie), contestând rezultatul procedurii de achizi</w:t>
      </w:r>
      <w:r w:rsidR="005A2FB3">
        <w:t>ț</w:t>
      </w:r>
      <w:r>
        <w:t>ii; este con</w:t>
      </w:r>
      <w:r w:rsidR="005A2FB3">
        <w:t>ș</w:t>
      </w:r>
      <w:r>
        <w:t>tient că prin hotărârea sa Curtea de Justi</w:t>
      </w:r>
      <w:r w:rsidR="005A2FB3">
        <w:t>ț</w:t>
      </w:r>
      <w:r>
        <w:t>ie a UE se va pronun</w:t>
      </w:r>
      <w:r w:rsidR="005A2FB3">
        <w:t>ț</w:t>
      </w:r>
      <w:r>
        <w:t xml:space="preserve">a în legătură cu legalitatea </w:t>
      </w:r>
      <w:r w:rsidR="005A2FB3">
        <w:t>ș</w:t>
      </w:r>
      <w:r>
        <w:t>i regularitatea procedurii de achizi</w:t>
      </w:r>
      <w:r w:rsidR="005A2FB3">
        <w:t>ț</w:t>
      </w:r>
      <w:r>
        <w:t xml:space="preserve">ie, a contractului-cadru </w:t>
      </w:r>
      <w:r w:rsidR="005A2FB3">
        <w:t>ș</w:t>
      </w:r>
      <w:r>
        <w:t xml:space="preserve">i a contractelor specifice aferente </w:t>
      </w:r>
      <w:r w:rsidR="005A2FB3">
        <w:t>ș</w:t>
      </w:r>
      <w:r>
        <w:t>i plă</w:t>
      </w:r>
      <w:r w:rsidR="005A2FB3">
        <w:t>ț</w:t>
      </w:r>
      <w:r>
        <w:t>ilor viitoare. subliniază că primele plă</w:t>
      </w:r>
      <w:r w:rsidR="005A2FB3">
        <w:t>ț</w:t>
      </w:r>
      <w:r>
        <w:t>i sunt preconizate pentru anul 2017;</w:t>
      </w:r>
    </w:p>
    <w:p w14:paraId="51E41FE4" w14:textId="29ABFB08" w:rsidR="007E16E9" w:rsidRPr="00AC7681" w:rsidRDefault="007E16E9" w:rsidP="007E16E9">
      <w:pPr>
        <w:pStyle w:val="Normal12Hanging"/>
        <w:ind w:left="357" w:hanging="357"/>
        <w:jc w:val="both"/>
        <w:rPr>
          <w:b/>
          <w:i/>
          <w:noProof/>
          <w:szCs w:val="24"/>
        </w:rPr>
      </w:pPr>
      <w:r>
        <w:rPr>
          <w:b/>
          <w:i/>
          <w:szCs w:val="24"/>
        </w:rPr>
        <w:t xml:space="preserve">Prevenirea </w:t>
      </w:r>
      <w:r w:rsidR="005A2FB3">
        <w:rPr>
          <w:b/>
          <w:i/>
          <w:szCs w:val="24"/>
        </w:rPr>
        <w:t>ș</w:t>
      </w:r>
      <w:r>
        <w:rPr>
          <w:b/>
          <w:i/>
          <w:szCs w:val="24"/>
        </w:rPr>
        <w:t>i gestionarea conflictelor de interese, transparen</w:t>
      </w:r>
      <w:r w:rsidR="005A2FB3">
        <w:rPr>
          <w:b/>
          <w:i/>
          <w:szCs w:val="24"/>
        </w:rPr>
        <w:t>ț</w:t>
      </w:r>
      <w:r>
        <w:rPr>
          <w:b/>
          <w:i/>
          <w:szCs w:val="24"/>
        </w:rPr>
        <w:t xml:space="preserve">a </w:t>
      </w:r>
      <w:r w:rsidR="005A2FB3">
        <w:rPr>
          <w:b/>
          <w:i/>
          <w:szCs w:val="24"/>
        </w:rPr>
        <w:t>ș</w:t>
      </w:r>
      <w:r>
        <w:rPr>
          <w:b/>
          <w:i/>
          <w:szCs w:val="24"/>
        </w:rPr>
        <w:t>i democra</w:t>
      </w:r>
      <w:r w:rsidR="005A2FB3">
        <w:rPr>
          <w:b/>
          <w:i/>
          <w:szCs w:val="24"/>
        </w:rPr>
        <w:t>ț</w:t>
      </w:r>
      <w:r>
        <w:rPr>
          <w:b/>
          <w:i/>
          <w:szCs w:val="24"/>
        </w:rPr>
        <w:t>ia</w:t>
      </w:r>
    </w:p>
    <w:p w14:paraId="37A855C1" w14:textId="4F304D5F" w:rsidR="007E16E9" w:rsidRPr="00AC7681" w:rsidRDefault="007E16E9" w:rsidP="007E16E9">
      <w:pPr>
        <w:pStyle w:val="Normal12Hanging"/>
        <w:rPr>
          <w:noProof/>
        </w:rPr>
      </w:pPr>
      <w:r>
        <w:t>17.</w:t>
      </w:r>
      <w:r>
        <w:tab/>
        <w:t>constată că Agen</w:t>
      </w:r>
      <w:r w:rsidR="005A2FB3">
        <w:t>ț</w:t>
      </w:r>
      <w:r>
        <w:t xml:space="preserve">ia a publicat CV-urile </w:t>
      </w:r>
      <w:r w:rsidR="005A2FB3">
        <w:t>ș</w:t>
      </w:r>
      <w:r>
        <w:t>i declara</w:t>
      </w:r>
      <w:r w:rsidR="005A2FB3">
        <w:t>ț</w:t>
      </w:r>
      <w:r>
        <w:t>iile de interese ale conducerii sale superioare pe site-ul său web;</w:t>
      </w:r>
    </w:p>
    <w:p w14:paraId="2B5B0AC5" w14:textId="3325B155" w:rsidR="00062400" w:rsidRPr="00AC7681" w:rsidRDefault="00062400" w:rsidP="00062400">
      <w:pPr>
        <w:pStyle w:val="Normal12Hanging"/>
        <w:rPr>
          <w:noProof/>
        </w:rPr>
      </w:pPr>
      <w:r>
        <w:t>18.</w:t>
      </w:r>
      <w:r>
        <w:tab/>
        <w:t>eviden</w:t>
      </w:r>
      <w:r w:rsidR="005A2FB3">
        <w:t>ț</w:t>
      </w:r>
      <w:r>
        <w:t>iază că Agen</w:t>
      </w:r>
      <w:r w:rsidR="005A2FB3">
        <w:t>ț</w:t>
      </w:r>
      <w:r>
        <w:t>ia nu a adoptat încă o politică privind denun</w:t>
      </w:r>
      <w:r w:rsidR="005A2FB3">
        <w:t>ț</w:t>
      </w:r>
      <w:r>
        <w:t>area de nereguli; constată însă din raportul de monitorizare că Agen</w:t>
      </w:r>
      <w:r w:rsidR="005A2FB3">
        <w:t>ț</w:t>
      </w:r>
      <w:r>
        <w:t>ia va începe procesul de adoptare a unei politici privind denun</w:t>
      </w:r>
      <w:r w:rsidR="005A2FB3">
        <w:t>ț</w:t>
      </w:r>
      <w:r>
        <w:t>area de nereguli în func</w:t>
      </w:r>
      <w:r w:rsidR="005A2FB3">
        <w:t>ț</w:t>
      </w:r>
      <w:r>
        <w:t>ie de normele aplicare ale Comisiei pentru agen</w:t>
      </w:r>
      <w:r w:rsidR="005A2FB3">
        <w:t>ț</w:t>
      </w:r>
      <w:r>
        <w:t>ii, care se speră a fi finalizate în 2018; invită Agen</w:t>
      </w:r>
      <w:r w:rsidR="005A2FB3">
        <w:t>ț</w:t>
      </w:r>
      <w:r>
        <w:t xml:space="preserve">ia să informeze autoritatea care acordă descărcarea de gestiune cu privire la adoptarea </w:t>
      </w:r>
      <w:r w:rsidR="005A2FB3">
        <w:t>ș</w:t>
      </w:r>
      <w:r>
        <w:t>i punerea în aplicare a normelor privind denun</w:t>
      </w:r>
      <w:r w:rsidR="005A2FB3">
        <w:t>ț</w:t>
      </w:r>
      <w:r>
        <w:t>ătorii de nereguli;</w:t>
      </w:r>
    </w:p>
    <w:p w14:paraId="55E8FC70" w14:textId="77777777" w:rsidR="00062400" w:rsidRPr="00AC7681" w:rsidRDefault="00062400" w:rsidP="00062400">
      <w:pPr>
        <w:pStyle w:val="Normal12Hanging"/>
        <w:rPr>
          <w:b/>
          <w:i/>
          <w:noProof/>
        </w:rPr>
      </w:pPr>
      <w:r>
        <w:rPr>
          <w:b/>
          <w:i/>
        </w:rPr>
        <w:lastRenderedPageBreak/>
        <w:t>Principalele realizări</w:t>
      </w:r>
    </w:p>
    <w:p w14:paraId="6670200F" w14:textId="0319D724" w:rsidR="007E16E9" w:rsidRPr="00AC7681" w:rsidRDefault="007E16E9" w:rsidP="007E16E9">
      <w:pPr>
        <w:pStyle w:val="Normal12Hanging"/>
        <w:rPr>
          <w:noProof/>
          <w:szCs w:val="24"/>
        </w:rPr>
      </w:pPr>
      <w:r>
        <w:t>19.</w:t>
      </w:r>
      <w:r>
        <w:tab/>
        <w:t xml:space="preserve">salută principalele trei realizări identificate de Centru în 2016, </w:t>
      </w:r>
      <w:r w:rsidR="005A2FB3">
        <w:t>ș</w:t>
      </w:r>
      <w:r>
        <w:t>i anume că:</w:t>
      </w:r>
    </w:p>
    <w:p w14:paraId="768AC7AC" w14:textId="492290DB" w:rsidR="007E16E9" w:rsidRPr="00AC7681" w:rsidRDefault="007E16E9" w:rsidP="007E16E9">
      <w:pPr>
        <w:pStyle w:val="Normal12Hanging"/>
        <w:ind w:left="1134"/>
        <w:rPr>
          <w:noProof/>
          <w:szCs w:val="24"/>
        </w:rPr>
      </w:pPr>
      <w:r>
        <w:t>–</w:t>
      </w:r>
      <w:r>
        <w:tab/>
        <w:t>a finalizat achizi</w:t>
      </w:r>
      <w:r w:rsidR="005A2FB3">
        <w:t>ț</w:t>
      </w:r>
      <w:r>
        <w:t>ia de 1 500 000 000 EUR privind operarea sistemului Galileo;</w:t>
      </w:r>
    </w:p>
    <w:p w14:paraId="451B04B9" w14:textId="09E27BF1" w:rsidR="007E16E9" w:rsidRPr="00AC7681" w:rsidRDefault="007E16E9" w:rsidP="007E16E9">
      <w:pPr>
        <w:pStyle w:val="Normal12Hanging"/>
        <w:ind w:leftChars="236" w:left="1133"/>
        <w:rPr>
          <w:noProof/>
          <w:szCs w:val="24"/>
        </w:rPr>
      </w:pPr>
      <w:r>
        <w:t>–</w:t>
      </w:r>
      <w:r>
        <w:tab/>
      </w:r>
      <w:r w:rsidR="005A2FB3">
        <w:t>ș</w:t>
      </w:r>
      <w:r>
        <w:t>i-a actualizat acordul de delegare cu Comisia privind Galileo;</w:t>
      </w:r>
    </w:p>
    <w:p w14:paraId="38911522" w14:textId="5160C6C9" w:rsidR="007E16E9" w:rsidRPr="00AC7681" w:rsidRDefault="007E16E9" w:rsidP="007E16E9">
      <w:pPr>
        <w:pStyle w:val="Normal12Hanging"/>
        <w:ind w:left="1134"/>
        <w:rPr>
          <w:noProof/>
          <w:szCs w:val="24"/>
        </w:rPr>
      </w:pPr>
      <w:r>
        <w:t>–</w:t>
      </w:r>
      <w:r>
        <w:tab/>
        <w:t xml:space="preserve">a încheiat negocierile </w:t>
      </w:r>
      <w:r w:rsidR="005A2FB3">
        <w:t>ș</w:t>
      </w:r>
      <w:r>
        <w:t>i a semnat un acord de lucru cu Agen</w:t>
      </w:r>
      <w:r w:rsidR="005A2FB3">
        <w:t>ț</w:t>
      </w:r>
      <w:r>
        <w:t>ia Spa</w:t>
      </w:r>
      <w:r w:rsidR="005A2FB3">
        <w:t>ț</w:t>
      </w:r>
      <w:r>
        <w:t>ială Europeană (ESA) privind Galileo;</w:t>
      </w:r>
    </w:p>
    <w:p w14:paraId="30E490B8" w14:textId="77777777" w:rsidR="007E16E9" w:rsidRPr="00AC7681" w:rsidRDefault="007E16E9" w:rsidP="007E16E9">
      <w:pPr>
        <w:pStyle w:val="Normal12Hanging"/>
        <w:ind w:left="360" w:hanging="360"/>
        <w:jc w:val="both"/>
        <w:rPr>
          <w:b/>
          <w:i/>
          <w:noProof/>
          <w:szCs w:val="24"/>
        </w:rPr>
      </w:pPr>
      <w:r>
        <w:rPr>
          <w:b/>
          <w:i/>
          <w:szCs w:val="24"/>
        </w:rPr>
        <w:t>Auditul intern</w:t>
      </w:r>
    </w:p>
    <w:p w14:paraId="4B90B4BD" w14:textId="44450F60" w:rsidR="007E16E9" w:rsidRPr="00AC7681" w:rsidRDefault="007E16E9" w:rsidP="007E16E9">
      <w:pPr>
        <w:pStyle w:val="Normal12Hanging"/>
        <w:rPr>
          <w:noProof/>
          <w:szCs w:val="24"/>
        </w:rPr>
      </w:pPr>
      <w:r>
        <w:t>20.</w:t>
      </w:r>
      <w:r>
        <w:tab/>
        <w:t xml:space="preserve">remarcă că în 2016 Serviciul de Audit Intern (IAS) a realizat un raport de audit privind procesele de planificare, monitorizare </w:t>
      </w:r>
      <w:r w:rsidR="005A2FB3">
        <w:t>ș</w:t>
      </w:r>
      <w:r>
        <w:t>i raportare ale Agen</w:t>
      </w:r>
      <w:r w:rsidR="005A2FB3">
        <w:t>ț</w:t>
      </w:r>
      <w:r>
        <w:t>iei; subliniază faptul că auditul nu a tras nicio concluzie critică; în plus, ia act de faptul că, în 2016, IAS a anun</w:t>
      </w:r>
      <w:r w:rsidR="005A2FB3">
        <w:t>ț</w:t>
      </w:r>
      <w:r>
        <w:t>at că are de gând să efectueze o evaluare periodică a riscurilor pentru Agen</w:t>
      </w:r>
      <w:r w:rsidR="005A2FB3">
        <w:t>ț</w:t>
      </w:r>
      <w:r>
        <w:t>ie în aprilie 2017;</w:t>
      </w:r>
    </w:p>
    <w:p w14:paraId="0972A4F5" w14:textId="77777777" w:rsidR="007E16E9" w:rsidRPr="00AC7681" w:rsidRDefault="007E16E9" w:rsidP="007E16E9">
      <w:pPr>
        <w:pStyle w:val="Normal12Hanging"/>
        <w:ind w:left="360" w:hanging="360"/>
        <w:jc w:val="both"/>
        <w:rPr>
          <w:b/>
          <w:i/>
          <w:noProof/>
          <w:szCs w:val="24"/>
        </w:rPr>
      </w:pPr>
      <w:r>
        <w:rPr>
          <w:b/>
          <w:i/>
          <w:szCs w:val="24"/>
        </w:rPr>
        <w:t>Controalele interne</w:t>
      </w:r>
    </w:p>
    <w:p w14:paraId="0E2F0CDF" w14:textId="4BB4CDFF" w:rsidR="007E16E9" w:rsidRPr="00AC7681" w:rsidRDefault="007E16E9" w:rsidP="007E16E9">
      <w:pPr>
        <w:pStyle w:val="Normal12Hanging"/>
        <w:rPr>
          <w:noProof/>
        </w:rPr>
      </w:pPr>
      <w:r>
        <w:t>21.</w:t>
      </w:r>
      <w:r>
        <w:tab/>
        <w:t xml:space="preserve">ia act de faptul că ultima evaluare privind conformitatea cu standardele de control intern a avut loc în octombrie 2015 </w:t>
      </w:r>
      <w:r w:rsidR="005A2FB3">
        <w:t>ș</w:t>
      </w:r>
      <w:r>
        <w:t>i a arătat că Agen</w:t>
      </w:r>
      <w:r w:rsidR="005A2FB3">
        <w:t>ț</w:t>
      </w:r>
      <w:r>
        <w:t>ia se conformează cu toate cele 16 standarde de control intern, „Continuitatea activită</w:t>
      </w:r>
      <w:r w:rsidR="005A2FB3">
        <w:t>ț</w:t>
      </w:r>
      <w:r>
        <w:t>ii” în afară de unul; mai notează că ulterior în 2016 Agen</w:t>
      </w:r>
      <w:r w:rsidR="005A2FB3">
        <w:t>ț</w:t>
      </w:r>
      <w:r>
        <w:t>ia a ini</w:t>
      </w:r>
      <w:r w:rsidR="005A2FB3">
        <w:t>ț</w:t>
      </w:r>
      <w:r>
        <w:t>iat o evaluare a continuită</w:t>
      </w:r>
      <w:r w:rsidR="005A2FB3">
        <w:t>ț</w:t>
      </w:r>
      <w:r>
        <w:t>ii activită</w:t>
      </w:r>
      <w:r w:rsidR="005A2FB3">
        <w:t>ț</w:t>
      </w:r>
      <w:r>
        <w:t>ii interne; invită Agen</w:t>
      </w:r>
      <w:r w:rsidR="005A2FB3">
        <w:t>ț</w:t>
      </w:r>
      <w:r>
        <w:t>ia să informeze autoritatea care acordă descărcarea de gestiune cu privire la rezultatul evaluării;</w:t>
      </w:r>
    </w:p>
    <w:p w14:paraId="3E0D6D86" w14:textId="5C81A9C3" w:rsidR="007E16E9" w:rsidRPr="00AC7681" w:rsidRDefault="007E16E9" w:rsidP="007E16E9">
      <w:pPr>
        <w:pStyle w:val="Normal12Hanging"/>
        <w:rPr>
          <w:noProof/>
        </w:rPr>
      </w:pPr>
      <w:r>
        <w:t>22.</w:t>
      </w:r>
      <w:r>
        <w:tab/>
        <w:t>constată că potrivit raportului Cur</w:t>
      </w:r>
      <w:r w:rsidR="005A2FB3">
        <w:t>ț</w:t>
      </w:r>
      <w:r>
        <w:t>ii în raportul său de audit din noiembrie 2016 IAS a observat că, în 2016, nu a avut loc un exerci</w:t>
      </w:r>
      <w:r w:rsidR="005A2FB3">
        <w:t>ț</w:t>
      </w:r>
      <w:r>
        <w:t>iu anual de evaluare a riscurilor la nivelul întregii agen</w:t>
      </w:r>
      <w:r w:rsidR="005A2FB3">
        <w:t>ț</w:t>
      </w:r>
      <w:r>
        <w:t xml:space="preserve">ii </w:t>
      </w:r>
      <w:r w:rsidR="005A2FB3">
        <w:t>ș</w:t>
      </w:r>
      <w:r>
        <w:t xml:space="preserve">i că riscurile semnificative la adresa acesteia nu sunt incluse în documente sale de planificare </w:t>
      </w:r>
      <w:r w:rsidR="005A2FB3">
        <w:t>ș</w:t>
      </w:r>
      <w:r>
        <w:t>i nici în rapoartele de activitate; mai observă că IAS a observat că terminologia utilizată pentru diferitele elemente ale sistemului de măsurare a performan</w:t>
      </w:r>
      <w:r w:rsidR="005A2FB3">
        <w:t>ț</w:t>
      </w:r>
      <w:r>
        <w:t>ei nu este folosită în mod consecvent, afectând procesul de monitorizare a performan</w:t>
      </w:r>
      <w:r w:rsidR="005A2FB3">
        <w:t>ț</w:t>
      </w:r>
      <w:r>
        <w:t>ei; observă că Agen</w:t>
      </w:r>
      <w:r w:rsidR="005A2FB3">
        <w:t>ț</w:t>
      </w:r>
      <w:r>
        <w:t xml:space="preserve">ia </w:t>
      </w:r>
      <w:r w:rsidR="005A2FB3">
        <w:t>ș</w:t>
      </w:r>
      <w:r>
        <w:t>i IAS au convenit asupra unui plan de ac</w:t>
      </w:r>
      <w:r w:rsidR="005A2FB3">
        <w:t>ț</w:t>
      </w:r>
      <w:r>
        <w:t>iuni corective; ia act de faptul că Agen</w:t>
      </w:r>
      <w:r w:rsidR="005A2FB3">
        <w:t>ț</w:t>
      </w:r>
      <w:r>
        <w:t>ia a pus în aplicare constatările Serviciului de Audit Intern în ceea ce prive</w:t>
      </w:r>
      <w:r w:rsidR="005A2FB3">
        <w:t>ș</w:t>
      </w:r>
      <w:r>
        <w:t xml:space="preserve">te gestionarea riscurilor </w:t>
      </w:r>
      <w:r w:rsidR="005A2FB3">
        <w:t>ș</w:t>
      </w:r>
      <w:r>
        <w:t>i că, la întrebarea 4/2016, Agen</w:t>
      </w:r>
      <w:r w:rsidR="005A2FB3">
        <w:t>ț</w:t>
      </w:r>
      <w:r>
        <w:t xml:space="preserve">ia a finalizat o politică </w:t>
      </w:r>
      <w:r w:rsidR="005A2FB3">
        <w:t>ș</w:t>
      </w:r>
      <w:r>
        <w:t>i proceduri de gestionare a riscurilor la nivelul întreprinderii;</w:t>
      </w:r>
    </w:p>
    <w:p w14:paraId="242F9575" w14:textId="2F14ED30" w:rsidR="007E16E9" w:rsidRPr="00AC7681" w:rsidRDefault="007E16E9" w:rsidP="007E16E9">
      <w:pPr>
        <w:pStyle w:val="Normal12Hanging"/>
        <w:jc w:val="both"/>
        <w:rPr>
          <w:b/>
          <w:i/>
          <w:noProof/>
          <w:szCs w:val="24"/>
        </w:rPr>
      </w:pPr>
      <w:r>
        <w:rPr>
          <w:b/>
          <w:i/>
          <w:szCs w:val="24"/>
        </w:rPr>
        <w:t>Alte observa</w:t>
      </w:r>
      <w:r w:rsidR="005A2FB3">
        <w:rPr>
          <w:b/>
          <w:i/>
          <w:szCs w:val="24"/>
        </w:rPr>
        <w:t>ț</w:t>
      </w:r>
      <w:r>
        <w:rPr>
          <w:b/>
          <w:i/>
          <w:szCs w:val="24"/>
        </w:rPr>
        <w:t>ii</w:t>
      </w:r>
    </w:p>
    <w:p w14:paraId="1DA3AD79" w14:textId="3B032526" w:rsidR="00062400" w:rsidRPr="00AC7681" w:rsidRDefault="00062400" w:rsidP="00062400">
      <w:pPr>
        <w:pStyle w:val="Normal12Hanging"/>
        <w:rPr>
          <w:noProof/>
        </w:rPr>
      </w:pPr>
      <w:r>
        <w:t>23.</w:t>
      </w:r>
      <w:r>
        <w:tab/>
        <w:t>relevă că Agen</w:t>
      </w:r>
      <w:r w:rsidR="005A2FB3">
        <w:t>ț</w:t>
      </w:r>
      <w:r>
        <w:t>ia gestionează atât Centrul de monitorizare a securită</w:t>
      </w:r>
      <w:r w:rsidR="005A2FB3">
        <w:t>ț</w:t>
      </w:r>
      <w:r>
        <w:t xml:space="preserve">ii sistemului Galileo, cât </w:t>
      </w:r>
      <w:r w:rsidR="005A2FB3">
        <w:t>ș</w:t>
      </w:r>
      <w:r>
        <w:t>i sta</w:t>
      </w:r>
      <w:r w:rsidR="005A2FB3">
        <w:t>ț</w:t>
      </w:r>
      <w:r>
        <w:t>iile terestre Galileo, ambele aflate pe teritoriul Regatului Unit; scoate în eviden</w:t>
      </w:r>
      <w:r w:rsidR="005A2FB3">
        <w:t>ț</w:t>
      </w:r>
      <w:r>
        <w:t>ă că viitorul statut al Regatului Unit în raport cu aceste entită</w:t>
      </w:r>
      <w:r w:rsidR="005A2FB3">
        <w:t>ț</w:t>
      </w:r>
      <w:r>
        <w:t>i nu a fost încă stabilit; invită Agen</w:t>
      </w:r>
      <w:r w:rsidR="005A2FB3">
        <w:t>ț</w:t>
      </w:r>
      <w:r>
        <w:t>ia să lucreze în strânsă cooperare cu Comisia în ceea ce prive</w:t>
      </w:r>
      <w:r w:rsidR="005A2FB3">
        <w:t>ș</w:t>
      </w:r>
      <w:r>
        <w:t>te negocierile referitoare la Brexit, astfel încât să fie suficient de pregătită pentru a reduce la minimum orice impact opera</w:t>
      </w:r>
      <w:r w:rsidR="005A2FB3">
        <w:t>ț</w:t>
      </w:r>
      <w:r>
        <w:t>ional sau financiar negativ care ar putea apărea;</w:t>
      </w:r>
    </w:p>
    <w:p w14:paraId="0CC830C3" w14:textId="7EAAE699" w:rsidR="00062400" w:rsidRPr="00AC7681" w:rsidRDefault="00062400" w:rsidP="00062400">
      <w:pPr>
        <w:pStyle w:val="Normal12Hanging"/>
        <w:rPr>
          <w:noProof/>
        </w:rPr>
      </w:pPr>
      <w:r>
        <w:t>24.</w:t>
      </w:r>
      <w:r>
        <w:tab/>
        <w:t>observă cu dezamăgire că vizibilitatea Agen</w:t>
      </w:r>
      <w:r w:rsidR="005A2FB3">
        <w:t>ț</w:t>
      </w:r>
      <w:r>
        <w:t xml:space="preserve">iei nu este încă satisfăcătoare </w:t>
      </w:r>
      <w:r w:rsidR="005A2FB3">
        <w:t>ș</w:t>
      </w:r>
      <w:r>
        <w:t>i că nu ilustrează suficient de bine activitatea desfă</w:t>
      </w:r>
      <w:r w:rsidR="005A2FB3">
        <w:t>ș</w:t>
      </w:r>
      <w:r>
        <w:t xml:space="preserve">urată de Uniune în domeniul de lucru al </w:t>
      </w:r>
      <w:r>
        <w:lastRenderedPageBreak/>
        <w:t>acesteia; invită Agen</w:t>
      </w:r>
      <w:r w:rsidR="005A2FB3">
        <w:t>ț</w:t>
      </w:r>
      <w:r>
        <w:t>ia să adopte o atitudine mai proactivă în a-</w:t>
      </w:r>
      <w:r w:rsidR="005A2FB3">
        <w:t>ș</w:t>
      </w:r>
      <w:r>
        <w:t xml:space="preserve">i prezenta misiunea </w:t>
      </w:r>
      <w:r w:rsidR="005A2FB3">
        <w:t>ș</w:t>
      </w:r>
      <w:r>
        <w:t xml:space="preserve">i activitatea către publicul mai larg </w:t>
      </w:r>
      <w:r w:rsidR="005A2FB3">
        <w:t>ș</w:t>
      </w:r>
      <w:r>
        <w:t>i în a-</w:t>
      </w:r>
      <w:r w:rsidR="005A2FB3">
        <w:t>ș</w:t>
      </w:r>
      <w:r>
        <w:t>i cre</w:t>
      </w:r>
      <w:r w:rsidR="005A2FB3">
        <w:t>ș</w:t>
      </w:r>
      <w:r>
        <w:t>te vizibilitatea generală;</w:t>
      </w:r>
    </w:p>
    <w:p w14:paraId="2A9714F7" w14:textId="76C5D666" w:rsidR="007E16E9" w:rsidRPr="00AC7681" w:rsidRDefault="007E16E9" w:rsidP="007E16E9">
      <w:pPr>
        <w:pStyle w:val="Normal12Centre"/>
        <w:rPr>
          <w:noProof/>
        </w:rPr>
      </w:pPr>
      <w:r>
        <w:t>o</w:t>
      </w:r>
    </w:p>
    <w:p w14:paraId="010C0EEB" w14:textId="7C78A53B" w:rsidR="007E16E9" w:rsidRPr="00AC7681" w:rsidRDefault="007E16E9" w:rsidP="007E16E9">
      <w:pPr>
        <w:pStyle w:val="Normal12Centre"/>
        <w:rPr>
          <w:noProof/>
        </w:rPr>
      </w:pPr>
      <w:r>
        <w:t>o</w:t>
      </w:r>
      <w:r w:rsidR="005A2FB3" w:rsidRPr="00A812A6">
        <w:t xml:space="preserve">     </w:t>
      </w:r>
      <w:r>
        <w:t>o</w:t>
      </w:r>
    </w:p>
    <w:p w14:paraId="46A4EFEA" w14:textId="25B7EA53" w:rsidR="00522BA7" w:rsidRPr="00E379D9" w:rsidRDefault="007E16E9" w:rsidP="00E379D9">
      <w:pPr>
        <w:pStyle w:val="Normal12Hanging"/>
        <w:rPr>
          <w:noProof/>
        </w:rPr>
      </w:pPr>
      <w:r>
        <w:t>25.</w:t>
      </w:r>
      <w:r>
        <w:tab/>
        <w:t>face trimitere, pentru alte observa</w:t>
      </w:r>
      <w:r w:rsidR="005A2FB3">
        <w:t>ț</w:t>
      </w:r>
      <w:r>
        <w:t>ii cu caracter orizontal care înso</w:t>
      </w:r>
      <w:r w:rsidR="005A2FB3">
        <w:t>ț</w:t>
      </w:r>
      <w:r>
        <w:t>esc decizia privind descărcarea de gestiune, la Rezolu</w:t>
      </w:r>
      <w:r w:rsidR="005A2FB3">
        <w:t>ț</w:t>
      </w:r>
      <w:r>
        <w:t>ia sa din ... 2018</w:t>
      </w:r>
      <w:r w:rsidRPr="00AC7681">
        <w:rPr>
          <w:rStyle w:val="FootnoteReference"/>
          <w:noProof/>
        </w:rPr>
        <w:footnoteReference w:id="13"/>
      </w:r>
      <w:r>
        <w:t xml:space="preserve"> referitoare la performan</w:t>
      </w:r>
      <w:r w:rsidR="005A2FB3">
        <w:t>ț</w:t>
      </w:r>
      <w:r>
        <w:t xml:space="preserve">ele, gestiunea financiară </w:t>
      </w:r>
      <w:r w:rsidR="005A2FB3">
        <w:t>ș</w:t>
      </w:r>
      <w:r>
        <w:t>i controlul agen</w:t>
      </w:r>
      <w:r w:rsidR="005A2FB3">
        <w:t>ț</w:t>
      </w:r>
      <w:r>
        <w:t>iilor</w:t>
      </w:r>
      <w:bookmarkStart w:id="11" w:name="DocEPTmp2"/>
      <w:bookmarkEnd w:id="11"/>
      <w:r>
        <w:t>.</w:t>
      </w:r>
    </w:p>
    <w:p w14:paraId="263E14A7" w14:textId="2344BA80" w:rsidR="00E379D9" w:rsidRDefault="00FD2F25" w:rsidP="00E379D9">
      <w:pPr>
        <w:pStyle w:val="PageHeading"/>
        <w:rPr>
          <w:noProof/>
        </w:rPr>
      </w:pPr>
      <w:r>
        <w:br w:type="page"/>
      </w:r>
      <w:bookmarkStart w:id="12" w:name="ProcPageRR"/>
      <w:bookmarkStart w:id="13" w:name="_Toc511223135"/>
      <w:r>
        <w:lastRenderedPageBreak/>
        <w:t>INFORMA</w:t>
      </w:r>
      <w:r w:rsidR="005A2FB3">
        <w:t>Ț</w:t>
      </w:r>
      <w:r>
        <w:t>II PRIVIND ADOPTAREA</w:t>
      </w:r>
      <w:r>
        <w:br/>
        <w:t>ÎN COMISIA COMPETENTĂ</w:t>
      </w:r>
      <w:bookmarkEnd w:id="13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E379D9" w14:paraId="77DC5112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AB17EC" w14:textId="77777777" w:rsidR="00E379D9" w:rsidRDefault="00E379D9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adoptării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C176A0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20.3.2018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F0B351" w14:textId="77777777" w:rsidR="00E379D9" w:rsidRDefault="00E379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1BE014" w14:textId="77777777" w:rsidR="00E379D9" w:rsidRDefault="00E379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7014D7" w14:textId="77777777" w:rsidR="00E379D9" w:rsidRDefault="00E379D9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E379D9" w14:paraId="32C168EB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1F1EFE" w14:textId="77777777" w:rsidR="00E379D9" w:rsidRDefault="00E379D9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Rezultatul votului final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F4CF0F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14:paraId="28B87C05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14:paraId="487A922D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469154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  <w:p w14:paraId="2B421A36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14:paraId="21F4432A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379D9" w14:paraId="2532FC2F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E2BDDD" w14:textId="2D0B3BD9" w:rsidR="00E379D9" w:rsidRDefault="00E379D9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Membri titulari prezen</w:t>
            </w:r>
            <w:r w:rsidR="005A2FB3">
              <w:rPr>
                <w:b/>
                <w:bCs/>
                <w:color w:val="000000"/>
                <w:sz w:val="20"/>
              </w:rPr>
              <w:t>ț</w:t>
            </w:r>
            <w:r>
              <w:rPr>
                <w:b/>
                <w:bCs/>
                <w:color w:val="000000"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9A8D7E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Nedzhmi Ali, Inés Ayala Sender, Zigmantas Balčytis, Dennis de Jong, Tamás Deutsch, Martina Dlabajová, Raffaele Fitto, Ingeborg Gräßle, Cătălin Sorin Ivan, Jean-François Jalkh, Arndt Kohn, Notis Marias, José Ignacio Salafranca Sánchez-Neyra, Petri Sarvamaa, Claudia Schmidt, Bart Staes, Indrek Tarand, Marco Valli, Derek Vaughan, Tomáš Zdechovský, Joachim Zeller</w:t>
            </w:r>
          </w:p>
        </w:tc>
      </w:tr>
      <w:tr w:rsidR="00E379D9" w14:paraId="25C94F26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014FA5" w14:textId="2ABF7A9D" w:rsidR="00E379D9" w:rsidRDefault="00E379D9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Membri suplean</w:t>
            </w:r>
            <w:r w:rsidR="005A2FB3">
              <w:rPr>
                <w:b/>
                <w:bCs/>
                <w:color w:val="000000"/>
                <w:sz w:val="20"/>
              </w:rPr>
              <w:t>ț</w:t>
            </w:r>
            <w:r>
              <w:rPr>
                <w:b/>
                <w:bCs/>
                <w:color w:val="000000"/>
                <w:sz w:val="20"/>
              </w:rPr>
              <w:t>i prezen</w:t>
            </w:r>
            <w:r w:rsidR="005A2FB3">
              <w:rPr>
                <w:b/>
                <w:bCs/>
                <w:color w:val="000000"/>
                <w:sz w:val="20"/>
              </w:rPr>
              <w:t>ț</w:t>
            </w:r>
            <w:r>
              <w:rPr>
                <w:b/>
                <w:bCs/>
                <w:color w:val="000000"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D594C1A" w14:textId="77777777" w:rsidR="00E379D9" w:rsidRDefault="00E379D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Karin Kadenbach, Julia Pitera, Miroslav Poche</w:t>
            </w:r>
          </w:p>
        </w:tc>
      </w:tr>
    </w:tbl>
    <w:p w14:paraId="36EE2625" w14:textId="77777777" w:rsidR="00E379D9" w:rsidRPr="00E379D9" w:rsidRDefault="00E379D9" w:rsidP="00E379D9">
      <w:pPr>
        <w:rPr>
          <w:noProof/>
        </w:rPr>
      </w:pPr>
    </w:p>
    <w:bookmarkEnd w:id="12"/>
    <w:p w14:paraId="10244C18" w14:textId="44C3C630" w:rsidR="00E379D9" w:rsidRPr="0099178F" w:rsidRDefault="00FD2F25" w:rsidP="00AD5932">
      <w:pPr>
        <w:pStyle w:val="PageHeading"/>
        <w:rPr>
          <w:noProof/>
          <w:szCs w:val="24"/>
        </w:rPr>
      </w:pPr>
      <w:r>
        <w:br w:type="page"/>
      </w:r>
      <w:bookmarkStart w:id="14" w:name="RollCallPageRR"/>
      <w:bookmarkStart w:id="15" w:name="_Toc511223136"/>
      <w:r>
        <w:lastRenderedPageBreak/>
        <w:t>VOT FINAL PRIN APEL NOMINAL</w:t>
      </w:r>
      <w:r>
        <w:br/>
        <w:t>ÎN COMISIA COMPETENTĂ</w:t>
      </w:r>
      <w:bookmarkEnd w:id="15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379D9" w:rsidRPr="00F64B87" w14:paraId="6AE912F8" w14:textId="77777777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5B87DCA7" w14:textId="1A5D8FC0" w:rsidR="00E379D9" w:rsidRPr="00884717" w:rsidRDefault="00E379D9" w:rsidP="008920AC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371" w:type="dxa"/>
            <w:shd w:val="pct10" w:color="000000" w:fill="FFFFFF"/>
          </w:tcPr>
          <w:p w14:paraId="0628EBC2" w14:textId="77777777" w:rsidR="00E379D9" w:rsidRPr="00AB7DBA" w:rsidRDefault="00E379D9" w:rsidP="008920A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E379D9" w:rsidRPr="00F64B87" w14:paraId="5F302371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0A89955B" w14:textId="77731443" w:rsidR="00E379D9" w:rsidRPr="00884717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14:paraId="5B336ED7" w14:textId="086024BA" w:rsidR="00E379D9" w:rsidRPr="00884717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Nedzhmi Ali, Martina Dlabajová</w:t>
            </w:r>
          </w:p>
        </w:tc>
      </w:tr>
      <w:tr w:rsidR="00E379D9" w:rsidRPr="00F64B87" w14:paraId="5645C97C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2A3D4CAD" w14:textId="4E4F6C51" w:rsidR="00E379D9" w:rsidRPr="00AC7681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0CB35162" w14:textId="57FB4A33" w:rsidR="00E379D9" w:rsidRPr="00AC7681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Tamás Deutsch, Ingeborg Gräßle, Julia Pitera, José Ignacio Salafranca Sánchez-Neyra, Petri Sarvamaa, Claudia Schmidt, Tomáš Zdechovský, Joachim Zeller</w:t>
            </w:r>
          </w:p>
        </w:tc>
      </w:tr>
      <w:tr w:rsidR="00E379D9" w:rsidRPr="00F64B87" w14:paraId="697CF9D0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1F3D47C1" w14:textId="7A8882CA" w:rsidR="00E379D9" w:rsidRPr="00AC7681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0CF68C9C" w14:textId="620E849B" w:rsidR="00E379D9" w:rsidRPr="00AC7681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Inés Ayala Sender, Zigmantas Balčytis, Cătălin Sorin Ivan, Karin Kadenbach, Arndt Kohn, Miroslav Poche, Derek Vaughan</w:t>
            </w:r>
          </w:p>
        </w:tc>
      </w:tr>
      <w:tr w:rsidR="00E379D9" w:rsidRPr="00F64B87" w14:paraId="1873836C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7E4ABAE5" w14:textId="2285863A" w:rsidR="00E379D9" w:rsidRPr="00AC7681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13F0D04B" w14:textId="777B1730" w:rsidR="00E379D9" w:rsidRPr="00AC7681" w:rsidRDefault="00E379D9" w:rsidP="00E379D9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Bart Staes, Indrek Tarand</w:t>
            </w:r>
          </w:p>
        </w:tc>
      </w:tr>
    </w:tbl>
    <w:p w14:paraId="54CC911F" w14:textId="77777777" w:rsidR="00E379D9" w:rsidRDefault="00E379D9" w:rsidP="00147FBF">
      <w:pPr>
        <w:rPr>
          <w:noProof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379D9" w:rsidRPr="00F64B87" w14:paraId="5191E9B0" w14:textId="77777777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6E841C1" w14:textId="49A91E04" w:rsidR="00E379D9" w:rsidRPr="00884717" w:rsidRDefault="00E379D9" w:rsidP="008920AC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71" w:type="dxa"/>
            <w:shd w:val="pct10" w:color="000000" w:fill="FFFFFF"/>
          </w:tcPr>
          <w:p w14:paraId="572F6DBE" w14:textId="77777777" w:rsidR="00E379D9" w:rsidRPr="00AB7DBA" w:rsidRDefault="00E379D9" w:rsidP="008920AC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F20510" w:rsidRPr="00F64B87" w14:paraId="51CD6909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65BEF2B5" w14:textId="256D5607" w:rsidR="00F20510" w:rsidRPr="00884717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6971E790" w14:textId="4341052E" w:rsidR="00F20510" w:rsidRPr="00884717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Raffaele Fitto, Notis Marias</w:t>
            </w:r>
          </w:p>
        </w:tc>
      </w:tr>
      <w:tr w:rsidR="00F20510" w:rsidRPr="00F64B87" w14:paraId="1772BA31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1FFE6036" w14:textId="275D94E3" w:rsidR="00F20510" w:rsidRPr="00A812A6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7CBDC670" w14:textId="4C258CF3" w:rsidR="00F20510" w:rsidRPr="00A812A6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Marco Valli</w:t>
            </w:r>
          </w:p>
        </w:tc>
      </w:tr>
      <w:tr w:rsidR="00F20510" w:rsidRPr="00F64B87" w14:paraId="04900309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7C0B0D55" w14:textId="23D11596" w:rsidR="00F20510" w:rsidRPr="00A812A6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14:paraId="4F0B6E37" w14:textId="2735E081" w:rsidR="00F20510" w:rsidRPr="00A812A6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Jean-François Jalkh</w:t>
            </w:r>
          </w:p>
        </w:tc>
      </w:tr>
      <w:tr w:rsidR="00F20510" w:rsidRPr="00F64B87" w14:paraId="0033D8B6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5E1555E4" w14:textId="600D629B" w:rsidR="00F20510" w:rsidRPr="00A812A6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738CEB82" w14:textId="7C8CBFC1" w:rsidR="00F20510" w:rsidRPr="00A812A6" w:rsidRDefault="00F20510" w:rsidP="00F20510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Dennis de Jong</w:t>
            </w:r>
          </w:p>
        </w:tc>
      </w:tr>
    </w:tbl>
    <w:p w14:paraId="5043636C" w14:textId="77777777" w:rsidR="00E379D9" w:rsidRDefault="00E379D9" w:rsidP="00147FBF">
      <w:pPr>
        <w:rPr>
          <w:noProof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379D9" w:rsidRPr="00F64B87" w14:paraId="656B22C3" w14:textId="77777777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44A0851" w14:textId="66007242" w:rsidR="00E379D9" w:rsidRPr="00884717" w:rsidRDefault="00F20510" w:rsidP="008920AC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14:paraId="672DDC59" w14:textId="77777777" w:rsidR="00E379D9" w:rsidRPr="00AB7DBA" w:rsidRDefault="00E379D9" w:rsidP="008920AC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E379D9" w:rsidRPr="00F64B87" w14:paraId="69C6BA4D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5A218A46" w14:textId="64D43C20" w:rsidR="00E379D9" w:rsidRPr="00884717" w:rsidRDefault="00E379D9" w:rsidP="008920AC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14:paraId="53C28DCC" w14:textId="78DD0371" w:rsidR="00E379D9" w:rsidRPr="00884717" w:rsidRDefault="00E379D9" w:rsidP="008920AC">
            <w:pPr>
              <w:spacing w:before="120" w:after="120"/>
              <w:rPr>
                <w:noProof/>
                <w:sz w:val="20"/>
              </w:rPr>
            </w:pPr>
          </w:p>
        </w:tc>
      </w:tr>
    </w:tbl>
    <w:p w14:paraId="07E60B18" w14:textId="77777777" w:rsidR="00E379D9" w:rsidRDefault="00E379D9" w:rsidP="00147FBF">
      <w:pPr>
        <w:pStyle w:val="Normal12"/>
        <w:rPr>
          <w:noProof/>
        </w:rPr>
      </w:pPr>
    </w:p>
    <w:p w14:paraId="1F445982" w14:textId="10F35E52" w:rsidR="00E379D9" w:rsidRDefault="00E379D9" w:rsidP="00B735E3">
      <w:pPr>
        <w:rPr>
          <w:noProof/>
        </w:rPr>
      </w:pPr>
      <w:r>
        <w:t>Legenda simb</w:t>
      </w:r>
      <w:bookmarkStart w:id="16" w:name="_GoBack"/>
      <w:bookmarkEnd w:id="16"/>
      <w:r>
        <w:t>olurilor utilizate:</w:t>
      </w:r>
    </w:p>
    <w:p w14:paraId="1C2A9623" w14:textId="47F70512" w:rsidR="00E379D9" w:rsidRDefault="00E379D9" w:rsidP="00B735E3">
      <w:pPr>
        <w:pStyle w:val="NormalTabs"/>
        <w:rPr>
          <w:noProof/>
        </w:rPr>
      </w:pPr>
      <w:r>
        <w:t>+</w:t>
      </w:r>
      <w:r>
        <w:tab/>
        <w:t>:</w:t>
      </w:r>
      <w:r>
        <w:tab/>
        <w:t>pentru</w:t>
      </w:r>
    </w:p>
    <w:p w14:paraId="28CE8240" w14:textId="59E23BC3" w:rsidR="00E379D9" w:rsidRDefault="00E379D9" w:rsidP="00B735E3">
      <w:pPr>
        <w:pStyle w:val="NormalTabs"/>
        <w:rPr>
          <w:noProof/>
        </w:rPr>
      </w:pPr>
      <w:r>
        <w:t>-</w:t>
      </w:r>
      <w:r>
        <w:tab/>
        <w:t>:</w:t>
      </w:r>
      <w:r>
        <w:tab/>
        <w:t>împotrivă</w:t>
      </w:r>
    </w:p>
    <w:p w14:paraId="15679A4F" w14:textId="09B7204A" w:rsidR="00E379D9" w:rsidRDefault="00E379D9" w:rsidP="00B735E3">
      <w:pPr>
        <w:pStyle w:val="NormalTabs"/>
        <w:rPr>
          <w:noProof/>
        </w:rPr>
      </w:pPr>
      <w:r>
        <w:t>0</w:t>
      </w:r>
      <w:r>
        <w:tab/>
        <w:t>:</w:t>
      </w:r>
      <w:r>
        <w:tab/>
        <w:t>ab</w:t>
      </w:r>
      <w:r w:rsidR="005A2FB3">
        <w:t>ț</w:t>
      </w:r>
      <w:r>
        <w:t>ineri</w:t>
      </w:r>
    </w:p>
    <w:p w14:paraId="42977FFF" w14:textId="77777777" w:rsidR="00E379D9" w:rsidRDefault="00E379D9" w:rsidP="00AD5932">
      <w:pPr>
        <w:rPr>
          <w:noProof/>
        </w:rPr>
      </w:pPr>
    </w:p>
    <w:bookmarkEnd w:id="14"/>
    <w:p w14:paraId="154511AD" w14:textId="68D5462A" w:rsidR="00841D8C" w:rsidRPr="00E379D9" w:rsidRDefault="00841D8C" w:rsidP="00E379D9">
      <w:pPr>
        <w:rPr>
          <w:noProof/>
        </w:rPr>
      </w:pPr>
    </w:p>
    <w:sectPr w:rsidR="00841D8C" w:rsidRPr="00E379D9" w:rsidSect="00A22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A7D0" w14:textId="77777777" w:rsidR="00577776" w:rsidRPr="00AC7681" w:rsidRDefault="00577776">
      <w:r w:rsidRPr="00AC7681">
        <w:separator/>
      </w:r>
    </w:p>
  </w:endnote>
  <w:endnote w:type="continuationSeparator" w:id="0">
    <w:p w14:paraId="0896BDF9" w14:textId="77777777" w:rsidR="00577776" w:rsidRPr="00AC7681" w:rsidRDefault="00577776">
      <w:r w:rsidRPr="00AC76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F5AC" w14:textId="77777777" w:rsidR="00A22B66" w:rsidRPr="00AC7681" w:rsidRDefault="00A22B66" w:rsidP="00A22B66">
    <w:pPr>
      <w:pStyle w:val="Footer"/>
    </w:pPr>
    <w:r w:rsidRPr="00AC7681">
      <w:t>PE</w:t>
    </w:r>
    <w:r w:rsidRPr="00AC7681">
      <w:rPr>
        <w:rStyle w:val="HideTWBExt"/>
        <w:noProof w:val="0"/>
      </w:rPr>
      <w:t>&lt;NoPE&gt;</w:t>
    </w:r>
    <w:r w:rsidRPr="00AC7681">
      <w:t>613.459</w:t>
    </w:r>
    <w:r w:rsidRPr="00AC7681">
      <w:rPr>
        <w:rStyle w:val="HideTWBExt"/>
        <w:noProof w:val="0"/>
      </w:rPr>
      <w:t>&lt;/NoPE&gt;&lt;Version&gt;</w:t>
    </w:r>
    <w:r w:rsidRPr="00AC7681">
      <w:t>v02-00</w:t>
    </w:r>
    <w:r w:rsidRPr="00AC7681">
      <w:rPr>
        <w:rStyle w:val="HideTWBExt"/>
        <w:noProof w:val="0"/>
      </w:rPr>
      <w:t>&lt;/Version&gt;</w:t>
    </w:r>
    <w:r w:rsidRPr="00AC7681">
      <w:tab/>
    </w:r>
    <w:r w:rsidRPr="00AC7681">
      <w:fldChar w:fldCharType="begin"/>
    </w:r>
    <w:r w:rsidRPr="00AC7681">
      <w:instrText xml:space="preserve"> PAGE  \* MERGEFORMAT </w:instrText>
    </w:r>
    <w:r w:rsidRPr="00AC7681">
      <w:fldChar w:fldCharType="separate"/>
    </w:r>
    <w:r w:rsidR="005A2FB3">
      <w:rPr>
        <w:noProof/>
      </w:rPr>
      <w:t>12</w:t>
    </w:r>
    <w:r w:rsidRPr="00AC7681">
      <w:fldChar w:fldCharType="end"/>
    </w:r>
    <w:r w:rsidRPr="00AC7681">
      <w:t>/</w:t>
    </w:r>
    <w:fldSimple w:instr=" NUMPAGES  \* MERGEFORMAT ">
      <w:r w:rsidR="005A2FB3">
        <w:rPr>
          <w:noProof/>
        </w:rPr>
        <w:t>13</w:t>
      </w:r>
    </w:fldSimple>
    <w:r w:rsidRPr="00AC7681">
      <w:tab/>
    </w:r>
    <w:r w:rsidRPr="00AC7681">
      <w:rPr>
        <w:rStyle w:val="HideTWBExt"/>
        <w:noProof w:val="0"/>
      </w:rPr>
      <w:t>&lt;PathFdR&gt;</w:t>
    </w:r>
    <w:r w:rsidRPr="00AC7681">
      <w:t>RR\1149312RO.docx</w:t>
    </w:r>
    <w:r w:rsidRPr="00AC7681">
      <w:rPr>
        <w:rStyle w:val="HideTWBExt"/>
        <w:noProof w:val="0"/>
      </w:rPr>
      <w:t>&lt;/PathFdR&gt;</w:t>
    </w:r>
  </w:p>
  <w:p w14:paraId="6E2DB314" w14:textId="41CE6921" w:rsidR="00390068" w:rsidRPr="00AC7681" w:rsidRDefault="00A22B66" w:rsidP="00A22B66">
    <w:pPr>
      <w:pStyle w:val="Footer2"/>
    </w:pPr>
    <w:r w:rsidRPr="00AC7681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43D3" w14:textId="77777777" w:rsidR="00A22B66" w:rsidRPr="00AC7681" w:rsidRDefault="00A22B66" w:rsidP="00A22B66">
    <w:pPr>
      <w:pStyle w:val="Footer"/>
    </w:pPr>
    <w:r w:rsidRPr="00AC7681">
      <w:rPr>
        <w:rStyle w:val="HideTWBExt"/>
        <w:noProof w:val="0"/>
      </w:rPr>
      <w:t>&lt;PathFdR&gt;</w:t>
    </w:r>
    <w:r w:rsidRPr="00AC7681">
      <w:t>RR\1149312RO.docx</w:t>
    </w:r>
    <w:r w:rsidRPr="00AC7681">
      <w:rPr>
        <w:rStyle w:val="HideTWBExt"/>
        <w:noProof w:val="0"/>
      </w:rPr>
      <w:t>&lt;/PathFdR&gt;</w:t>
    </w:r>
    <w:r w:rsidRPr="00AC7681">
      <w:tab/>
    </w:r>
    <w:r w:rsidRPr="00AC7681">
      <w:fldChar w:fldCharType="begin"/>
    </w:r>
    <w:r w:rsidRPr="00AC7681">
      <w:instrText xml:space="preserve"> PAGE  \* MERGEFORMAT </w:instrText>
    </w:r>
    <w:r w:rsidRPr="00AC7681">
      <w:fldChar w:fldCharType="separate"/>
    </w:r>
    <w:r w:rsidR="005A2FB3">
      <w:rPr>
        <w:noProof/>
      </w:rPr>
      <w:t>13</w:t>
    </w:r>
    <w:r w:rsidRPr="00AC7681">
      <w:fldChar w:fldCharType="end"/>
    </w:r>
    <w:r w:rsidRPr="00AC7681">
      <w:t>/</w:t>
    </w:r>
    <w:fldSimple w:instr=" NUMPAGES  \* MERGEFORMAT ">
      <w:r w:rsidR="005A2FB3">
        <w:rPr>
          <w:noProof/>
        </w:rPr>
        <w:t>13</w:t>
      </w:r>
    </w:fldSimple>
    <w:r w:rsidRPr="00AC7681">
      <w:tab/>
      <w:t>PE</w:t>
    </w:r>
    <w:r w:rsidRPr="00AC7681">
      <w:rPr>
        <w:rStyle w:val="HideTWBExt"/>
        <w:noProof w:val="0"/>
      </w:rPr>
      <w:t>&lt;NoPE&gt;</w:t>
    </w:r>
    <w:r w:rsidRPr="00AC7681">
      <w:t>613.459</w:t>
    </w:r>
    <w:r w:rsidRPr="00AC7681">
      <w:rPr>
        <w:rStyle w:val="HideTWBExt"/>
        <w:noProof w:val="0"/>
      </w:rPr>
      <w:t>&lt;/NoPE&gt;&lt;Version&gt;</w:t>
    </w:r>
    <w:r w:rsidRPr="00AC7681">
      <w:t>v02-00</w:t>
    </w:r>
    <w:r w:rsidRPr="00AC7681">
      <w:rPr>
        <w:rStyle w:val="HideTWBExt"/>
        <w:noProof w:val="0"/>
      </w:rPr>
      <w:t>&lt;/Version&gt;</w:t>
    </w:r>
  </w:p>
  <w:p w14:paraId="33CD85B0" w14:textId="168482C5" w:rsidR="00390068" w:rsidRPr="00AC7681" w:rsidRDefault="00A22B66" w:rsidP="00A22B66">
    <w:pPr>
      <w:pStyle w:val="Footer2"/>
    </w:pPr>
    <w:r w:rsidRPr="00AC7681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CE01" w14:textId="77777777" w:rsidR="00A22B66" w:rsidRPr="00AC7681" w:rsidRDefault="00A22B66" w:rsidP="00A22B66">
    <w:pPr>
      <w:pStyle w:val="Footer"/>
    </w:pPr>
    <w:r w:rsidRPr="00AC7681">
      <w:rPr>
        <w:rStyle w:val="HideTWBExt"/>
        <w:noProof w:val="0"/>
      </w:rPr>
      <w:t>&lt;PathFdR&gt;</w:t>
    </w:r>
    <w:r w:rsidRPr="00AC7681">
      <w:t>RR\1149312RO.docx</w:t>
    </w:r>
    <w:r w:rsidRPr="00AC7681">
      <w:rPr>
        <w:rStyle w:val="HideTWBExt"/>
        <w:noProof w:val="0"/>
      </w:rPr>
      <w:t>&lt;/PathFdR&gt;</w:t>
    </w:r>
    <w:r w:rsidRPr="00AC7681">
      <w:tab/>
    </w:r>
    <w:r w:rsidRPr="00AC7681">
      <w:tab/>
      <w:t>PE</w:t>
    </w:r>
    <w:r w:rsidRPr="00AC7681">
      <w:rPr>
        <w:rStyle w:val="HideTWBExt"/>
        <w:noProof w:val="0"/>
      </w:rPr>
      <w:t>&lt;NoPE&gt;</w:t>
    </w:r>
    <w:r w:rsidRPr="00AC7681">
      <w:t>613.459</w:t>
    </w:r>
    <w:r w:rsidRPr="00AC7681">
      <w:rPr>
        <w:rStyle w:val="HideTWBExt"/>
        <w:noProof w:val="0"/>
      </w:rPr>
      <w:t>&lt;/NoPE&gt;&lt;Version&gt;</w:t>
    </w:r>
    <w:r w:rsidRPr="00AC7681">
      <w:t>v02-00</w:t>
    </w:r>
    <w:r w:rsidRPr="00AC7681">
      <w:rPr>
        <w:rStyle w:val="HideTWBExt"/>
        <w:noProof w:val="0"/>
      </w:rPr>
      <w:t>&lt;/Version&gt;</w:t>
    </w:r>
  </w:p>
  <w:p w14:paraId="393910A1" w14:textId="01855C4A" w:rsidR="00390068" w:rsidRPr="00AC7681" w:rsidRDefault="00A22B66" w:rsidP="00A22B66">
    <w:pPr>
      <w:pStyle w:val="Footer2"/>
      <w:tabs>
        <w:tab w:val="center" w:pos="4535"/>
      </w:tabs>
    </w:pPr>
    <w:r w:rsidRPr="00AC7681">
      <w:t>RO</w:t>
    </w:r>
    <w:r w:rsidRPr="00AC7681">
      <w:tab/>
    </w:r>
    <w:r w:rsidRPr="00AC7681">
      <w:rPr>
        <w:b w:val="0"/>
        <w:i/>
        <w:color w:val="C0C0C0"/>
        <w:sz w:val="22"/>
      </w:rPr>
      <w:t>Unită în diversitate</w:t>
    </w:r>
    <w:r w:rsidRPr="00AC7681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2EDD" w14:textId="77777777" w:rsidR="00577776" w:rsidRPr="00AC7681" w:rsidRDefault="00577776">
      <w:r w:rsidRPr="00AC7681">
        <w:separator/>
      </w:r>
    </w:p>
  </w:footnote>
  <w:footnote w:type="continuationSeparator" w:id="0">
    <w:p w14:paraId="2C59E2C3" w14:textId="77777777" w:rsidR="00577776" w:rsidRPr="00AC7681" w:rsidRDefault="00577776">
      <w:r w:rsidRPr="00AC7681">
        <w:continuationSeparator/>
      </w:r>
    </w:p>
  </w:footnote>
  <w:footnote w:id="1">
    <w:p w14:paraId="4F71C8B9" w14:textId="77777777" w:rsidR="00723148" w:rsidRPr="00AC7681" w:rsidRDefault="00723148">
      <w:pPr>
        <w:pStyle w:val="FootnoteText"/>
        <w:rPr>
          <w:highlight w:val="yellow"/>
        </w:rPr>
      </w:pPr>
      <w:r w:rsidRPr="00AC7681">
        <w:rPr>
          <w:rStyle w:val="FootnoteReference"/>
        </w:rPr>
        <w:footnoteRef/>
      </w:r>
      <w:r>
        <w:t xml:space="preserve"> JO C 417, 6.12.2017, p. 241.</w:t>
      </w:r>
    </w:p>
  </w:footnote>
  <w:footnote w:id="2">
    <w:p w14:paraId="5B2E398C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C 417, 6.12.2017, p. 241.</w:t>
      </w:r>
    </w:p>
  </w:footnote>
  <w:footnote w:id="3">
    <w:p w14:paraId="17628F9F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L 298, 26.10.2012, p. 1.</w:t>
      </w:r>
    </w:p>
  </w:footnote>
  <w:footnote w:id="4">
    <w:p w14:paraId="3B2C7F7C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L 276, 20.10.2010, p. 11.</w:t>
      </w:r>
    </w:p>
  </w:footnote>
  <w:footnote w:id="5">
    <w:p w14:paraId="35237EC8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L 328, 7.12.2013, p. 42.</w:t>
      </w:r>
    </w:p>
  </w:footnote>
  <w:footnote w:id="6">
    <w:p w14:paraId="2DC3841E" w14:textId="77777777" w:rsidR="00723148" w:rsidRPr="00AC7681" w:rsidRDefault="00723148">
      <w:pPr>
        <w:pStyle w:val="FootnoteText"/>
        <w:rPr>
          <w:highlight w:val="yellow"/>
        </w:rPr>
      </w:pPr>
      <w:r w:rsidRPr="00AC7681">
        <w:rPr>
          <w:rStyle w:val="FootnoteReference"/>
        </w:rPr>
        <w:footnoteRef/>
      </w:r>
      <w:r>
        <w:t xml:space="preserve"> JO C 417, 6.12.2017, p. 241.</w:t>
      </w:r>
    </w:p>
  </w:footnote>
  <w:footnote w:id="7">
    <w:p w14:paraId="40B034FC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C 417, 6.12.2017, p. 241.</w:t>
      </w:r>
    </w:p>
  </w:footnote>
  <w:footnote w:id="8">
    <w:p w14:paraId="42ED8954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L 298, 26.10.2012, p. 1.</w:t>
      </w:r>
    </w:p>
  </w:footnote>
  <w:footnote w:id="9">
    <w:p w14:paraId="2DBA36EE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L 276, 20.10.2010, p. 11.</w:t>
      </w:r>
    </w:p>
  </w:footnote>
  <w:footnote w:id="10">
    <w:p w14:paraId="5BDA1303" w14:textId="77777777" w:rsidR="00723148" w:rsidRPr="00AC7681" w:rsidRDefault="00723148">
      <w:pPr>
        <w:pStyle w:val="FootnoteText"/>
      </w:pPr>
      <w:r w:rsidRPr="00AC7681">
        <w:rPr>
          <w:rStyle w:val="FootnoteReference"/>
        </w:rPr>
        <w:footnoteRef/>
      </w:r>
      <w:r>
        <w:t xml:space="preserve"> JO L 328, 7.12.2013, p. 42.</w:t>
      </w:r>
    </w:p>
  </w:footnote>
  <w:footnote w:id="11">
    <w:p w14:paraId="58185007" w14:textId="3E58688A" w:rsidR="007E16E9" w:rsidRPr="00AC7681" w:rsidRDefault="007E16E9" w:rsidP="007E16E9">
      <w:pPr>
        <w:pStyle w:val="FootnoteText"/>
      </w:pPr>
      <w:r w:rsidRPr="00AC7681">
        <w:rPr>
          <w:rStyle w:val="FootnoteReference"/>
        </w:rPr>
        <w:footnoteRef/>
      </w:r>
      <w:r>
        <w:t xml:space="preserve"> JO C 230, 24.6.2016, p. 4.</w:t>
      </w:r>
    </w:p>
  </w:footnote>
  <w:footnote w:id="12">
    <w:p w14:paraId="543461A7" w14:textId="4AEC516D" w:rsidR="00E83EFF" w:rsidRPr="00AC7681" w:rsidRDefault="00E83EFF">
      <w:pPr>
        <w:pStyle w:val="FootnoteText"/>
      </w:pPr>
      <w:r w:rsidRPr="00AC7681">
        <w:rPr>
          <w:rStyle w:val="FootnoteReference"/>
        </w:rPr>
        <w:footnoteRef/>
      </w:r>
      <w:r>
        <w:t xml:space="preserve"> Regulamentul delegat (UE) nr. 1271/2013 al Comisiei din 30 septembrie 2013 privind Regulamentul financiar cadru pentru organismele men</w:t>
      </w:r>
      <w:r w:rsidR="005A2FB3">
        <w:t>ț</w:t>
      </w:r>
      <w:r>
        <w:t xml:space="preserve">ionate la articolul 208 din Regulamentul nr. 966/2012 al Parlamentului European </w:t>
      </w:r>
      <w:r w:rsidR="005A2FB3">
        <w:t>ș</w:t>
      </w:r>
      <w:r>
        <w:t>i al Consiliului (JO L 328, 7.12.2013, p. 42).</w:t>
      </w:r>
    </w:p>
  </w:footnote>
  <w:footnote w:id="13">
    <w:p w14:paraId="37C2F2A3" w14:textId="77777777" w:rsidR="007E16E9" w:rsidRPr="00AC7681" w:rsidRDefault="007E16E9" w:rsidP="007E16E9">
      <w:pPr>
        <w:pStyle w:val="FootnoteText"/>
      </w:pPr>
      <w:r w:rsidRPr="00AC7681">
        <w:rPr>
          <w:rStyle w:val="FootnoteReference"/>
        </w:rPr>
        <w:footnoteRef/>
      </w:r>
      <w:r>
        <w:t xml:space="preserve"> Texte adoptate la această dată, P8_TA-PROV(2018)0000.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6BC81" w14:textId="77777777" w:rsidR="005A2FB3" w:rsidRDefault="005A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0AA5" w14:textId="77777777" w:rsidR="005A2FB3" w:rsidRDefault="005A2F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9454" w14:textId="77777777" w:rsidR="005A2FB3" w:rsidRDefault="005A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91318"/>
    <w:multiLevelType w:val="hybridMultilevel"/>
    <w:tmpl w:val="143224D2"/>
    <w:lvl w:ilvl="0" w:tplc="CEC4BA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E877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C626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08C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82C4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245B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FA4F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E6BD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AAE4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D6E49"/>
    <w:multiLevelType w:val="hybridMultilevel"/>
    <w:tmpl w:val="78B8CEFC"/>
    <w:lvl w:ilvl="0" w:tplc="A0EE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01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8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8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88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65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AB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63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7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OPINMNU" w:val=" 1"/>
    <w:docVar w:name="CopyToNetwork" w:val="-1"/>
    <w:docVar w:name="DECISIONMNU" w:val=" 3"/>
    <w:docVar w:name="DOCDT" w:val="23/03/2018"/>
    <w:docVar w:name="FN1DT" w:val="..."/>
    <w:docVar w:name="FN2DT" w:val="..."/>
    <w:docVar w:name="LastAMInserted" w:val="8"/>
    <w:docVar w:name="LastEditedSection" w:val=" 1"/>
    <w:docVar w:name="NumberAMInserted" w:val="8"/>
    <w:docVar w:name="OBSERVATIONSMNU" w:val=" 1"/>
    <w:docVar w:name="STOREDT" w:val="..."/>
    <w:docVar w:name="strDocTypeID" w:val="PR_DEC_Agencies"/>
    <w:docVar w:name="strSubDir" w:val="1149"/>
    <w:docVar w:name="TITLEMNU" w:val=" 18"/>
    <w:docVar w:name="TXTBUDYEAR" w:val="2016"/>
    <w:docVar w:name="TXTFN1" w:val="   "/>
    <w:docVar w:name="TXTFN2" w:val="   "/>
    <w:docVar w:name="TXTLANGUE" w:val="RO"/>
    <w:docVar w:name="TXTLANGUEMIN" w:val="ro"/>
    <w:docVar w:name="TXTNRC" w:val="0000/2018"/>
    <w:docVar w:name="TXTNRCOUNC" w:val="00000/2018"/>
    <w:docVar w:name="TXTNRDEC" w:val="2017/2165"/>
    <w:docVar w:name="TXTNRPE" w:val="613.459"/>
    <w:docVar w:name="TXTNRTA" w:val="-PROV(2018)0000"/>
    <w:docVar w:name="TXTPEorAP" w:val="PE"/>
    <w:docVar w:name="TXTPG1" w:val="   "/>
    <w:docVar w:name="TXTPG2" w:val="   "/>
    <w:docVar w:name="TXTROUTE" w:val="RR\1149312RO.docx"/>
    <w:docVar w:name="TXTVERSION" w:val="02-00"/>
  </w:docVars>
  <w:rsids>
    <w:rsidRoot w:val="00577776"/>
    <w:rsid w:val="00002C51"/>
    <w:rsid w:val="00062400"/>
    <w:rsid w:val="00090E0B"/>
    <w:rsid w:val="000A05D5"/>
    <w:rsid w:val="000A746D"/>
    <w:rsid w:val="000B461B"/>
    <w:rsid w:val="000B47E5"/>
    <w:rsid w:val="00104CB9"/>
    <w:rsid w:val="00116CB4"/>
    <w:rsid w:val="00134206"/>
    <w:rsid w:val="00150EC1"/>
    <w:rsid w:val="001559C9"/>
    <w:rsid w:val="00164463"/>
    <w:rsid w:val="0017746B"/>
    <w:rsid w:val="00185EAA"/>
    <w:rsid w:val="001A3AB8"/>
    <w:rsid w:val="001A560E"/>
    <w:rsid w:val="001B4494"/>
    <w:rsid w:val="001E1032"/>
    <w:rsid w:val="00202D84"/>
    <w:rsid w:val="002422C9"/>
    <w:rsid w:val="00253648"/>
    <w:rsid w:val="00256BE3"/>
    <w:rsid w:val="002640CD"/>
    <w:rsid w:val="00276092"/>
    <w:rsid w:val="0027644B"/>
    <w:rsid w:val="0027724D"/>
    <w:rsid w:val="002D49E0"/>
    <w:rsid w:val="002D6EA9"/>
    <w:rsid w:val="002E5183"/>
    <w:rsid w:val="00304A7C"/>
    <w:rsid w:val="00311BBC"/>
    <w:rsid w:val="0031254A"/>
    <w:rsid w:val="003421B5"/>
    <w:rsid w:val="00381864"/>
    <w:rsid w:val="00390068"/>
    <w:rsid w:val="003A6531"/>
    <w:rsid w:val="003B7BF5"/>
    <w:rsid w:val="003D353C"/>
    <w:rsid w:val="003E2352"/>
    <w:rsid w:val="003E25A9"/>
    <w:rsid w:val="003E735B"/>
    <w:rsid w:val="003F0E64"/>
    <w:rsid w:val="003F3A98"/>
    <w:rsid w:val="00413713"/>
    <w:rsid w:val="00452C01"/>
    <w:rsid w:val="004651E1"/>
    <w:rsid w:val="00473527"/>
    <w:rsid w:val="00480984"/>
    <w:rsid w:val="004929F8"/>
    <w:rsid w:val="004A34BF"/>
    <w:rsid w:val="004A480C"/>
    <w:rsid w:val="004C3C96"/>
    <w:rsid w:val="004D13BA"/>
    <w:rsid w:val="004D577B"/>
    <w:rsid w:val="00522BA7"/>
    <w:rsid w:val="005474E0"/>
    <w:rsid w:val="00564DB0"/>
    <w:rsid w:val="00570004"/>
    <w:rsid w:val="00577776"/>
    <w:rsid w:val="00586470"/>
    <w:rsid w:val="005A2FB3"/>
    <w:rsid w:val="005A3D7F"/>
    <w:rsid w:val="005A6CAE"/>
    <w:rsid w:val="005B2950"/>
    <w:rsid w:val="005C689E"/>
    <w:rsid w:val="005D3E9F"/>
    <w:rsid w:val="005E2AB0"/>
    <w:rsid w:val="005E7E89"/>
    <w:rsid w:val="0063324A"/>
    <w:rsid w:val="00643EBE"/>
    <w:rsid w:val="0066045F"/>
    <w:rsid w:val="006646BB"/>
    <w:rsid w:val="006835EB"/>
    <w:rsid w:val="006B0ED0"/>
    <w:rsid w:val="006B2990"/>
    <w:rsid w:val="006B5451"/>
    <w:rsid w:val="006D37D7"/>
    <w:rsid w:val="006D5743"/>
    <w:rsid w:val="00723148"/>
    <w:rsid w:val="0072645D"/>
    <w:rsid w:val="00745119"/>
    <w:rsid w:val="0074734C"/>
    <w:rsid w:val="007C3B7E"/>
    <w:rsid w:val="007D1E61"/>
    <w:rsid w:val="007D4902"/>
    <w:rsid w:val="007D595C"/>
    <w:rsid w:val="007E16E9"/>
    <w:rsid w:val="007E2834"/>
    <w:rsid w:val="0081446A"/>
    <w:rsid w:val="00841D8C"/>
    <w:rsid w:val="00846FE3"/>
    <w:rsid w:val="008500D3"/>
    <w:rsid w:val="00875FB7"/>
    <w:rsid w:val="00895F7F"/>
    <w:rsid w:val="008A23A3"/>
    <w:rsid w:val="008D2063"/>
    <w:rsid w:val="00913031"/>
    <w:rsid w:val="00916826"/>
    <w:rsid w:val="00947D32"/>
    <w:rsid w:val="009807D1"/>
    <w:rsid w:val="00991A7E"/>
    <w:rsid w:val="009A1AE4"/>
    <w:rsid w:val="009B566F"/>
    <w:rsid w:val="00A22B66"/>
    <w:rsid w:val="00A273FA"/>
    <w:rsid w:val="00A35902"/>
    <w:rsid w:val="00A812A6"/>
    <w:rsid w:val="00A84FF1"/>
    <w:rsid w:val="00A95064"/>
    <w:rsid w:val="00AB4789"/>
    <w:rsid w:val="00AC7681"/>
    <w:rsid w:val="00AD2ECC"/>
    <w:rsid w:val="00B10597"/>
    <w:rsid w:val="00B234E5"/>
    <w:rsid w:val="00B6540D"/>
    <w:rsid w:val="00B75AA6"/>
    <w:rsid w:val="00B844BC"/>
    <w:rsid w:val="00BA46FB"/>
    <w:rsid w:val="00BB09B0"/>
    <w:rsid w:val="00BB1785"/>
    <w:rsid w:val="00BC11DB"/>
    <w:rsid w:val="00BD13C4"/>
    <w:rsid w:val="00BD57BD"/>
    <w:rsid w:val="00BE0DC4"/>
    <w:rsid w:val="00BF0771"/>
    <w:rsid w:val="00C1531C"/>
    <w:rsid w:val="00C46F6A"/>
    <w:rsid w:val="00C519EC"/>
    <w:rsid w:val="00C56953"/>
    <w:rsid w:val="00C607B5"/>
    <w:rsid w:val="00C63401"/>
    <w:rsid w:val="00C64FE7"/>
    <w:rsid w:val="00CB6B29"/>
    <w:rsid w:val="00CD15D0"/>
    <w:rsid w:val="00CE1136"/>
    <w:rsid w:val="00CF07EC"/>
    <w:rsid w:val="00D05CBA"/>
    <w:rsid w:val="00D1589C"/>
    <w:rsid w:val="00D17F3E"/>
    <w:rsid w:val="00D35FA9"/>
    <w:rsid w:val="00D46466"/>
    <w:rsid w:val="00D74CC3"/>
    <w:rsid w:val="00D9422B"/>
    <w:rsid w:val="00DE0410"/>
    <w:rsid w:val="00DF7BA5"/>
    <w:rsid w:val="00E348DB"/>
    <w:rsid w:val="00E379D9"/>
    <w:rsid w:val="00E44A07"/>
    <w:rsid w:val="00E50576"/>
    <w:rsid w:val="00E83EFF"/>
    <w:rsid w:val="00EB31C4"/>
    <w:rsid w:val="00EC38BE"/>
    <w:rsid w:val="00EE1609"/>
    <w:rsid w:val="00EF0EFD"/>
    <w:rsid w:val="00F0189F"/>
    <w:rsid w:val="00F02E0E"/>
    <w:rsid w:val="00F0381D"/>
    <w:rsid w:val="00F20510"/>
    <w:rsid w:val="00F21C7F"/>
    <w:rsid w:val="00F71101"/>
    <w:rsid w:val="00F71B40"/>
    <w:rsid w:val="00F9531F"/>
    <w:rsid w:val="00FB1BDD"/>
    <w:rsid w:val="00FD18F9"/>
    <w:rsid w:val="00FD2F25"/>
    <w:rsid w:val="00FF5D7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42B5A0"/>
  <w15:chartTrackingRefBased/>
  <w15:docId w15:val="{90DA7CA2-EF67-455F-8368-5A95305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semiHidden/>
    <w:rsid w:val="00FD18F9"/>
    <w:pPr>
      <w:spacing w:after="0"/>
    </w:p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EPName">
    <w:name w:val="EPName"/>
    <w:basedOn w:val="Normal"/>
    <w:rsid w:val="00D4646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E44A07"/>
    <w:pPr>
      <w:tabs>
        <w:tab w:val="left" w:pos="567"/>
      </w:tabs>
    </w:pPr>
  </w:style>
  <w:style w:type="paragraph" w:customStyle="1" w:styleId="RefProc">
    <w:name w:val="RefProc"/>
    <w:basedOn w:val="Normal"/>
    <w:rsid w:val="007D1E61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spacing w:before="480"/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ver24Tab">
    <w:name w:val="Cover24Tab"/>
    <w:basedOn w:val="Normal24"/>
    <w:pPr>
      <w:tabs>
        <w:tab w:val="left" w:pos="3686"/>
        <w:tab w:val="left" w:pos="3969"/>
      </w:tabs>
      <w:ind w:left="1418"/>
    </w:pPr>
    <w:rPr>
      <w:snapToGrid w:val="0"/>
      <w:lang w:eastAsia="en-US"/>
    </w:rPr>
  </w:style>
  <w:style w:type="paragraph" w:customStyle="1" w:styleId="Normal12a12bHanging">
    <w:name w:val="Normal12a12bHanging"/>
    <w:basedOn w:val="Normal12a12b"/>
    <w:rsid w:val="00FF5D7C"/>
    <w:pPr>
      <w:ind w:left="567" w:hanging="567"/>
    </w:pPr>
  </w:style>
  <w:style w:type="paragraph" w:customStyle="1" w:styleId="Normal24BoldCentre">
    <w:name w:val="Normal24BoldCentre"/>
    <w:basedOn w:val="Normal"/>
    <w:next w:val="Normal12Hanging"/>
    <w:pPr>
      <w:spacing w:after="480"/>
      <w:jc w:val="center"/>
    </w:pPr>
    <w:rPr>
      <w:b/>
      <w:noProof/>
    </w:rPr>
  </w:style>
  <w:style w:type="paragraph" w:styleId="TOC2">
    <w:name w:val="toc 2"/>
    <w:basedOn w:val="Normal"/>
    <w:next w:val="Normal"/>
    <w:semiHidden/>
    <w:pPr>
      <w:ind w:left="227"/>
    </w:pPr>
  </w:style>
  <w:style w:type="table" w:styleId="TableGrid">
    <w:name w:val="Table Grid"/>
    <w:basedOn w:val="TableNormal"/>
    <w:rsid w:val="0039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39"/>
    <w:rsid w:val="00FD18F9"/>
    <w:pPr>
      <w:spacing w:after="240"/>
    </w:pPr>
  </w:style>
  <w:style w:type="paragraph" w:customStyle="1" w:styleId="ZCommittee">
    <w:name w:val="ZCommittee"/>
    <w:basedOn w:val="Normal"/>
    <w:next w:val="Normal"/>
    <w:rsid w:val="0039006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390068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390068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D4646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46466"/>
    <w:pPr>
      <w:jc w:val="right"/>
    </w:pPr>
  </w:style>
  <w:style w:type="paragraph" w:styleId="FootnoteText">
    <w:name w:val="footnote text"/>
    <w:basedOn w:val="Normal"/>
    <w:link w:val="FootnoteTextChar"/>
    <w:rsid w:val="007231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23148"/>
  </w:style>
  <w:style w:type="character" w:styleId="FootnoteReference">
    <w:name w:val="footnote reference"/>
    <w:basedOn w:val="DefaultParagraphFont"/>
    <w:rsid w:val="00723148"/>
    <w:rPr>
      <w:vertAlign w:val="superscript"/>
    </w:rPr>
  </w:style>
  <w:style w:type="paragraph" w:styleId="BalloonText">
    <w:name w:val="Balloon Text"/>
    <w:basedOn w:val="Normal"/>
    <w:link w:val="BalloonTextChar"/>
    <w:rsid w:val="00B23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34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474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4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74E0"/>
  </w:style>
  <w:style w:type="paragraph" w:styleId="CommentSubject">
    <w:name w:val="annotation subject"/>
    <w:basedOn w:val="CommentText"/>
    <w:next w:val="CommentText"/>
    <w:link w:val="CommentSubjectChar"/>
    <w:rsid w:val="00547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4E0"/>
    <w:rPr>
      <w:b/>
      <w:bCs/>
    </w:rPr>
  </w:style>
  <w:style w:type="character" w:customStyle="1" w:styleId="Normal12HangingChar">
    <w:name w:val="Normal12Hanging Char"/>
    <w:link w:val="Normal12Hanging"/>
    <w:rsid w:val="00062400"/>
    <w:rPr>
      <w:sz w:val="24"/>
    </w:rPr>
  </w:style>
  <w:style w:type="paragraph" w:customStyle="1" w:styleId="NormalTabs">
    <w:name w:val="NormalTabs"/>
    <w:basedOn w:val="Normal"/>
    <w:qFormat/>
    <w:rsid w:val="00FD2F25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9C44-B787-43C7-8BFA-4753AF87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973CB0CA.dotm</Template>
  <TotalTime>0</TotalTime>
  <Pages>13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PR_Dec_Agencies</vt:lpstr>
    </vt:vector>
  </TitlesOfParts>
  <Company/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PR_Dec_Agencies</dc:title>
  <dc:subject/>
  <dc:creator>CONINCKX Catherine</dc:creator>
  <cp:keywords/>
  <dc:description/>
  <cp:lastModifiedBy>SERBAN Monica</cp:lastModifiedBy>
  <cp:revision>2</cp:revision>
  <cp:lastPrinted>2018-01-25T13:12:00Z</cp:lastPrinted>
  <dcterms:created xsi:type="dcterms:W3CDTF">2018-04-11T13:16:00Z</dcterms:created>
  <dcterms:modified xsi:type="dcterms:W3CDTF">2018-04-11T13:16:00Z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9.2.0 Build [20171110]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1149312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\\eiciBRUpr1\pdocep$\DocEP\DOCS\General\PR\PR_BUD\DEC\PR_DEC_Agencies.dot(27/09/2017 17:25:48)</vt:lpwstr>
  </property>
  <property fmtid="{D5CDD505-2E9C-101B-9397-08002B2CF9AE}" pid="7" name="&lt;ModelTra&gt;">
    <vt:lpwstr>\\eiciBRUpr1\pdocep$\DocEP\TRANSFIL\EN\PR_DEC_Agencies.EN(27/09/2017 17:22:14)</vt:lpwstr>
  </property>
  <property fmtid="{D5CDD505-2E9C-101B-9397-08002B2CF9AE}" pid="8" name="&lt;Model&gt;">
    <vt:lpwstr>PR_DEC_Agencies</vt:lpwstr>
  </property>
  <property fmtid="{D5CDD505-2E9C-101B-9397-08002B2CF9AE}" pid="9" name="FooterPath">
    <vt:lpwstr>RR\1149312RO.docx</vt:lpwstr>
  </property>
  <property fmtid="{D5CDD505-2E9C-101B-9397-08002B2CF9AE}" pid="10" name="PE number">
    <vt:lpwstr>613.459</vt:lpwstr>
  </property>
  <property fmtid="{D5CDD505-2E9C-101B-9397-08002B2CF9AE}" pid="11" name="SubscribeElise">
    <vt:lpwstr/>
  </property>
  <property fmtid="{D5CDD505-2E9C-101B-9397-08002B2CF9AE}" pid="12" name="SendToEpades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  <property fmtid="{D5CDD505-2E9C-101B-9397-08002B2CF9AE}" pid="15" name="Bookout">
    <vt:lpwstr>OK - 2018/04/11 15:16</vt:lpwstr>
  </property>
</Properties>
</file>