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B0CA5" w14:paraId="3BE983FE" w14:textId="77777777" w:rsidTr="006F7907">
        <w:trPr>
          <w:trHeight w:hRule="exact" w:val="1418"/>
        </w:trPr>
        <w:tc>
          <w:tcPr>
            <w:tcW w:w="6804" w:type="dxa"/>
            <w:shd w:val="clear" w:color="auto" w:fill="auto"/>
            <w:vAlign w:val="center"/>
          </w:tcPr>
          <w:p w14:paraId="3D456F76" w14:textId="77777777" w:rsidR="006F7907" w:rsidRPr="00EB0CA5" w:rsidRDefault="00877B3D" w:rsidP="00FD1DEF">
            <w:pPr>
              <w:pStyle w:val="EPName"/>
              <w:rPr>
                <w:color w:val="auto"/>
              </w:rPr>
            </w:pPr>
            <w:r w:rsidRPr="00EB0CA5">
              <w:rPr>
                <w:color w:val="auto"/>
              </w:rPr>
              <w:t>Parlament Europejski</w:t>
            </w:r>
          </w:p>
          <w:p w14:paraId="2BD1C933" w14:textId="77777777" w:rsidR="006F7907" w:rsidRPr="00EB0CA5" w:rsidRDefault="005D24A2" w:rsidP="005D24A2">
            <w:pPr>
              <w:pStyle w:val="EPTerm"/>
              <w:rPr>
                <w:rStyle w:val="HideTWBExt"/>
                <w:noProof w:val="0"/>
                <w:vanish w:val="0"/>
                <w:color w:val="auto"/>
              </w:rPr>
            </w:pPr>
            <w:r w:rsidRPr="00EB0CA5">
              <w:t>2014-2019</w:t>
            </w:r>
          </w:p>
        </w:tc>
        <w:tc>
          <w:tcPr>
            <w:tcW w:w="2268" w:type="dxa"/>
            <w:shd w:val="clear" w:color="auto" w:fill="auto"/>
          </w:tcPr>
          <w:p w14:paraId="2A20805F" w14:textId="1A33DC91" w:rsidR="006F7907" w:rsidRPr="00EB0CA5" w:rsidRDefault="00F1091D" w:rsidP="00896BB4">
            <w:pPr>
              <w:pStyle w:val="EPLogo"/>
            </w:pPr>
            <w:r w:rsidRPr="00EB0CA5">
              <w:drawing>
                <wp:inline distT="0" distB="0" distL="0" distR="0" wp14:anchorId="65506B2E" wp14:editId="2BEC102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8798C0E" w14:textId="77777777" w:rsidR="00461601" w:rsidRPr="00EB0CA5" w:rsidRDefault="00461601" w:rsidP="00461601">
      <w:pPr>
        <w:pStyle w:val="LineTop"/>
      </w:pPr>
    </w:p>
    <w:p w14:paraId="39FEB453" w14:textId="16C442BE" w:rsidR="00461601" w:rsidRPr="00EB0CA5" w:rsidRDefault="0013180C" w:rsidP="00461601">
      <w:pPr>
        <w:pStyle w:val="ZCommittee"/>
      </w:pPr>
      <w:r w:rsidRPr="00EB0CA5">
        <w:t>Dokument z posiedzenia</w:t>
      </w:r>
    </w:p>
    <w:p w14:paraId="7B58B9AD" w14:textId="77777777" w:rsidR="00461601" w:rsidRPr="00EB0CA5" w:rsidRDefault="00461601" w:rsidP="00461601">
      <w:pPr>
        <w:pStyle w:val="LineBottom"/>
      </w:pPr>
    </w:p>
    <w:p w14:paraId="15D826C6" w14:textId="22FE2E14" w:rsidR="00793EA9" w:rsidRPr="00EB0CA5" w:rsidRDefault="0013180C">
      <w:pPr>
        <w:pStyle w:val="RefProc"/>
      </w:pPr>
      <w:r w:rsidRPr="00EB0CA5">
        <w:rPr>
          <w:rStyle w:val="HideTWBExt"/>
          <w:noProof w:val="0"/>
          <w:color w:val="auto"/>
        </w:rPr>
        <w:t>&lt;NoDocSe&gt;</w:t>
      </w:r>
      <w:r w:rsidRPr="00EB0CA5">
        <w:t>A8-0094/2018</w:t>
      </w:r>
      <w:r w:rsidRPr="00EB0CA5">
        <w:rPr>
          <w:rStyle w:val="HideTWBExt"/>
          <w:noProof w:val="0"/>
          <w:color w:val="auto"/>
        </w:rPr>
        <w:t>&lt;/NoDocSe&gt;</w:t>
      </w:r>
    </w:p>
    <w:p w14:paraId="20543666" w14:textId="08D1B684" w:rsidR="00793EA9" w:rsidRPr="00EB0CA5" w:rsidRDefault="00793EA9">
      <w:pPr>
        <w:pStyle w:val="ZDate"/>
      </w:pPr>
      <w:r w:rsidRPr="00EB0CA5">
        <w:rPr>
          <w:rStyle w:val="HideTWBExt"/>
          <w:noProof w:val="0"/>
          <w:color w:val="auto"/>
        </w:rPr>
        <w:t>&lt;Date&gt;</w:t>
      </w:r>
      <w:r w:rsidRPr="00EB0CA5">
        <w:rPr>
          <w:rStyle w:val="HideTWBInt"/>
          <w:color w:val="auto"/>
        </w:rPr>
        <w:t>{23/03/2018}</w:t>
      </w:r>
      <w:r w:rsidRPr="00EB0CA5">
        <w:t>23.3.2018</w:t>
      </w:r>
      <w:r w:rsidRPr="00EB0CA5">
        <w:rPr>
          <w:rStyle w:val="HideTWBExt"/>
          <w:noProof w:val="0"/>
          <w:color w:val="auto"/>
        </w:rPr>
        <w:t>&lt;/Date&gt;</w:t>
      </w:r>
    </w:p>
    <w:p w14:paraId="59B7B0EF" w14:textId="77777777" w:rsidR="00793EA9" w:rsidRPr="00EB0CA5" w:rsidRDefault="00793EA9">
      <w:pPr>
        <w:pStyle w:val="StarsAndIs"/>
      </w:pPr>
      <w:r w:rsidRPr="00EB0CA5">
        <w:rPr>
          <w:rStyle w:val="HideTWBExt"/>
          <w:b w:val="0"/>
          <w:noProof w:val="0"/>
          <w:color w:val="auto"/>
        </w:rPr>
        <w:t>&lt;RefProcLect&gt;</w:t>
      </w:r>
      <w:r w:rsidRPr="00EB0CA5">
        <w:t>***I</w:t>
      </w:r>
      <w:r w:rsidRPr="00EB0CA5">
        <w:rPr>
          <w:rStyle w:val="HideTWBExt"/>
          <w:b w:val="0"/>
          <w:noProof w:val="0"/>
          <w:color w:val="auto"/>
        </w:rPr>
        <w:t>&lt;/RefProcLect&gt;</w:t>
      </w:r>
    </w:p>
    <w:p w14:paraId="770B9E68" w14:textId="4709378C" w:rsidR="00793EA9" w:rsidRPr="00EB0CA5" w:rsidRDefault="00793EA9">
      <w:pPr>
        <w:pStyle w:val="TypeDoc"/>
      </w:pPr>
      <w:r w:rsidRPr="00EB0CA5">
        <w:rPr>
          <w:rStyle w:val="HideTWBExt"/>
          <w:b w:val="0"/>
          <w:noProof w:val="0"/>
          <w:color w:val="auto"/>
        </w:rPr>
        <w:t>&lt;TitreType&gt;</w:t>
      </w:r>
      <w:r w:rsidRPr="00EB0CA5">
        <w:t>SPRAWOZDANIE</w:t>
      </w:r>
      <w:r w:rsidRPr="00EB0CA5">
        <w:rPr>
          <w:rStyle w:val="HideTWBExt"/>
          <w:b w:val="0"/>
          <w:noProof w:val="0"/>
          <w:color w:val="auto"/>
        </w:rPr>
        <w:t>&lt;/TitreType&gt;</w:t>
      </w:r>
    </w:p>
    <w:p w14:paraId="13C8F6F7" w14:textId="4AEB5FEE" w:rsidR="00793EA9" w:rsidRPr="00EB0CA5" w:rsidRDefault="00793EA9">
      <w:pPr>
        <w:pStyle w:val="CoverNormal"/>
      </w:pPr>
      <w:r w:rsidRPr="00EB0CA5">
        <w:rPr>
          <w:rStyle w:val="HideTWBExt"/>
          <w:noProof w:val="0"/>
          <w:color w:val="auto"/>
        </w:rPr>
        <w:t>&lt;Titre&gt;</w:t>
      </w:r>
      <w:r w:rsidRPr="00EB0CA5">
        <w:t>w sprawie wniosku dotyczącego rozporządzenia Parlamentu Europejskiego i Rady w sprawie europejskiej statystyki gospodarczej, zmieniającego rozporządzenie (WE) nr 184/2005 i uchylającego 10 aktów prawnych w dziedzinie statystyki gospodarczej</w:t>
      </w:r>
      <w:r w:rsidRPr="00EB0CA5">
        <w:rPr>
          <w:rStyle w:val="HideTWBExt"/>
          <w:noProof w:val="0"/>
          <w:color w:val="auto"/>
        </w:rPr>
        <w:t>&lt;/Titre&gt;</w:t>
      </w:r>
    </w:p>
    <w:p w14:paraId="1FB72CE3" w14:textId="676B3E2B" w:rsidR="00793EA9" w:rsidRPr="00EB0CA5" w:rsidRDefault="00793EA9">
      <w:pPr>
        <w:pStyle w:val="Cover24"/>
      </w:pPr>
      <w:r w:rsidRPr="00EB0CA5">
        <w:rPr>
          <w:rStyle w:val="HideTWBExt"/>
          <w:noProof w:val="0"/>
          <w:color w:val="auto"/>
        </w:rPr>
        <w:t>&lt;DocRef&gt;</w:t>
      </w:r>
      <w:r w:rsidRPr="00EB0CA5">
        <w:t>(COM(2017)0114 – C8-0099/2017 – 2017/0048(COD))</w:t>
      </w:r>
      <w:r w:rsidRPr="00EB0CA5">
        <w:rPr>
          <w:rStyle w:val="HideTWBExt"/>
          <w:noProof w:val="0"/>
          <w:color w:val="auto"/>
        </w:rPr>
        <w:t>&lt;/DocRef&gt;</w:t>
      </w:r>
    </w:p>
    <w:p w14:paraId="5141BB0F" w14:textId="77777777" w:rsidR="00793EA9" w:rsidRPr="00EB0CA5" w:rsidRDefault="00793EA9">
      <w:pPr>
        <w:pStyle w:val="Cover24"/>
      </w:pPr>
      <w:r w:rsidRPr="00EB0CA5">
        <w:rPr>
          <w:rStyle w:val="HideTWBExt"/>
          <w:noProof w:val="0"/>
          <w:color w:val="auto"/>
        </w:rPr>
        <w:t>&lt;Commission&gt;</w:t>
      </w:r>
      <w:r w:rsidRPr="00EB0CA5">
        <w:rPr>
          <w:rStyle w:val="HideTWBInt"/>
          <w:color w:val="auto"/>
        </w:rPr>
        <w:t>{ITRE}</w:t>
      </w:r>
      <w:r w:rsidRPr="00EB0CA5">
        <w:t>Komisja Przemysłu, Badań Naukowych i Energii</w:t>
      </w:r>
      <w:r w:rsidRPr="00EB0CA5">
        <w:rPr>
          <w:rStyle w:val="HideTWBExt"/>
          <w:noProof w:val="0"/>
          <w:color w:val="auto"/>
        </w:rPr>
        <w:t>&lt;/Commission&gt;</w:t>
      </w:r>
    </w:p>
    <w:p w14:paraId="61B209EF" w14:textId="77777777" w:rsidR="00793EA9" w:rsidRPr="00EB0CA5" w:rsidRDefault="00877B3D">
      <w:pPr>
        <w:pStyle w:val="Cover24"/>
      </w:pPr>
      <w:r w:rsidRPr="00EB0CA5">
        <w:t xml:space="preserve">Sprawozdawca: </w:t>
      </w:r>
      <w:r w:rsidRPr="00EB0CA5">
        <w:rPr>
          <w:rStyle w:val="HideTWBExt"/>
          <w:noProof w:val="0"/>
          <w:color w:val="auto"/>
        </w:rPr>
        <w:t>&lt;Depute&gt;</w:t>
      </w:r>
      <w:r w:rsidRPr="00EB0CA5">
        <w:t>Janusz Lewandowski</w:t>
      </w:r>
      <w:r w:rsidRPr="00EB0CA5">
        <w:rPr>
          <w:rStyle w:val="HideTWBExt"/>
          <w:noProof w:val="0"/>
          <w:color w:val="auto"/>
        </w:rPr>
        <w:t>&lt;/Depute&gt;</w:t>
      </w:r>
    </w:p>
    <w:p w14:paraId="15FECA93" w14:textId="77777777" w:rsidR="00793EA9" w:rsidRPr="00EB0CA5" w:rsidRDefault="00793EA9" w:rsidP="00187008">
      <w:pPr>
        <w:widowControl/>
        <w:tabs>
          <w:tab w:val="center" w:pos="4677"/>
        </w:tabs>
      </w:pPr>
      <w:r w:rsidRPr="00EB0CA5">
        <w:br w:type="page"/>
      </w:r>
      <w:bookmarkStart w:id="0" w:name="DocEPTmpStart"/>
      <w:bookmarkEnd w:id="0"/>
    </w:p>
    <w:p w14:paraId="6AAE1981" w14:textId="59B305A8" w:rsidR="005D24A2" w:rsidRPr="00EB0CA5" w:rsidRDefault="00D07935">
      <w:r w:rsidRPr="00EB0CA5">
        <w:lastRenderedPageBreak/>
        <w:fldChar w:fldCharType="begin"/>
      </w:r>
      <w:r w:rsidRPr="00EB0CA5">
        <w:instrText xml:space="preserve"> TITLE  \* MERGEFORMAT </w:instrText>
      </w:r>
      <w:r w:rsidRPr="00EB0CA5">
        <w:fldChar w:fldCharType="separate"/>
      </w:r>
      <w:r>
        <w:t>PR_COD_1amCom</w:t>
      </w:r>
      <w:r w:rsidRPr="00EB0CA5">
        <w:fldChar w:fldCharType="end"/>
      </w:r>
    </w:p>
    <w:p w14:paraId="34155B3B" w14:textId="77777777" w:rsidR="005D24A2" w:rsidRPr="00EB0CA5" w:rsidRDefault="005D24A2"/>
    <w:p w14:paraId="543E1399" w14:textId="77777777" w:rsidR="00B86361" w:rsidRPr="00EB0CA5" w:rsidRDefault="00B86361" w:rsidP="00B86361">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14:paraId="6C82A667" w14:textId="77777777" w:rsidR="00B86361" w:rsidRPr="00EB0CA5" w:rsidRDefault="00B86361" w:rsidP="00B86361">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B0CA5" w:rsidRPr="00EB0CA5" w14:paraId="2A5AF972" w14:textId="77777777" w:rsidTr="00D3448F">
        <w:tc>
          <w:tcPr>
            <w:tcW w:w="5811" w:type="dxa"/>
          </w:tcPr>
          <w:p w14:paraId="6B36A4BE" w14:textId="77777777" w:rsidR="00B86361" w:rsidRPr="00EB0CA5" w:rsidRDefault="00B86361" w:rsidP="00D3448F">
            <w:pPr>
              <w:pStyle w:val="Lgendetitre"/>
            </w:pPr>
            <w:r w:rsidRPr="00EB0CA5">
              <w:t>Objaśnienie używanych znaków</w:t>
            </w:r>
          </w:p>
        </w:tc>
      </w:tr>
      <w:tr w:rsidR="00B86361" w:rsidRPr="00EB0CA5" w14:paraId="4648DE6A" w14:textId="77777777" w:rsidTr="00D3448F">
        <w:trPr>
          <w:cantSplit/>
          <w:trHeight w:val="1949"/>
        </w:trPr>
        <w:tc>
          <w:tcPr>
            <w:tcW w:w="5811" w:type="dxa"/>
            <w:tcBorders>
              <w:bottom w:val="single" w:sz="4" w:space="0" w:color="auto"/>
            </w:tcBorders>
          </w:tcPr>
          <w:p w14:paraId="7F205DF5" w14:textId="77777777" w:rsidR="00B86361" w:rsidRPr="00EB0CA5" w:rsidRDefault="00B86361" w:rsidP="00D3448F">
            <w:pPr>
              <w:pStyle w:val="Lgendesigne"/>
            </w:pPr>
            <w:r w:rsidRPr="00EB0CA5">
              <w:tab/>
              <w:t>*</w:t>
            </w:r>
            <w:r w:rsidRPr="00EB0CA5">
              <w:tab/>
              <w:t>Procedura konsultacji</w:t>
            </w:r>
            <w:r w:rsidRPr="00EB0CA5">
              <w:tab/>
            </w:r>
          </w:p>
          <w:p w14:paraId="17C16E27" w14:textId="77777777" w:rsidR="00B86361" w:rsidRPr="00EB0CA5" w:rsidRDefault="00B86361" w:rsidP="00D3448F">
            <w:pPr>
              <w:pStyle w:val="Lgendesigne"/>
            </w:pPr>
            <w:r w:rsidRPr="00EB0CA5">
              <w:tab/>
              <w:t>***</w:t>
            </w:r>
            <w:r w:rsidRPr="00EB0CA5">
              <w:tab/>
              <w:t>Procedura zgody</w:t>
            </w:r>
          </w:p>
          <w:p w14:paraId="72AB823E" w14:textId="77777777" w:rsidR="00B86361" w:rsidRPr="00EB0CA5" w:rsidRDefault="00B86361" w:rsidP="00D3448F">
            <w:pPr>
              <w:pStyle w:val="Lgendesigne"/>
            </w:pPr>
            <w:r w:rsidRPr="00EB0CA5">
              <w:tab/>
              <w:t>***I</w:t>
            </w:r>
            <w:r w:rsidRPr="00EB0CA5">
              <w:tab/>
              <w:t>Zwykła procedura ustawodawcza (pierwsze czytanie)</w:t>
            </w:r>
          </w:p>
          <w:p w14:paraId="38B06794" w14:textId="77777777" w:rsidR="00B86361" w:rsidRPr="00EB0CA5" w:rsidRDefault="00B86361" w:rsidP="00D3448F">
            <w:pPr>
              <w:pStyle w:val="Lgendesigne"/>
            </w:pPr>
            <w:r w:rsidRPr="00EB0CA5">
              <w:tab/>
              <w:t>***II</w:t>
            </w:r>
            <w:r w:rsidRPr="00EB0CA5">
              <w:tab/>
              <w:t>Zwykła procedura ustawodawcza (drugie czytanie)</w:t>
            </w:r>
          </w:p>
          <w:p w14:paraId="628277B3" w14:textId="77777777" w:rsidR="00B86361" w:rsidRPr="00EB0CA5" w:rsidRDefault="00B86361" w:rsidP="00D3448F">
            <w:pPr>
              <w:pStyle w:val="Lgendesigne"/>
            </w:pPr>
            <w:r w:rsidRPr="00EB0CA5">
              <w:tab/>
              <w:t>***III</w:t>
            </w:r>
            <w:r w:rsidRPr="00EB0CA5">
              <w:tab/>
              <w:t>Zwykła procedura ustawodawcza (trzecie czytanie)</w:t>
            </w:r>
            <w:r w:rsidRPr="00EB0CA5">
              <w:br/>
            </w:r>
          </w:p>
          <w:p w14:paraId="4236ED30" w14:textId="77777777" w:rsidR="00B86361" w:rsidRPr="00EB0CA5" w:rsidRDefault="00B86361" w:rsidP="00D3448F">
            <w:pPr>
              <w:pStyle w:val="Lgendestandard"/>
            </w:pPr>
            <w:r w:rsidRPr="00EB0CA5">
              <w:t>(Wskazana procedura opiera się na podstawie prawnej zaproponowanej w projekcie aktu)</w:t>
            </w:r>
          </w:p>
          <w:p w14:paraId="50361823" w14:textId="77777777" w:rsidR="00B86361" w:rsidRPr="00EB0CA5" w:rsidRDefault="00B86361" w:rsidP="00D3448F">
            <w:pPr>
              <w:pStyle w:val="Lgendestandard"/>
            </w:pPr>
          </w:p>
        </w:tc>
      </w:tr>
    </w:tbl>
    <w:p w14:paraId="74897154" w14:textId="77777777" w:rsidR="00B86361" w:rsidRPr="00EB0CA5" w:rsidRDefault="00B86361" w:rsidP="00B86361"/>
    <w:p w14:paraId="57CDA823" w14:textId="77777777" w:rsidR="00B86361" w:rsidRPr="00EB0CA5" w:rsidRDefault="00B86361" w:rsidP="00B86361"/>
    <w:p w14:paraId="07B8340A" w14:textId="77777777" w:rsidR="00B86361" w:rsidRPr="00EB0CA5" w:rsidRDefault="00B86361" w:rsidP="00B8636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B0CA5" w:rsidRPr="00EB0CA5" w14:paraId="64E47DF0" w14:textId="77777777" w:rsidTr="00D3448F">
        <w:tc>
          <w:tcPr>
            <w:tcW w:w="5811" w:type="dxa"/>
          </w:tcPr>
          <w:p w14:paraId="40B117A2" w14:textId="77777777" w:rsidR="00B86361" w:rsidRPr="00EB0CA5" w:rsidRDefault="00B86361" w:rsidP="00D3448F">
            <w:pPr>
              <w:pStyle w:val="Lgendetitre"/>
            </w:pPr>
            <w:r w:rsidRPr="00EB0CA5">
              <w:t>Poprawki do projektu aktu</w:t>
            </w:r>
          </w:p>
        </w:tc>
      </w:tr>
      <w:tr w:rsidR="00B86361" w:rsidRPr="00EB0CA5" w14:paraId="20B1B9F3" w14:textId="77777777" w:rsidTr="00D3448F">
        <w:tc>
          <w:tcPr>
            <w:tcW w:w="5811" w:type="dxa"/>
          </w:tcPr>
          <w:p w14:paraId="2CC04318" w14:textId="77777777" w:rsidR="00B86361" w:rsidRPr="00EB0CA5" w:rsidRDefault="00B86361" w:rsidP="00D3448F">
            <w:pPr>
              <w:pStyle w:val="Lgendestandard"/>
            </w:pPr>
          </w:p>
          <w:p w14:paraId="66DAC090" w14:textId="77777777" w:rsidR="00B86361" w:rsidRPr="00EB0CA5" w:rsidRDefault="00B86361" w:rsidP="00D3448F">
            <w:pPr>
              <w:pStyle w:val="Lgendestandard"/>
              <w:rPr>
                <w:szCs w:val="18"/>
              </w:rPr>
            </w:pPr>
            <w:r w:rsidRPr="00EB0CA5">
              <w:rPr>
                <w:b/>
              </w:rPr>
              <w:t>Poprawki Parlamentu w postaci dwóch kolumn</w:t>
            </w:r>
          </w:p>
          <w:p w14:paraId="711A5423" w14:textId="77777777" w:rsidR="00B86361" w:rsidRPr="00EB0CA5" w:rsidRDefault="00B86361" w:rsidP="00D3448F">
            <w:pPr>
              <w:pStyle w:val="Lgendestandard"/>
              <w:rPr>
                <w:szCs w:val="18"/>
              </w:rPr>
            </w:pPr>
          </w:p>
          <w:p w14:paraId="1A1ABE46" w14:textId="77777777" w:rsidR="00B86361" w:rsidRPr="00EB0CA5" w:rsidRDefault="00B86361" w:rsidP="00D3448F">
            <w:pPr>
              <w:pStyle w:val="Lgendestandard"/>
              <w:rPr>
                <w:szCs w:val="18"/>
              </w:rPr>
            </w:pPr>
            <w:r w:rsidRPr="00EB0CA5">
              <w:t>Skreślenia zaznacza się wytłuszczonym drukiem i kursywą w lewej kolumnie. Zmianę brzmienia zaznacza się wytłuszczonym drukiem i kursywą w obu kolumnach. Nowy tekst zaznacza się wytłuszczonym drukiem i kursywą w prawej kolumnie.</w:t>
            </w:r>
          </w:p>
          <w:p w14:paraId="0F024B24" w14:textId="77777777" w:rsidR="00B86361" w:rsidRPr="00EB0CA5" w:rsidRDefault="00B86361" w:rsidP="00D3448F">
            <w:pPr>
              <w:pStyle w:val="Lgendestandard"/>
            </w:pPr>
          </w:p>
          <w:p w14:paraId="66095108" w14:textId="77777777" w:rsidR="00B86361" w:rsidRPr="00EB0CA5" w:rsidRDefault="00B86361" w:rsidP="00D3448F">
            <w:pPr>
              <w:pStyle w:val="Lgendestandard"/>
            </w:pPr>
            <w:r w:rsidRPr="00EB0CA5">
              <w:t xml:space="preserve">Pierwszy i drugi wiersz nagłówka każdej poprawki wskazuje element rozpatrywanego projektu aktu, którego dotyczy poprawka. Jeżeli poprawka odnosi się do obowiązującego aktu, do którego zmiany zmierza projekt aktu, nagłówek zawiera dodatkowo trzeci wiersz wskazujący obowiązujący akt i czwarty wiersz wskazujący przepis tego aktu, którego dotyczy poprawka. </w:t>
            </w:r>
          </w:p>
          <w:p w14:paraId="0E769F83" w14:textId="77777777" w:rsidR="00B86361" w:rsidRPr="00EB0CA5" w:rsidRDefault="00B86361" w:rsidP="00D3448F">
            <w:pPr>
              <w:pStyle w:val="Lgendestandard"/>
            </w:pPr>
          </w:p>
          <w:p w14:paraId="77D224E0" w14:textId="77777777" w:rsidR="00B86361" w:rsidRPr="00EB0CA5" w:rsidRDefault="00B86361" w:rsidP="00D3448F">
            <w:pPr>
              <w:pStyle w:val="Lgendestandard"/>
              <w:rPr>
                <w:b/>
                <w:szCs w:val="18"/>
              </w:rPr>
            </w:pPr>
            <w:r w:rsidRPr="00EB0CA5">
              <w:rPr>
                <w:b/>
                <w:szCs w:val="18"/>
              </w:rPr>
              <w:t>Poprawki Parlamentu w postaci tekstu skonsolidowanego</w:t>
            </w:r>
          </w:p>
          <w:p w14:paraId="53DD9FBB" w14:textId="77777777" w:rsidR="00B86361" w:rsidRPr="00EB0CA5" w:rsidRDefault="00B86361" w:rsidP="00D3448F">
            <w:pPr>
              <w:pStyle w:val="Lgendestandard"/>
              <w:rPr>
                <w:szCs w:val="18"/>
              </w:rPr>
            </w:pPr>
          </w:p>
          <w:p w14:paraId="7845BA99" w14:textId="77777777" w:rsidR="00B86361" w:rsidRPr="00EB0CA5" w:rsidRDefault="00B86361" w:rsidP="00D3448F">
            <w:pPr>
              <w:pStyle w:val="Lgendestandard"/>
              <w:rPr>
                <w:szCs w:val="18"/>
              </w:rPr>
            </w:pPr>
            <w:r w:rsidRPr="00EB0CA5">
              <w:t xml:space="preserve">Nowe fragmenty tekstu zaznacza się </w:t>
            </w:r>
            <w:r w:rsidRPr="00EB0CA5">
              <w:rPr>
                <w:b/>
                <w:i/>
              </w:rPr>
              <w:t>wytłuszczonym drukiem i kursywą</w:t>
            </w:r>
            <w:r w:rsidRPr="00EB0CA5">
              <w:t xml:space="preserve">. Fragmenty tekstu, które zostały skreślone, zaznacza się za pomocą symbolu ▌ lub przekreśla. Zmianę brzmienia zaznacza się przez wyróżnienie nowego tekstu </w:t>
            </w:r>
            <w:r w:rsidRPr="00EB0CA5">
              <w:rPr>
                <w:b/>
                <w:i/>
              </w:rPr>
              <w:t>wytłuszczonym drukiem i kursywą</w:t>
            </w:r>
            <w:r w:rsidRPr="00EB0CA5">
              <w:t xml:space="preserve"> i usunięcie lub przekreślenie zastąpionego tekstu. </w:t>
            </w:r>
          </w:p>
          <w:p w14:paraId="26146E7A" w14:textId="77777777" w:rsidR="00B86361" w:rsidRPr="00EB0CA5" w:rsidRDefault="00B86361" w:rsidP="00D3448F">
            <w:pPr>
              <w:pStyle w:val="Lgendestandard"/>
            </w:pPr>
            <w:r w:rsidRPr="00EB0CA5">
              <w:t>Tytułem wyjątku nie zaznacza się zmian o charakterze ściśle technicznym wprowadzonych przez służby w celu opracowania końcowej wersji tekstu.</w:t>
            </w:r>
          </w:p>
          <w:p w14:paraId="78DF1190" w14:textId="77777777" w:rsidR="00B86361" w:rsidRPr="00EB0CA5" w:rsidRDefault="00B86361" w:rsidP="00D3448F">
            <w:pPr>
              <w:pStyle w:val="Lgendestandard"/>
            </w:pPr>
          </w:p>
        </w:tc>
      </w:tr>
    </w:tbl>
    <w:p w14:paraId="5D3763D6" w14:textId="77777777" w:rsidR="00B86361" w:rsidRPr="00EB0CA5" w:rsidRDefault="00B86361" w:rsidP="00B86361">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14:paraId="30FDEA4D" w14:textId="77777777" w:rsidR="00B86361" w:rsidRPr="00EB0CA5" w:rsidRDefault="00B86361" w:rsidP="00B86361">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14:paraId="1812527C" w14:textId="77777777" w:rsidR="00B86361" w:rsidRPr="00EB0CA5" w:rsidRDefault="00B86361" w:rsidP="00B86361">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14:paraId="11F30F9B" w14:textId="77777777" w:rsidR="00B86361" w:rsidRPr="00EB0CA5" w:rsidRDefault="00B86361" w:rsidP="00B86361">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14:paraId="4D8A00DE" w14:textId="77777777" w:rsidR="00793EA9" w:rsidRPr="00EB0CA5" w:rsidRDefault="00793EA9">
      <w:pPr>
        <w:pStyle w:val="TOCHeading"/>
      </w:pPr>
      <w:r w:rsidRPr="00EB0CA5">
        <w:br w:type="page"/>
      </w:r>
      <w:r w:rsidRPr="00EB0CA5">
        <w:lastRenderedPageBreak/>
        <w:t>SPIS TREŚCI</w:t>
      </w:r>
    </w:p>
    <w:p w14:paraId="425025FB" w14:textId="77777777" w:rsidR="00793EA9" w:rsidRPr="00EB0CA5" w:rsidRDefault="00877B3D">
      <w:pPr>
        <w:pStyle w:val="TOCPage"/>
      </w:pPr>
      <w:r w:rsidRPr="00EB0CA5">
        <w:t>Strona</w:t>
      </w:r>
    </w:p>
    <w:p w14:paraId="012EA6B6" w14:textId="77777777" w:rsidR="00D07935" w:rsidRDefault="001767E2">
      <w:pPr>
        <w:pStyle w:val="TOC1"/>
        <w:tabs>
          <w:tab w:val="right" w:leader="dot" w:pos="9060"/>
        </w:tabs>
        <w:rPr>
          <w:rFonts w:asciiTheme="minorHAnsi" w:eastAsiaTheme="minorEastAsia" w:hAnsiTheme="minorHAnsi" w:cstheme="minorBidi"/>
          <w:noProof/>
          <w:sz w:val="22"/>
          <w:szCs w:val="22"/>
          <w:lang w:val="en-GB"/>
        </w:rPr>
      </w:pPr>
      <w:r w:rsidRPr="00EB0CA5">
        <w:rPr>
          <w:b/>
        </w:rPr>
        <w:fldChar w:fldCharType="begin"/>
      </w:r>
      <w:r w:rsidRPr="00EB0CA5">
        <w:rPr>
          <w:b/>
        </w:rPr>
        <w:instrText xml:space="preserve"> TOC \t "PageHeading</w:instrText>
      </w:r>
      <w:r w:rsidR="004C0954" w:rsidRPr="00EB0CA5">
        <w:rPr>
          <w:b/>
        </w:rPr>
        <w:instrText>;</w:instrText>
      </w:r>
      <w:r w:rsidRPr="00EB0CA5">
        <w:rPr>
          <w:b/>
        </w:rPr>
        <w:instrText xml:space="preserve">1" </w:instrText>
      </w:r>
      <w:r w:rsidRPr="00EB0CA5">
        <w:rPr>
          <w:b/>
        </w:rPr>
        <w:fldChar w:fldCharType="separate"/>
      </w:r>
      <w:r w:rsidR="00D07935">
        <w:rPr>
          <w:noProof/>
        </w:rPr>
        <w:t>PROJEKT REZOLUCJI USTAWODAWCZEJ PARLAMENTU EUROPEJSKIEGO</w:t>
      </w:r>
      <w:r w:rsidR="00D07935">
        <w:rPr>
          <w:noProof/>
        </w:rPr>
        <w:tab/>
      </w:r>
      <w:r w:rsidR="00D07935">
        <w:rPr>
          <w:noProof/>
        </w:rPr>
        <w:fldChar w:fldCharType="begin"/>
      </w:r>
      <w:r w:rsidR="00D07935">
        <w:rPr>
          <w:noProof/>
        </w:rPr>
        <w:instrText xml:space="preserve"> PAGEREF _Toc511312529 \h </w:instrText>
      </w:r>
      <w:r w:rsidR="00D07935">
        <w:rPr>
          <w:noProof/>
        </w:rPr>
      </w:r>
      <w:r w:rsidR="00D07935">
        <w:rPr>
          <w:noProof/>
        </w:rPr>
        <w:fldChar w:fldCharType="separate"/>
      </w:r>
      <w:r w:rsidR="00D07935">
        <w:rPr>
          <w:noProof/>
        </w:rPr>
        <w:t>5</w:t>
      </w:r>
      <w:r w:rsidR="00D07935">
        <w:rPr>
          <w:noProof/>
        </w:rPr>
        <w:fldChar w:fldCharType="end"/>
      </w:r>
    </w:p>
    <w:p w14:paraId="75BE3CBA" w14:textId="77777777" w:rsidR="00D07935" w:rsidRDefault="00D07935">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_Toc511312530 \h </w:instrText>
      </w:r>
      <w:r>
        <w:rPr>
          <w:noProof/>
        </w:rPr>
      </w:r>
      <w:r>
        <w:rPr>
          <w:noProof/>
        </w:rPr>
        <w:fldChar w:fldCharType="separate"/>
      </w:r>
      <w:r>
        <w:rPr>
          <w:noProof/>
        </w:rPr>
        <w:t>31</w:t>
      </w:r>
      <w:r>
        <w:rPr>
          <w:noProof/>
        </w:rPr>
        <w:fldChar w:fldCharType="end"/>
      </w:r>
    </w:p>
    <w:p w14:paraId="1E2C96A5" w14:textId="77777777" w:rsidR="00D07935" w:rsidRDefault="00D07935">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_Toc511312531 \h </w:instrText>
      </w:r>
      <w:r>
        <w:rPr>
          <w:noProof/>
        </w:rPr>
      </w:r>
      <w:r>
        <w:rPr>
          <w:noProof/>
        </w:rPr>
        <w:fldChar w:fldCharType="separate"/>
      </w:r>
      <w:r>
        <w:rPr>
          <w:noProof/>
        </w:rPr>
        <w:t>32</w:t>
      </w:r>
      <w:r>
        <w:rPr>
          <w:noProof/>
        </w:rPr>
        <w:fldChar w:fldCharType="end"/>
      </w:r>
    </w:p>
    <w:p w14:paraId="2F9C0CB0" w14:textId="77777777" w:rsidR="00D07935" w:rsidRDefault="00D07935">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_Toc511312532 \h </w:instrText>
      </w:r>
      <w:r>
        <w:rPr>
          <w:noProof/>
        </w:rPr>
      </w:r>
      <w:r>
        <w:rPr>
          <w:noProof/>
        </w:rPr>
        <w:fldChar w:fldCharType="separate"/>
      </w:r>
      <w:r>
        <w:rPr>
          <w:noProof/>
        </w:rPr>
        <w:t>33</w:t>
      </w:r>
      <w:r>
        <w:rPr>
          <w:noProof/>
        </w:rPr>
        <w:fldChar w:fldCharType="end"/>
      </w:r>
    </w:p>
    <w:p w14:paraId="0065D053" w14:textId="07A22B72" w:rsidR="00793EA9" w:rsidRPr="00EB0CA5" w:rsidRDefault="001767E2" w:rsidP="002346B0">
      <w:r w:rsidRPr="00EB0CA5">
        <w:rPr>
          <w:b/>
        </w:rPr>
        <w:fldChar w:fldCharType="end"/>
      </w:r>
    </w:p>
    <w:p w14:paraId="5CF59EA6" w14:textId="77777777" w:rsidR="002346B0" w:rsidRPr="00EB0CA5" w:rsidRDefault="002346B0" w:rsidP="002346B0"/>
    <w:p w14:paraId="55D41D5F" w14:textId="77777777" w:rsidR="002346B0" w:rsidRPr="00EB0CA5" w:rsidRDefault="002346B0">
      <w:pPr>
        <w:pStyle w:val="PageHeading"/>
      </w:pPr>
    </w:p>
    <w:p w14:paraId="4577B049" w14:textId="77777777" w:rsidR="00793EA9" w:rsidRPr="00EB0CA5" w:rsidRDefault="00793EA9">
      <w:pPr>
        <w:pStyle w:val="PageHeading"/>
      </w:pPr>
      <w:r w:rsidRPr="00EB0CA5">
        <w:br w:type="page"/>
      </w:r>
      <w:r w:rsidRPr="00EB0CA5">
        <w:lastRenderedPageBreak/>
        <w:br w:type="page"/>
      </w:r>
      <w:bookmarkStart w:id="1" w:name="_Toc511312529"/>
      <w:r w:rsidRPr="00EB0CA5">
        <w:lastRenderedPageBreak/>
        <w:t>PROJEKT REZOLUCJI USTAWODAWCZEJ PARLAMENTU EUROPEJSKIEGO</w:t>
      </w:r>
      <w:bookmarkEnd w:id="1"/>
    </w:p>
    <w:p w14:paraId="1BB2B424" w14:textId="77777777" w:rsidR="00793EA9" w:rsidRPr="00EB0CA5" w:rsidRDefault="00877B3D">
      <w:pPr>
        <w:pStyle w:val="NormalBold"/>
      </w:pPr>
      <w:r w:rsidRPr="00EB0CA5">
        <w:t>w sprawie wniosku dotyczącego rozporządzenia Parlamentu Europejskiego i Rady w sprawie europejskiej statystyki gospodarczej, zmieniającego rozporządzenie (WE) nr 184/2005 i uchylającego 10 aktów prawnych w dziedzinie statystyki gospodarczej</w:t>
      </w:r>
    </w:p>
    <w:p w14:paraId="31B597D4" w14:textId="74C89929" w:rsidR="00793EA9" w:rsidRPr="00EB0CA5" w:rsidRDefault="00877B3D">
      <w:pPr>
        <w:pStyle w:val="Normal12Bold"/>
      </w:pPr>
      <w:r w:rsidRPr="00EB0CA5">
        <w:t>(COM(2017)0114 – C8-0099/2017 – 2017/0048(COD))</w:t>
      </w:r>
    </w:p>
    <w:p w14:paraId="1E8E762F" w14:textId="77777777" w:rsidR="00793EA9" w:rsidRPr="00EB0CA5" w:rsidRDefault="00877B3D">
      <w:pPr>
        <w:pStyle w:val="Normal12Bold"/>
      </w:pPr>
      <w:r w:rsidRPr="00EB0CA5">
        <w:t>(Zwykła procedura ustawodawcza: pierwsze czytanie)</w:t>
      </w:r>
    </w:p>
    <w:p w14:paraId="5A58BE91" w14:textId="77777777" w:rsidR="00793EA9" w:rsidRPr="00EB0CA5" w:rsidRDefault="00877B3D">
      <w:pPr>
        <w:pStyle w:val="Normal12"/>
      </w:pPr>
      <w:r w:rsidRPr="00EB0CA5">
        <w:rPr>
          <w:i/>
        </w:rPr>
        <w:t>Parlament Europejski</w:t>
      </w:r>
      <w:r w:rsidRPr="00EB0CA5">
        <w:t>,</w:t>
      </w:r>
    </w:p>
    <w:p w14:paraId="1993A42F" w14:textId="77777777" w:rsidR="00793EA9" w:rsidRPr="00EB0CA5" w:rsidRDefault="00793EA9">
      <w:pPr>
        <w:pStyle w:val="Normal12Hanging"/>
      </w:pPr>
      <w:r w:rsidRPr="00EB0CA5">
        <w:t>–</w:t>
      </w:r>
      <w:r w:rsidRPr="00EB0CA5">
        <w:tab/>
        <w:t>uwzględniając wniosek Komisji przedstawiony Parlamentowi Europejskiemu i Radzie (COM(2017)0114),</w:t>
      </w:r>
    </w:p>
    <w:p w14:paraId="500E5AF1" w14:textId="36FE652D" w:rsidR="00793EA9" w:rsidRPr="00EB0CA5" w:rsidRDefault="00793EA9">
      <w:pPr>
        <w:pStyle w:val="Normal12Hanging"/>
      </w:pPr>
      <w:r w:rsidRPr="00EB0CA5">
        <w:t>–</w:t>
      </w:r>
      <w:r w:rsidRPr="00EB0CA5">
        <w:tab/>
        <w:t>uwzględniając art. 294 ust. 2 oraz art. 338 ust. 1 Traktatu o funkcjonowaniu Unii Europejskiej, zgodnie z którymi wniosek został przedstawiony Parlamentowi przez Komisję (C8-0099/2017),</w:t>
      </w:r>
    </w:p>
    <w:p w14:paraId="51C3AE69" w14:textId="77777777" w:rsidR="00A26F46" w:rsidRPr="00EB0CA5" w:rsidRDefault="00A26F46" w:rsidP="00A26F46">
      <w:pPr>
        <w:pStyle w:val="Normal12Hanging"/>
      </w:pPr>
      <w:r w:rsidRPr="00EB0CA5">
        <w:t>–</w:t>
      </w:r>
      <w:r w:rsidRPr="00EB0CA5">
        <w:tab/>
        <w:t>uwzględniając art. 294 ust. 3 Traktatu o funkcjonowaniu Unii Europejskiej,</w:t>
      </w:r>
    </w:p>
    <w:p w14:paraId="5B06CA55" w14:textId="2D5BFF03" w:rsidR="00793EA9" w:rsidRPr="00EB0CA5" w:rsidRDefault="00793EA9">
      <w:pPr>
        <w:pStyle w:val="Normal12Hanging"/>
      </w:pPr>
      <w:r w:rsidRPr="00EB0CA5">
        <w:t>–</w:t>
      </w:r>
      <w:r w:rsidRPr="00EB0CA5">
        <w:tab/>
        <w:t>uwzględniając art. 59 Regulaminu,</w:t>
      </w:r>
    </w:p>
    <w:p w14:paraId="2E8D1711" w14:textId="3D40541A" w:rsidR="00793EA9" w:rsidRPr="00EB0CA5" w:rsidRDefault="00793EA9">
      <w:pPr>
        <w:pStyle w:val="Normal12Hanging"/>
      </w:pPr>
      <w:r w:rsidRPr="00EB0CA5">
        <w:t>–</w:t>
      </w:r>
      <w:r w:rsidRPr="00EB0CA5">
        <w:tab/>
        <w:t>uwzględniając sprawozdanie Komisji Przemysłu, Badań Naukowych i Energii (A8-0094/2018),</w:t>
      </w:r>
    </w:p>
    <w:p w14:paraId="75BAA823" w14:textId="77777777" w:rsidR="009F6C2F" w:rsidRPr="00EB0CA5" w:rsidRDefault="009F6C2F" w:rsidP="009F6C2F">
      <w:pPr>
        <w:pStyle w:val="Normal12Hanging"/>
      </w:pPr>
      <w:r w:rsidRPr="00EB0CA5">
        <w:t>1.</w:t>
      </w:r>
      <w:r w:rsidRPr="00EB0CA5">
        <w:tab/>
        <w:t>przyjmuje poniższe stanowisko w pierwszym czytaniu;</w:t>
      </w:r>
    </w:p>
    <w:p w14:paraId="14D13310" w14:textId="77777777" w:rsidR="001A030F" w:rsidRPr="00EB0CA5" w:rsidRDefault="001A030F" w:rsidP="001A030F">
      <w:pPr>
        <w:pStyle w:val="Normal12Hanging"/>
      </w:pPr>
      <w:r w:rsidRPr="00EB0CA5">
        <w:t>2.</w:t>
      </w:r>
      <w:r w:rsidRPr="00EB0CA5">
        <w:tab/>
        <w:t>zwraca się do Komisji o ponowne przekazanie mu sprawy, jeśli zastąpi ona pierwotny wniosek, wprowadzi w nim istotne zmiany lub planuje ich wprowadzenie;</w:t>
      </w:r>
    </w:p>
    <w:p w14:paraId="38A0B977" w14:textId="77777777" w:rsidR="001A030F" w:rsidRPr="00EB0CA5" w:rsidRDefault="001A030F" w:rsidP="001A030F">
      <w:pPr>
        <w:pStyle w:val="Normal12Hanging"/>
      </w:pPr>
      <w:r w:rsidRPr="00EB0CA5">
        <w:t>3.</w:t>
      </w:r>
      <w:r w:rsidRPr="00EB0CA5">
        <w:tab/>
        <w:t>zobowiązuje swojego przewodniczącego do przekazania stanowiska Parlamentu Radzie i Komisji oraz parlamentom narodowym.</w:t>
      </w:r>
    </w:p>
    <w:p w14:paraId="08F7DD1B" w14:textId="77777777" w:rsidR="008E0B4F" w:rsidRPr="00EB0CA5" w:rsidRDefault="008E0B4F" w:rsidP="008E0B4F">
      <w:pPr>
        <w:pStyle w:val="AMNumberTabs"/>
        <w:keepNext/>
      </w:pPr>
      <w:r w:rsidRPr="00EB0CA5">
        <w:rPr>
          <w:rStyle w:val="HideTWBExt"/>
          <w:b w:val="0"/>
          <w:noProof w:val="0"/>
          <w:color w:val="auto"/>
        </w:rPr>
        <w:t>&lt;RepeatBlock-Amend&gt;&lt;Amend&gt;</w:t>
      </w:r>
      <w:r w:rsidRPr="00EB0CA5">
        <w:t>Poprawka</w:t>
      </w:r>
      <w:r w:rsidRPr="00EB0CA5">
        <w:tab/>
      </w:r>
      <w:r w:rsidRPr="00EB0CA5">
        <w:tab/>
      </w:r>
      <w:r w:rsidRPr="00EB0CA5">
        <w:rPr>
          <w:rStyle w:val="HideTWBExt"/>
          <w:b w:val="0"/>
          <w:noProof w:val="0"/>
          <w:color w:val="auto"/>
        </w:rPr>
        <w:t>&lt;NumAm&gt;</w:t>
      </w:r>
      <w:r w:rsidRPr="00EB0CA5">
        <w:t>1</w:t>
      </w:r>
      <w:r w:rsidRPr="00EB0CA5">
        <w:rPr>
          <w:rStyle w:val="HideTWBExt"/>
          <w:b w:val="0"/>
          <w:noProof w:val="0"/>
          <w:color w:val="auto"/>
        </w:rPr>
        <w:t>&lt;/NumAm&gt;</w:t>
      </w:r>
    </w:p>
    <w:p w14:paraId="27EA043D"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7B1712D" w14:textId="77777777" w:rsidR="008E0B4F" w:rsidRPr="00EB0CA5" w:rsidRDefault="008E0B4F" w:rsidP="008E0B4F">
      <w:pPr>
        <w:pStyle w:val="NormalBold"/>
      </w:pPr>
      <w:r w:rsidRPr="00EB0CA5">
        <w:rPr>
          <w:rStyle w:val="HideTWBExt"/>
          <w:b w:val="0"/>
          <w:noProof w:val="0"/>
          <w:color w:val="auto"/>
        </w:rPr>
        <w:t>&lt;Article&gt;</w:t>
      </w:r>
      <w:r w:rsidRPr="00EB0CA5">
        <w:t>Motyw 3 a (nowy)</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024A8215" w14:textId="77777777" w:rsidTr="008E0B4F">
        <w:trPr>
          <w:jc w:val="center"/>
        </w:trPr>
        <w:tc>
          <w:tcPr>
            <w:tcW w:w="9752" w:type="dxa"/>
            <w:gridSpan w:val="2"/>
          </w:tcPr>
          <w:p w14:paraId="4D4F9D18" w14:textId="77777777" w:rsidR="008E0B4F" w:rsidRPr="00EB0CA5" w:rsidRDefault="008E0B4F">
            <w:pPr>
              <w:keepNext/>
            </w:pPr>
          </w:p>
        </w:tc>
      </w:tr>
      <w:tr w:rsidR="00EB0CA5" w:rsidRPr="00EB0CA5" w14:paraId="3BF5B61D" w14:textId="77777777" w:rsidTr="008E0B4F">
        <w:trPr>
          <w:jc w:val="center"/>
        </w:trPr>
        <w:tc>
          <w:tcPr>
            <w:tcW w:w="4876" w:type="dxa"/>
            <w:hideMark/>
          </w:tcPr>
          <w:p w14:paraId="7F6D035E" w14:textId="77777777" w:rsidR="008E0B4F" w:rsidRPr="00EB0CA5" w:rsidRDefault="008E0B4F">
            <w:pPr>
              <w:pStyle w:val="ColumnHeading"/>
              <w:keepNext/>
            </w:pPr>
            <w:r w:rsidRPr="00EB0CA5">
              <w:t>Tekst proponowany przez Komisję</w:t>
            </w:r>
          </w:p>
        </w:tc>
        <w:tc>
          <w:tcPr>
            <w:tcW w:w="4876" w:type="dxa"/>
            <w:hideMark/>
          </w:tcPr>
          <w:p w14:paraId="14271FA5" w14:textId="77777777" w:rsidR="008E0B4F" w:rsidRPr="00EB0CA5" w:rsidRDefault="008E0B4F">
            <w:pPr>
              <w:pStyle w:val="ColumnHeading"/>
              <w:keepNext/>
            </w:pPr>
            <w:r w:rsidRPr="00EB0CA5">
              <w:t>Poprawka</w:t>
            </w:r>
          </w:p>
        </w:tc>
      </w:tr>
      <w:tr w:rsidR="00EB0CA5" w:rsidRPr="00EB0CA5" w14:paraId="5AA61519" w14:textId="77777777" w:rsidTr="008E0B4F">
        <w:trPr>
          <w:jc w:val="center"/>
        </w:trPr>
        <w:tc>
          <w:tcPr>
            <w:tcW w:w="4876" w:type="dxa"/>
          </w:tcPr>
          <w:p w14:paraId="5C5840B6" w14:textId="77777777" w:rsidR="008E0B4F" w:rsidRPr="00EB0CA5" w:rsidRDefault="008E0B4F">
            <w:pPr>
              <w:pStyle w:val="Normal6"/>
            </w:pPr>
          </w:p>
        </w:tc>
        <w:tc>
          <w:tcPr>
            <w:tcW w:w="4876" w:type="dxa"/>
            <w:hideMark/>
          </w:tcPr>
          <w:p w14:paraId="40B77F94" w14:textId="781B6B06" w:rsidR="008E0B4F" w:rsidRPr="00EB0CA5" w:rsidRDefault="008E0B4F" w:rsidP="000322BD">
            <w:pPr>
              <w:pStyle w:val="Normal6"/>
              <w:rPr>
                <w:szCs w:val="24"/>
              </w:rPr>
            </w:pPr>
            <w:r w:rsidRPr="00EB0CA5">
              <w:rPr>
                <w:b/>
                <w:i/>
              </w:rPr>
              <w:t>(3a)</w:t>
            </w:r>
            <w:r w:rsidRPr="00EB0CA5">
              <w:rPr>
                <w:b/>
                <w:i/>
              </w:rPr>
              <w:tab/>
              <w:t>Dla europejskiej statystyki gospodarczej istotne są wytyczne unijne takie jak zalecenie Komisji 2003/361/WE</w:t>
            </w:r>
            <w:r w:rsidRPr="00EB0CA5">
              <w:rPr>
                <w:b/>
                <w:i/>
                <w:vertAlign w:val="superscript"/>
              </w:rPr>
              <w:t>1a</w:t>
            </w:r>
            <w:r w:rsidRPr="00EB0CA5">
              <w:rPr>
                <w:b/>
                <w:i/>
              </w:rPr>
              <w:t>. Potrzebna jest jasna i zharmonizowana definicja przedsiębiorstwa, aby zwiększyć pewność prawa i przewidywalność działalności gospodarczej oraz stworzyć równe warunki działania dla unijnych MŚP.</w:t>
            </w:r>
          </w:p>
        </w:tc>
      </w:tr>
      <w:tr w:rsidR="00EB0CA5" w:rsidRPr="00EB0CA5" w14:paraId="1BE83E70" w14:textId="77777777" w:rsidTr="008E0B4F">
        <w:trPr>
          <w:jc w:val="center"/>
        </w:trPr>
        <w:tc>
          <w:tcPr>
            <w:tcW w:w="4876" w:type="dxa"/>
          </w:tcPr>
          <w:p w14:paraId="30845319" w14:textId="77777777" w:rsidR="008B4092" w:rsidRPr="00EB0CA5" w:rsidRDefault="008B4092">
            <w:pPr>
              <w:pStyle w:val="Normal6"/>
            </w:pPr>
          </w:p>
        </w:tc>
        <w:tc>
          <w:tcPr>
            <w:tcW w:w="4876" w:type="dxa"/>
          </w:tcPr>
          <w:p w14:paraId="5F74B8F3" w14:textId="77777777" w:rsidR="008B4092" w:rsidRPr="00EB0CA5" w:rsidRDefault="008B4092" w:rsidP="008B4092">
            <w:pPr>
              <w:pStyle w:val="Normal6"/>
              <w:rPr>
                <w:b/>
                <w:i/>
              </w:rPr>
            </w:pPr>
            <w:r w:rsidRPr="00EB0CA5">
              <w:rPr>
                <w:b/>
                <w:i/>
              </w:rPr>
              <w:t>______________________</w:t>
            </w:r>
          </w:p>
        </w:tc>
      </w:tr>
      <w:tr w:rsidR="00EB0CA5" w:rsidRPr="00EB0CA5" w14:paraId="32EEB50E" w14:textId="77777777" w:rsidTr="008E0B4F">
        <w:trPr>
          <w:jc w:val="center"/>
        </w:trPr>
        <w:tc>
          <w:tcPr>
            <w:tcW w:w="4876" w:type="dxa"/>
          </w:tcPr>
          <w:p w14:paraId="37B00157" w14:textId="77777777" w:rsidR="008B4092" w:rsidRPr="00EB0CA5" w:rsidRDefault="008B4092">
            <w:pPr>
              <w:pStyle w:val="Normal6"/>
            </w:pPr>
          </w:p>
        </w:tc>
        <w:tc>
          <w:tcPr>
            <w:tcW w:w="4876" w:type="dxa"/>
          </w:tcPr>
          <w:p w14:paraId="76303859" w14:textId="77777777" w:rsidR="008B4092" w:rsidRPr="00EB0CA5" w:rsidRDefault="008B4092" w:rsidP="008B4092">
            <w:pPr>
              <w:pStyle w:val="Normal6"/>
              <w:rPr>
                <w:b/>
                <w:i/>
              </w:rPr>
            </w:pPr>
            <w:r w:rsidRPr="00EB0CA5">
              <w:rPr>
                <w:b/>
                <w:i/>
                <w:vertAlign w:val="superscript"/>
              </w:rPr>
              <w:t>1a.</w:t>
            </w:r>
            <w:r w:rsidRPr="00EB0CA5">
              <w:rPr>
                <w:b/>
                <w:i/>
              </w:rPr>
              <w:t xml:space="preserve"> Zalecenie Komisji dotyczące definicji mikroprzedsiębiorstw oraz małych i średnich przedsiębiorstw (2003/361/WE), (Dz.U. L 124 z 20.5.2003, s. 36).</w:t>
            </w:r>
          </w:p>
        </w:tc>
      </w:tr>
    </w:tbl>
    <w:p w14:paraId="694177AB" w14:textId="77777777" w:rsidR="008E0B4F" w:rsidRPr="00EB0CA5" w:rsidRDefault="008E0B4F" w:rsidP="008E0B4F">
      <w:pPr>
        <w:rPr>
          <w:szCs w:val="24"/>
        </w:rPr>
      </w:pPr>
      <w:r w:rsidRPr="00EB0CA5">
        <w:rPr>
          <w:rStyle w:val="HideTWBExt"/>
          <w:noProof w:val="0"/>
          <w:color w:val="auto"/>
        </w:rPr>
        <w:t>&lt;/Amend&gt;</w:t>
      </w:r>
    </w:p>
    <w:p w14:paraId="5232629A" w14:textId="4EE5BBB7" w:rsidR="00913968" w:rsidRPr="00EB0CA5" w:rsidRDefault="00913968" w:rsidP="00913968">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w:t>
      </w:r>
      <w:r w:rsidRPr="00EB0CA5">
        <w:rPr>
          <w:rStyle w:val="HideTWBExt"/>
          <w:b w:val="0"/>
          <w:noProof w:val="0"/>
          <w:color w:val="auto"/>
        </w:rPr>
        <w:t>&lt;/NumAm&gt;</w:t>
      </w:r>
    </w:p>
    <w:p w14:paraId="71FD7D71" w14:textId="77777777" w:rsidR="00913968" w:rsidRPr="00EB0CA5" w:rsidRDefault="00913968" w:rsidP="00913968">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4C24D8A" w14:textId="77777777" w:rsidR="00913968" w:rsidRPr="00EB0CA5" w:rsidRDefault="00913968" w:rsidP="00913968">
      <w:pPr>
        <w:pStyle w:val="NormalBold"/>
        <w:keepNext/>
      </w:pPr>
      <w:r w:rsidRPr="00EB0CA5">
        <w:rPr>
          <w:rStyle w:val="HideTWBExt"/>
          <w:b w:val="0"/>
          <w:noProof w:val="0"/>
          <w:color w:val="auto"/>
        </w:rPr>
        <w:t>&lt;Article&gt;</w:t>
      </w:r>
      <w:r w:rsidRPr="00EB0CA5">
        <w:t>Motyw 5</w:t>
      </w:r>
      <w:r w:rsidRPr="00EB0CA5">
        <w:rPr>
          <w:rStyle w:val="HideTWBExt"/>
          <w:b w:val="0"/>
          <w:noProof w:val="0"/>
          <w:color w:val="auto"/>
        </w:rPr>
        <w:t>&lt;/Article&gt;</w:t>
      </w:r>
    </w:p>
    <w:p w14:paraId="4D2579C7" w14:textId="77777777" w:rsidR="00913968" w:rsidRPr="00EB0CA5" w:rsidRDefault="00913968" w:rsidP="0091396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54DDEFE0" w14:textId="77777777" w:rsidTr="00D5541D">
        <w:trPr>
          <w:jc w:val="center"/>
        </w:trPr>
        <w:tc>
          <w:tcPr>
            <w:tcW w:w="9752" w:type="dxa"/>
            <w:gridSpan w:val="2"/>
          </w:tcPr>
          <w:p w14:paraId="31BDAE8C" w14:textId="77777777" w:rsidR="00913968" w:rsidRPr="00EB0CA5" w:rsidRDefault="00913968" w:rsidP="00D5541D">
            <w:pPr>
              <w:keepNext/>
            </w:pPr>
          </w:p>
        </w:tc>
      </w:tr>
      <w:tr w:rsidR="00EB0CA5" w:rsidRPr="00EB0CA5" w14:paraId="0FB02082" w14:textId="77777777" w:rsidTr="00D5541D">
        <w:trPr>
          <w:jc w:val="center"/>
        </w:trPr>
        <w:tc>
          <w:tcPr>
            <w:tcW w:w="4876" w:type="dxa"/>
          </w:tcPr>
          <w:p w14:paraId="614834FF" w14:textId="77777777" w:rsidR="00913968" w:rsidRPr="00EB0CA5" w:rsidRDefault="00913968" w:rsidP="00D5541D">
            <w:pPr>
              <w:pStyle w:val="ColumnHeading"/>
              <w:keepNext/>
            </w:pPr>
            <w:r w:rsidRPr="00EB0CA5">
              <w:t>Tekst proponowany przez Komisję</w:t>
            </w:r>
          </w:p>
        </w:tc>
        <w:tc>
          <w:tcPr>
            <w:tcW w:w="4876" w:type="dxa"/>
          </w:tcPr>
          <w:p w14:paraId="2A260590" w14:textId="77777777" w:rsidR="00913968" w:rsidRPr="00EB0CA5" w:rsidRDefault="00913968" w:rsidP="00D5541D">
            <w:pPr>
              <w:pStyle w:val="ColumnHeading"/>
              <w:keepNext/>
            </w:pPr>
            <w:r w:rsidRPr="00EB0CA5">
              <w:t>Poprawka</w:t>
            </w:r>
          </w:p>
        </w:tc>
      </w:tr>
      <w:tr w:rsidR="00EB0CA5" w:rsidRPr="00EB0CA5" w14:paraId="722DCC6D" w14:textId="77777777" w:rsidTr="00D5541D">
        <w:trPr>
          <w:jc w:val="center"/>
        </w:trPr>
        <w:tc>
          <w:tcPr>
            <w:tcW w:w="4876" w:type="dxa"/>
          </w:tcPr>
          <w:p w14:paraId="72DBE1BB" w14:textId="77777777" w:rsidR="00913968" w:rsidRPr="00EB0CA5" w:rsidRDefault="00913968" w:rsidP="00D5541D">
            <w:pPr>
              <w:pStyle w:val="Normal6"/>
            </w:pPr>
            <w:r w:rsidRPr="00EB0CA5">
              <w:t>(5)</w:t>
            </w:r>
            <w:r w:rsidRPr="00EB0CA5">
              <w:tab/>
              <w:t>Obciążenie administracyjne małych i średnich przedsiębiorstw powinno być możliwie jak najbardziej zmniejszone poprzez uwzględnienie w największym możliwym zakresie innych źródeł danych niż badania. W celu zmniejszenia obciążenia przedsiębiorstw powinna istnieć możliwość ustalania różnych wymogów dotyczących danych w zależności od wielkości i znaczenia przedsiębiorstw państw członkowskich.</w:t>
            </w:r>
          </w:p>
        </w:tc>
        <w:tc>
          <w:tcPr>
            <w:tcW w:w="4876" w:type="dxa"/>
          </w:tcPr>
          <w:p w14:paraId="786FC036" w14:textId="77777777" w:rsidR="00913968" w:rsidRPr="00EB0CA5" w:rsidRDefault="00913968" w:rsidP="00D5541D">
            <w:pPr>
              <w:pStyle w:val="Normal6"/>
              <w:rPr>
                <w:szCs w:val="24"/>
              </w:rPr>
            </w:pPr>
            <w:r w:rsidRPr="00EB0CA5">
              <w:t>(5)</w:t>
            </w:r>
            <w:r w:rsidRPr="00EB0CA5">
              <w:tab/>
              <w:t xml:space="preserve">Obciążenie administracyjne </w:t>
            </w:r>
            <w:r w:rsidRPr="00EB0CA5">
              <w:rPr>
                <w:b/>
                <w:i/>
              </w:rPr>
              <w:t xml:space="preserve">przedsiębiorstw, a w szczególności </w:t>
            </w:r>
            <w:r w:rsidRPr="00EB0CA5">
              <w:t>małych i średnich przedsiębiorstw powinno być możliwie jak najbardziej zmniejszone poprzez uwzględnienie w największym możliwym zakresie innych źródeł danych niż badania. W celu zmniejszenia obciążenia przedsiębiorstw powinna istnieć możliwość ustalania różnych wymogów dotyczących danych w zależności od wielkości i znaczenia przedsiębiorstw państw członkowskich.</w:t>
            </w:r>
          </w:p>
        </w:tc>
      </w:tr>
    </w:tbl>
    <w:p w14:paraId="620878B1" w14:textId="77777777" w:rsidR="00913968" w:rsidRPr="00EB0CA5" w:rsidRDefault="00913968" w:rsidP="00913968">
      <w:r w:rsidRPr="00EB0CA5">
        <w:rPr>
          <w:rStyle w:val="HideTWBExt"/>
          <w:noProof w:val="0"/>
          <w:color w:val="auto"/>
        </w:rPr>
        <w:t>&lt;/Amend&gt;</w:t>
      </w:r>
    </w:p>
    <w:p w14:paraId="0F98C1B4" w14:textId="5E5F431B"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w:t>
      </w:r>
      <w:r w:rsidRPr="00EB0CA5">
        <w:rPr>
          <w:rStyle w:val="HideTWBExt"/>
          <w:b w:val="0"/>
          <w:noProof w:val="0"/>
          <w:color w:val="auto"/>
        </w:rPr>
        <w:t>&lt;/NumAm&gt;</w:t>
      </w:r>
    </w:p>
    <w:p w14:paraId="724BBD0D"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EA0916F" w14:textId="77777777" w:rsidR="008E0B4F" w:rsidRPr="00EB0CA5" w:rsidRDefault="008E0B4F" w:rsidP="008E0B4F">
      <w:pPr>
        <w:pStyle w:val="NormalBold"/>
      </w:pPr>
      <w:r w:rsidRPr="00EB0CA5">
        <w:rPr>
          <w:rStyle w:val="HideTWBExt"/>
          <w:b w:val="0"/>
          <w:noProof w:val="0"/>
          <w:color w:val="auto"/>
        </w:rPr>
        <w:t>&lt;Article&gt;</w:t>
      </w:r>
      <w:r w:rsidRPr="00EB0CA5">
        <w:t>Motyw 20 a (nowy)</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5D60EA22" w14:textId="77777777" w:rsidTr="008E0B4F">
        <w:trPr>
          <w:jc w:val="center"/>
        </w:trPr>
        <w:tc>
          <w:tcPr>
            <w:tcW w:w="9752" w:type="dxa"/>
            <w:gridSpan w:val="2"/>
          </w:tcPr>
          <w:p w14:paraId="50F836F3" w14:textId="77777777" w:rsidR="008E0B4F" w:rsidRPr="00EB0CA5" w:rsidRDefault="008E0B4F">
            <w:pPr>
              <w:keepNext/>
            </w:pPr>
          </w:p>
        </w:tc>
      </w:tr>
      <w:tr w:rsidR="00EB0CA5" w:rsidRPr="00EB0CA5" w14:paraId="01589BE3" w14:textId="77777777" w:rsidTr="008E0B4F">
        <w:trPr>
          <w:jc w:val="center"/>
        </w:trPr>
        <w:tc>
          <w:tcPr>
            <w:tcW w:w="4876" w:type="dxa"/>
            <w:hideMark/>
          </w:tcPr>
          <w:p w14:paraId="6A02FCBB" w14:textId="77777777" w:rsidR="008E0B4F" w:rsidRPr="00EB0CA5" w:rsidRDefault="008E0B4F">
            <w:pPr>
              <w:pStyle w:val="ColumnHeading"/>
              <w:keepNext/>
            </w:pPr>
            <w:r w:rsidRPr="00EB0CA5">
              <w:t>Tekst proponowany przez Komisję</w:t>
            </w:r>
          </w:p>
        </w:tc>
        <w:tc>
          <w:tcPr>
            <w:tcW w:w="4876" w:type="dxa"/>
            <w:hideMark/>
          </w:tcPr>
          <w:p w14:paraId="0FA67EBC" w14:textId="77777777" w:rsidR="008E0B4F" w:rsidRPr="00EB0CA5" w:rsidRDefault="008E0B4F">
            <w:pPr>
              <w:pStyle w:val="ColumnHeading"/>
              <w:keepNext/>
            </w:pPr>
            <w:r w:rsidRPr="00EB0CA5">
              <w:t>Poprawka</w:t>
            </w:r>
          </w:p>
        </w:tc>
      </w:tr>
      <w:tr w:rsidR="00EB0CA5" w:rsidRPr="00EB0CA5" w14:paraId="5543D92A" w14:textId="77777777" w:rsidTr="008E0B4F">
        <w:trPr>
          <w:jc w:val="center"/>
        </w:trPr>
        <w:tc>
          <w:tcPr>
            <w:tcW w:w="4876" w:type="dxa"/>
          </w:tcPr>
          <w:p w14:paraId="3F60FFAC" w14:textId="77777777" w:rsidR="008E0B4F" w:rsidRPr="00EB0CA5" w:rsidRDefault="008E0B4F">
            <w:pPr>
              <w:pStyle w:val="Normal6"/>
            </w:pPr>
          </w:p>
        </w:tc>
        <w:tc>
          <w:tcPr>
            <w:tcW w:w="4876" w:type="dxa"/>
            <w:hideMark/>
          </w:tcPr>
          <w:p w14:paraId="073D49C6" w14:textId="079E44AB" w:rsidR="008E0B4F" w:rsidRPr="00EB0CA5" w:rsidRDefault="008E0B4F" w:rsidP="000322BD">
            <w:pPr>
              <w:pStyle w:val="Normal6"/>
              <w:rPr>
                <w:szCs w:val="24"/>
              </w:rPr>
            </w:pPr>
            <w:r w:rsidRPr="00EB0CA5">
              <w:rPr>
                <w:b/>
                <w:i/>
              </w:rPr>
              <w:t>(20a)</w:t>
            </w:r>
            <w:r w:rsidRPr="00EB0CA5">
              <w:rPr>
                <w:b/>
                <w:i/>
              </w:rPr>
              <w:tab/>
              <w:t>Państwa członkowskie lub właściwe organy krajowe powinny dążyć do jak największego uproszczenia procesu zbierania danych statystycznych z przedsiębiorstw europejskich. Podczas opracowywania instrumentów i metod zbierania danych statystycznych w systemie europejskiej statystyki gospodarczej należy uwzględniać najnowsze osiągnięcia w dziedzinie technologii cyfrowych.</w:t>
            </w:r>
          </w:p>
        </w:tc>
      </w:tr>
    </w:tbl>
    <w:p w14:paraId="3C199EEE" w14:textId="77777777" w:rsidR="008E0B4F" w:rsidRPr="00EB0CA5" w:rsidRDefault="008E0B4F" w:rsidP="008E0B4F">
      <w:pPr>
        <w:rPr>
          <w:szCs w:val="24"/>
        </w:rPr>
      </w:pPr>
      <w:r w:rsidRPr="00EB0CA5">
        <w:rPr>
          <w:rStyle w:val="HideTWBExt"/>
          <w:noProof w:val="0"/>
          <w:color w:val="auto"/>
        </w:rPr>
        <w:t>&lt;/Amend&gt;</w:t>
      </w:r>
    </w:p>
    <w:p w14:paraId="79703633" w14:textId="5DBD1023" w:rsidR="00913968" w:rsidRPr="00EB0CA5" w:rsidRDefault="00913968" w:rsidP="00913968">
      <w:pPr>
        <w:pStyle w:val="AMNumberTabs"/>
        <w:keepNext/>
      </w:pPr>
      <w:r w:rsidRPr="00EB0CA5">
        <w:rPr>
          <w:rStyle w:val="HideTWBExt"/>
          <w:b w:val="0"/>
          <w:noProof w:val="0"/>
          <w:color w:val="auto"/>
        </w:rPr>
        <w:lastRenderedPageBreak/>
        <w:t>&lt;Amend&gt;</w:t>
      </w:r>
      <w:r w:rsidRPr="00EB0CA5">
        <w:t>Poprawka</w:t>
      </w:r>
      <w:r w:rsidRPr="00EB0CA5">
        <w:tab/>
      </w:r>
      <w:r w:rsidRPr="00EB0CA5">
        <w:tab/>
      </w:r>
      <w:r w:rsidRPr="00EB0CA5">
        <w:rPr>
          <w:rStyle w:val="HideTWBExt"/>
          <w:b w:val="0"/>
          <w:noProof w:val="0"/>
          <w:color w:val="auto"/>
        </w:rPr>
        <w:t>&lt;NumAm&gt;</w:t>
      </w:r>
      <w:r w:rsidRPr="00EB0CA5">
        <w:t>4</w:t>
      </w:r>
      <w:r w:rsidRPr="00EB0CA5">
        <w:rPr>
          <w:rStyle w:val="HideTWBExt"/>
          <w:b w:val="0"/>
          <w:noProof w:val="0"/>
          <w:color w:val="auto"/>
        </w:rPr>
        <w:t>&lt;/NumAm&gt;</w:t>
      </w:r>
    </w:p>
    <w:p w14:paraId="60DC36AA" w14:textId="77777777" w:rsidR="00913968" w:rsidRPr="00EB0CA5" w:rsidRDefault="00913968" w:rsidP="00913968">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B2A0693" w14:textId="77777777" w:rsidR="00913968" w:rsidRPr="00EB0CA5" w:rsidRDefault="00913968" w:rsidP="00913968">
      <w:pPr>
        <w:pStyle w:val="NormalBold"/>
        <w:keepNext/>
      </w:pPr>
      <w:r w:rsidRPr="00EB0CA5">
        <w:rPr>
          <w:rStyle w:val="HideTWBExt"/>
          <w:b w:val="0"/>
          <w:noProof w:val="0"/>
          <w:color w:val="auto"/>
        </w:rPr>
        <w:t>&lt;Article&gt;</w:t>
      </w:r>
      <w:r w:rsidRPr="00EB0CA5">
        <w:t>Motyw 21</w:t>
      </w:r>
      <w:r w:rsidRPr="00EB0CA5">
        <w:rPr>
          <w:rStyle w:val="HideTWBExt"/>
          <w:b w:val="0"/>
          <w:noProof w:val="0"/>
          <w:color w:val="auto"/>
        </w:rPr>
        <w:t>&lt;/Article&gt;</w:t>
      </w:r>
    </w:p>
    <w:p w14:paraId="164B280C" w14:textId="77777777" w:rsidR="00913968" w:rsidRPr="00EB0CA5" w:rsidRDefault="00913968" w:rsidP="0091396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6B56F41A" w14:textId="77777777" w:rsidTr="00913968">
        <w:trPr>
          <w:jc w:val="center"/>
        </w:trPr>
        <w:tc>
          <w:tcPr>
            <w:tcW w:w="9752" w:type="dxa"/>
            <w:gridSpan w:val="2"/>
          </w:tcPr>
          <w:p w14:paraId="5C4C0489" w14:textId="77777777" w:rsidR="00913968" w:rsidRPr="00EB0CA5" w:rsidRDefault="00913968" w:rsidP="00D5541D">
            <w:pPr>
              <w:keepNext/>
            </w:pPr>
          </w:p>
        </w:tc>
      </w:tr>
      <w:tr w:rsidR="00EB0CA5" w:rsidRPr="00EB0CA5" w14:paraId="63ABAA0B" w14:textId="77777777" w:rsidTr="00913968">
        <w:trPr>
          <w:jc w:val="center"/>
        </w:trPr>
        <w:tc>
          <w:tcPr>
            <w:tcW w:w="4876" w:type="dxa"/>
          </w:tcPr>
          <w:p w14:paraId="01DF7EB6" w14:textId="77777777" w:rsidR="00913968" w:rsidRPr="00EB0CA5" w:rsidRDefault="00913968" w:rsidP="00D5541D">
            <w:pPr>
              <w:pStyle w:val="ColumnHeading"/>
              <w:keepNext/>
            </w:pPr>
            <w:r w:rsidRPr="00EB0CA5">
              <w:t>Tekst proponowany przez Komisję</w:t>
            </w:r>
            <w:bookmarkStart w:id="2" w:name="DocEPTmp2"/>
            <w:bookmarkEnd w:id="2"/>
          </w:p>
        </w:tc>
        <w:tc>
          <w:tcPr>
            <w:tcW w:w="4876" w:type="dxa"/>
          </w:tcPr>
          <w:p w14:paraId="760CC9EE" w14:textId="77777777" w:rsidR="00913968" w:rsidRPr="00EB0CA5" w:rsidRDefault="00913968" w:rsidP="00D5541D">
            <w:pPr>
              <w:pStyle w:val="ColumnHeading"/>
              <w:keepNext/>
            </w:pPr>
            <w:r w:rsidRPr="00EB0CA5">
              <w:t>Poprawka</w:t>
            </w:r>
          </w:p>
        </w:tc>
      </w:tr>
      <w:tr w:rsidR="00EB0CA5" w:rsidRPr="00EB0CA5" w14:paraId="603E6109" w14:textId="77777777" w:rsidTr="00913968">
        <w:trPr>
          <w:jc w:val="center"/>
        </w:trPr>
        <w:tc>
          <w:tcPr>
            <w:tcW w:w="4876" w:type="dxa"/>
          </w:tcPr>
          <w:p w14:paraId="4BA75F35" w14:textId="77777777" w:rsidR="00913968" w:rsidRPr="00EB0CA5" w:rsidRDefault="00913968" w:rsidP="00D5541D">
            <w:pPr>
              <w:pStyle w:val="Normal6"/>
            </w:pPr>
            <w:r w:rsidRPr="00EB0CA5">
              <w:t>(21)</w:t>
            </w:r>
            <w:r w:rsidRPr="00EB0CA5">
              <w:tab/>
              <w:t>Istnieje zapotrzebowanie na statystykę gospodarczą według sektorów działalności, by móc zmierzyć wydajność przedsiębiorstw w Unii. W szczególności istnieje coraz większy popyt na statystykę dotyczącą sektora usług, który jest jednym z najbardziej dynamicznych sektorów nowoczesnej gospodarki, zwłaszcza pod kątem jego potencjału w zakresie wzrostu gospodarczego i tworzenia miejsc pracy, a także w kontekście jego powiązań z sektorem wytwórczym. Statystyki dotyczące handlu usługami są niezbędne do monitorowania funkcjonowania wewnętrznego rynku usług oraz oceny wpływu stosowania barier w handlu usługami.</w:t>
            </w:r>
          </w:p>
        </w:tc>
        <w:tc>
          <w:tcPr>
            <w:tcW w:w="4876" w:type="dxa"/>
          </w:tcPr>
          <w:p w14:paraId="6EFC4DB7" w14:textId="172FA7CC" w:rsidR="00913968" w:rsidRPr="00EB0CA5" w:rsidRDefault="00913968" w:rsidP="008C2525">
            <w:pPr>
              <w:pStyle w:val="Normal6"/>
              <w:rPr>
                <w:szCs w:val="24"/>
              </w:rPr>
            </w:pPr>
            <w:r w:rsidRPr="00EB0CA5">
              <w:t>(21)</w:t>
            </w:r>
            <w:r w:rsidRPr="00EB0CA5">
              <w:tab/>
              <w:t xml:space="preserve">Istnieje zapotrzebowanie na statystykę gospodarczą według sektorów działalności, by móc zmierzyć wydajność przedsiębiorstw w Unii. W szczególności istnieje coraz większy popyt na statystykę dotyczącą sektora usług, który jest jednym z najbardziej dynamicznych sektorów nowoczesnej gospodarki, zwłaszcza pod kątem jego potencjału w zakresie wzrostu gospodarczego i tworzenia miejsc pracy, a także w kontekście jego powiązań z sektorem wytwórczym. </w:t>
            </w:r>
            <w:r w:rsidRPr="00EB0CA5">
              <w:rPr>
                <w:b/>
                <w:i/>
              </w:rPr>
              <w:t>Tendencję tę dodatkowo nasila rozwój nowych usług cyfrowych.</w:t>
            </w:r>
            <w:r w:rsidRPr="00EB0CA5">
              <w:t xml:space="preserve"> </w:t>
            </w:r>
            <w:r w:rsidRPr="00EB0CA5">
              <w:rPr>
                <w:b/>
                <w:i/>
              </w:rPr>
              <w:t>Rosnące zapotrzebowanie na dane statystyczne dotyczy również sektora kultury i sektora kreatywnego, jak stwierdzono w rezolucji Parlamentu Europejskiego w sprawie spójnej polityki UE dla sektora kultury i sektora kreatywnego</w:t>
            </w:r>
            <w:r w:rsidRPr="00EB0CA5">
              <w:rPr>
                <w:b/>
                <w:i/>
                <w:vertAlign w:val="superscript"/>
              </w:rPr>
              <w:t>1a</w:t>
            </w:r>
            <w:r w:rsidRPr="00EB0CA5">
              <w:rPr>
                <w:b/>
                <w:i/>
              </w:rPr>
              <w:t>.</w:t>
            </w:r>
            <w:r w:rsidRPr="00EB0CA5">
              <w:t xml:space="preserve"> Statystyki dotyczące handlu usługami są niezbędne do monitorowania funkcjonowania wewnętrznego rynku usług</w:t>
            </w:r>
            <w:r w:rsidRPr="00EB0CA5">
              <w:rPr>
                <w:b/>
                <w:i/>
              </w:rPr>
              <w:t xml:space="preserve"> i jednolitego rynku treści cyfrowych</w:t>
            </w:r>
            <w:r w:rsidRPr="00EB0CA5">
              <w:t xml:space="preserve"> oraz oceny wpływu stosowania barier w handlu usługami.</w:t>
            </w:r>
          </w:p>
        </w:tc>
      </w:tr>
      <w:tr w:rsidR="00EB0CA5" w:rsidRPr="00EB0CA5" w14:paraId="6BBBDA1C" w14:textId="77777777" w:rsidTr="00913968">
        <w:tblPrEx>
          <w:tblLook w:val="04A0" w:firstRow="1" w:lastRow="0" w:firstColumn="1" w:lastColumn="0" w:noHBand="0" w:noVBand="1"/>
        </w:tblPrEx>
        <w:trPr>
          <w:jc w:val="center"/>
        </w:trPr>
        <w:tc>
          <w:tcPr>
            <w:tcW w:w="4876" w:type="dxa"/>
          </w:tcPr>
          <w:p w14:paraId="4AC89EC2" w14:textId="77777777" w:rsidR="00913968" w:rsidRPr="00EB0CA5" w:rsidRDefault="00913968" w:rsidP="00D5541D">
            <w:pPr>
              <w:pStyle w:val="Normal6"/>
            </w:pPr>
          </w:p>
        </w:tc>
        <w:tc>
          <w:tcPr>
            <w:tcW w:w="4876" w:type="dxa"/>
            <w:hideMark/>
          </w:tcPr>
          <w:p w14:paraId="0D7F67C0" w14:textId="77777777" w:rsidR="00913968" w:rsidRPr="00EB0CA5" w:rsidRDefault="00913968" w:rsidP="00D5541D">
            <w:pPr>
              <w:pStyle w:val="Normal6"/>
              <w:rPr>
                <w:szCs w:val="24"/>
              </w:rPr>
            </w:pPr>
            <w:r w:rsidRPr="00EB0CA5">
              <w:t>__________________</w:t>
            </w:r>
          </w:p>
        </w:tc>
      </w:tr>
      <w:tr w:rsidR="00EB0CA5" w:rsidRPr="00EB0CA5" w14:paraId="51B8953B" w14:textId="77777777" w:rsidTr="00913968">
        <w:tblPrEx>
          <w:tblLook w:val="04A0" w:firstRow="1" w:lastRow="0" w:firstColumn="1" w:lastColumn="0" w:noHBand="0" w:noVBand="1"/>
        </w:tblPrEx>
        <w:trPr>
          <w:jc w:val="center"/>
        </w:trPr>
        <w:tc>
          <w:tcPr>
            <w:tcW w:w="4876" w:type="dxa"/>
          </w:tcPr>
          <w:p w14:paraId="20AB4834" w14:textId="77777777" w:rsidR="00913968" w:rsidRPr="00EB0CA5" w:rsidRDefault="00913968" w:rsidP="00D5541D">
            <w:pPr>
              <w:pStyle w:val="Normal6"/>
            </w:pPr>
          </w:p>
        </w:tc>
        <w:tc>
          <w:tcPr>
            <w:tcW w:w="4876" w:type="dxa"/>
            <w:hideMark/>
          </w:tcPr>
          <w:p w14:paraId="65FDB93F" w14:textId="77777777" w:rsidR="00913968" w:rsidRPr="00EB0CA5" w:rsidRDefault="00913968" w:rsidP="00D5541D">
            <w:pPr>
              <w:pStyle w:val="Normal6"/>
              <w:rPr>
                <w:szCs w:val="24"/>
              </w:rPr>
            </w:pPr>
            <w:r w:rsidRPr="00EB0CA5">
              <w:rPr>
                <w:b/>
                <w:i/>
                <w:vertAlign w:val="superscript"/>
              </w:rPr>
              <w:t>1a</w:t>
            </w:r>
            <w:r w:rsidRPr="00EB0CA5">
              <w:t xml:space="preserve"> </w:t>
            </w:r>
            <w:r w:rsidRPr="00EB0CA5">
              <w:rPr>
                <w:b/>
                <w:i/>
              </w:rPr>
              <w:t>P8_TA-PROV(2016)0486.</w:t>
            </w:r>
          </w:p>
        </w:tc>
      </w:tr>
    </w:tbl>
    <w:p w14:paraId="541D8457" w14:textId="77777777" w:rsidR="00913968" w:rsidRPr="00EB0CA5" w:rsidRDefault="00913968" w:rsidP="00913968">
      <w:pPr>
        <w:rPr>
          <w:rStyle w:val="HideTWBExt"/>
          <w:noProof w:val="0"/>
          <w:color w:val="auto"/>
        </w:rPr>
      </w:pPr>
      <w:r w:rsidRPr="00EB0CA5">
        <w:rPr>
          <w:rStyle w:val="HideTWBExt"/>
          <w:noProof w:val="0"/>
          <w:color w:val="auto"/>
        </w:rPr>
        <w:t>&lt;/Amend&gt;</w:t>
      </w:r>
    </w:p>
    <w:p w14:paraId="3541F16B" w14:textId="1A450531" w:rsidR="00DF3EF3" w:rsidRPr="00EB0CA5" w:rsidRDefault="00DF3EF3" w:rsidP="00DF3EF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w:t>
      </w:r>
      <w:r w:rsidRPr="00EB0CA5">
        <w:rPr>
          <w:rStyle w:val="HideTWBExt"/>
          <w:b w:val="0"/>
          <w:noProof w:val="0"/>
          <w:color w:val="auto"/>
        </w:rPr>
        <w:t>&lt;/NumAm&gt;</w:t>
      </w:r>
    </w:p>
    <w:p w14:paraId="3DD77914" w14:textId="77777777" w:rsidR="00DF3EF3" w:rsidRPr="00EB0CA5" w:rsidRDefault="00DF3EF3" w:rsidP="00DF3EF3">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E4CBAA0" w14:textId="77777777" w:rsidR="00DF3EF3" w:rsidRPr="00EB0CA5" w:rsidRDefault="00DF3EF3" w:rsidP="00DF3EF3">
      <w:pPr>
        <w:pStyle w:val="NormalBold"/>
      </w:pPr>
      <w:r w:rsidRPr="00EB0CA5">
        <w:rPr>
          <w:rStyle w:val="HideTWBExt"/>
          <w:b w:val="0"/>
          <w:noProof w:val="0"/>
          <w:color w:val="auto"/>
        </w:rPr>
        <w:t>&lt;Article&gt;</w:t>
      </w:r>
      <w:r w:rsidRPr="00EB0CA5">
        <w:t>Motyw 22</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11EDC381" w14:textId="77777777" w:rsidTr="00D5541D">
        <w:trPr>
          <w:jc w:val="center"/>
        </w:trPr>
        <w:tc>
          <w:tcPr>
            <w:tcW w:w="9752" w:type="dxa"/>
            <w:gridSpan w:val="2"/>
          </w:tcPr>
          <w:p w14:paraId="30A0551B" w14:textId="77777777" w:rsidR="00DF3EF3" w:rsidRPr="00EB0CA5" w:rsidRDefault="00DF3EF3" w:rsidP="00D5541D">
            <w:pPr>
              <w:keepNext/>
            </w:pPr>
          </w:p>
        </w:tc>
      </w:tr>
      <w:tr w:rsidR="00EB0CA5" w:rsidRPr="00EB0CA5" w14:paraId="6B50A453" w14:textId="77777777" w:rsidTr="00D5541D">
        <w:trPr>
          <w:jc w:val="center"/>
        </w:trPr>
        <w:tc>
          <w:tcPr>
            <w:tcW w:w="4876" w:type="dxa"/>
          </w:tcPr>
          <w:p w14:paraId="6971E568" w14:textId="77777777" w:rsidR="00DF3EF3" w:rsidRPr="00EB0CA5" w:rsidRDefault="00DF3EF3" w:rsidP="00D5541D">
            <w:pPr>
              <w:pStyle w:val="ColumnHeading"/>
              <w:keepNext/>
            </w:pPr>
            <w:r w:rsidRPr="00EB0CA5">
              <w:t>Tekst proponowany przez Komisję</w:t>
            </w:r>
          </w:p>
        </w:tc>
        <w:tc>
          <w:tcPr>
            <w:tcW w:w="4876" w:type="dxa"/>
          </w:tcPr>
          <w:p w14:paraId="517AB3CD" w14:textId="77777777" w:rsidR="00DF3EF3" w:rsidRPr="00EB0CA5" w:rsidRDefault="00DF3EF3" w:rsidP="00D5541D">
            <w:pPr>
              <w:pStyle w:val="ColumnHeading"/>
              <w:keepNext/>
            </w:pPr>
            <w:r w:rsidRPr="00EB0CA5">
              <w:t>Poprawka</w:t>
            </w:r>
          </w:p>
        </w:tc>
      </w:tr>
      <w:tr w:rsidR="00EB0CA5" w:rsidRPr="00EB0CA5" w14:paraId="684BA7D6" w14:textId="77777777" w:rsidTr="00D5541D">
        <w:trPr>
          <w:jc w:val="center"/>
        </w:trPr>
        <w:tc>
          <w:tcPr>
            <w:tcW w:w="4876" w:type="dxa"/>
          </w:tcPr>
          <w:p w14:paraId="0FBCF0BA" w14:textId="77777777" w:rsidR="00DF3EF3" w:rsidRPr="00EB0CA5" w:rsidRDefault="00DF3EF3" w:rsidP="00D5541D">
            <w:pPr>
              <w:pStyle w:val="Normal6"/>
            </w:pPr>
            <w:r w:rsidRPr="00EB0CA5">
              <w:t>(22)</w:t>
            </w:r>
            <w:r w:rsidRPr="00EB0CA5">
              <w:tab/>
              <w:t xml:space="preserve">Monitorowanie postępów w osiąganiu celów określonych w strategii „Europa 2020” na poziomie państw członkowskich i na poziomie Unii wymaga zharmonizowanych statystyk dotyczących </w:t>
            </w:r>
            <w:r w:rsidRPr="00EB0CA5">
              <w:lastRenderedPageBreak/>
              <w:t>gospodarki Unii w zakresie badań i rozwoju, innowacji, społeczeństwa informacyjnego obejmujących zarówno usługi rynkowe, jak i nierynkowe, a także dotyczących otoczenia biznesu jako całości, w szczególności na temat demografii przedsiębiorstw i zatrudnienia związanego z działalnością rynkową. Informacje takie pozwalają podmiotom kształtującym politykę na podejmowanie świadomych decyzji politycznych w celu rozwijania gospodarki opartej na wiedzy i innowacji, poprawy dostępu do jednolitego rynku dla małych i średnich przedsiębiorstw, rozwoju przedsiębiorczości i poprawy konkurencyjności.</w:t>
            </w:r>
          </w:p>
        </w:tc>
        <w:tc>
          <w:tcPr>
            <w:tcW w:w="4876" w:type="dxa"/>
          </w:tcPr>
          <w:p w14:paraId="5E6BCAB0" w14:textId="64E4F899" w:rsidR="00DF3EF3" w:rsidRPr="00EB0CA5" w:rsidRDefault="00DF3EF3" w:rsidP="00D5541D">
            <w:pPr>
              <w:pStyle w:val="Normal6"/>
              <w:rPr>
                <w:szCs w:val="24"/>
              </w:rPr>
            </w:pPr>
            <w:r w:rsidRPr="00EB0CA5">
              <w:lastRenderedPageBreak/>
              <w:t>(22)</w:t>
            </w:r>
            <w:r w:rsidRPr="00EB0CA5">
              <w:tab/>
              <w:t xml:space="preserve">Monitorowanie postępów w osiąganiu celów określonych w strategii „Europa 2020” na poziomie państw członkowskich i na poziomie Unii wymaga zharmonizowanych statystyk dotyczących </w:t>
            </w:r>
            <w:r w:rsidRPr="00EB0CA5">
              <w:lastRenderedPageBreak/>
              <w:t xml:space="preserve">gospodarki Unii w zakresie </w:t>
            </w:r>
            <w:r w:rsidRPr="00EB0CA5">
              <w:rPr>
                <w:b/>
                <w:i/>
              </w:rPr>
              <w:t xml:space="preserve">zmiany klimatu i efektywnego gospodarowania zasobami, </w:t>
            </w:r>
            <w:r w:rsidRPr="00EB0CA5">
              <w:t>badań i rozwoju, innowacji, społeczeństwa informacyjnego obejmujących zarówno usługi rynkowe, jak i nierynkowe, a także dotyczących otoczenia biznesu jako całości, w szczególności na temat demografii przedsiębiorstw i zatrudnienia związanego z działalnością rynkową. Informacje takie pozwalają podmiotom kształtującym politykę na podejmowanie świadomych decyzji politycznych w celu rozwijania gospodarki opartej na wiedzy i innowacji, poprawy dostępu do jednolitego rynku dla małych i średnich przedsiębiorstw, rozwoju przedsiębiorczości i poprawy</w:t>
            </w:r>
            <w:r w:rsidRPr="00EB0CA5">
              <w:rPr>
                <w:b/>
                <w:i/>
              </w:rPr>
              <w:t xml:space="preserve"> zrównoważoności oraz</w:t>
            </w:r>
            <w:r w:rsidRPr="00EB0CA5">
              <w:t xml:space="preserve"> konkurencyjności.</w:t>
            </w:r>
          </w:p>
        </w:tc>
      </w:tr>
    </w:tbl>
    <w:p w14:paraId="3972BE25" w14:textId="77777777" w:rsidR="00DF3EF3" w:rsidRPr="00EB0CA5" w:rsidRDefault="00DF3EF3" w:rsidP="00DF3EF3">
      <w:r w:rsidRPr="00EB0CA5">
        <w:rPr>
          <w:rStyle w:val="HideTWBExt"/>
          <w:noProof w:val="0"/>
          <w:color w:val="auto"/>
        </w:rPr>
        <w:lastRenderedPageBreak/>
        <w:t>&lt;/Amend&gt;</w:t>
      </w:r>
    </w:p>
    <w:p w14:paraId="2139E821" w14:textId="1665EC4B" w:rsidR="00CE4954" w:rsidRPr="00EB0CA5" w:rsidRDefault="00CE4954" w:rsidP="00CE4954">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6</w:t>
      </w:r>
      <w:r w:rsidRPr="00EB0CA5">
        <w:rPr>
          <w:rStyle w:val="HideTWBExt"/>
          <w:b w:val="0"/>
          <w:noProof w:val="0"/>
          <w:color w:val="auto"/>
        </w:rPr>
        <w:t>&lt;/NumAm&gt;</w:t>
      </w:r>
    </w:p>
    <w:p w14:paraId="458B037E" w14:textId="77777777" w:rsidR="00CE4954" w:rsidRPr="00EB0CA5" w:rsidRDefault="00CE4954" w:rsidP="00CE4954">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111D9E2" w14:textId="77777777" w:rsidR="00CE4954" w:rsidRPr="00EB0CA5" w:rsidRDefault="00CE4954" w:rsidP="00CE4954">
      <w:pPr>
        <w:pStyle w:val="NormalBold"/>
      </w:pPr>
      <w:r w:rsidRPr="00EB0CA5">
        <w:rPr>
          <w:rStyle w:val="HideTWBExt"/>
          <w:b w:val="0"/>
          <w:noProof w:val="0"/>
          <w:color w:val="auto"/>
        </w:rPr>
        <w:t>&lt;Article&gt;</w:t>
      </w:r>
      <w:r w:rsidRPr="00EB0CA5">
        <w:t>Motyw 23</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5221F28A" w14:textId="77777777" w:rsidTr="008A3424">
        <w:trPr>
          <w:jc w:val="center"/>
        </w:trPr>
        <w:tc>
          <w:tcPr>
            <w:tcW w:w="9752" w:type="dxa"/>
            <w:gridSpan w:val="2"/>
          </w:tcPr>
          <w:p w14:paraId="24E0762A" w14:textId="77777777" w:rsidR="00CE4954" w:rsidRPr="00EB0CA5" w:rsidRDefault="00CE4954" w:rsidP="008A3424">
            <w:pPr>
              <w:keepNext/>
            </w:pPr>
          </w:p>
        </w:tc>
      </w:tr>
      <w:tr w:rsidR="00EB0CA5" w:rsidRPr="00EB0CA5" w14:paraId="0336846F" w14:textId="77777777" w:rsidTr="008A3424">
        <w:trPr>
          <w:jc w:val="center"/>
        </w:trPr>
        <w:tc>
          <w:tcPr>
            <w:tcW w:w="4876" w:type="dxa"/>
            <w:hideMark/>
          </w:tcPr>
          <w:p w14:paraId="7B626FD5" w14:textId="77777777" w:rsidR="00CE4954" w:rsidRPr="00EB0CA5" w:rsidRDefault="00CE4954" w:rsidP="008A3424">
            <w:pPr>
              <w:pStyle w:val="ColumnHeading"/>
              <w:keepNext/>
            </w:pPr>
            <w:r w:rsidRPr="00EB0CA5">
              <w:t>Tekst proponowany przez Komisję</w:t>
            </w:r>
          </w:p>
        </w:tc>
        <w:tc>
          <w:tcPr>
            <w:tcW w:w="4876" w:type="dxa"/>
            <w:hideMark/>
          </w:tcPr>
          <w:p w14:paraId="0A6942DB" w14:textId="77777777" w:rsidR="00CE4954" w:rsidRPr="00EB0CA5" w:rsidRDefault="00CE4954" w:rsidP="008A3424">
            <w:pPr>
              <w:pStyle w:val="ColumnHeading"/>
              <w:keepNext/>
            </w:pPr>
            <w:r w:rsidRPr="00EB0CA5">
              <w:t>Poprawka</w:t>
            </w:r>
          </w:p>
        </w:tc>
      </w:tr>
      <w:tr w:rsidR="00EB0CA5" w:rsidRPr="00EB0CA5" w14:paraId="075E6462" w14:textId="77777777" w:rsidTr="008A3424">
        <w:trPr>
          <w:jc w:val="center"/>
        </w:trPr>
        <w:tc>
          <w:tcPr>
            <w:tcW w:w="4876" w:type="dxa"/>
            <w:hideMark/>
          </w:tcPr>
          <w:p w14:paraId="5D8344A1" w14:textId="77777777" w:rsidR="00CE4954" w:rsidRPr="00EB0CA5" w:rsidRDefault="00CE4954" w:rsidP="008A3424">
            <w:pPr>
              <w:pStyle w:val="Normal6"/>
            </w:pPr>
            <w:r w:rsidRPr="00EB0CA5">
              <w:t>(23)</w:t>
            </w:r>
            <w:r w:rsidRPr="00EB0CA5">
              <w:tab/>
              <w:t xml:space="preserve">Koordynacja polityk gospodarczych w Unii i w strefie euro oraz informowanie podmiotów gospodarczych w ramach jednolitego rynku wymagają porównywalnych danych dotyczących sytuacji na rynku pracy, w tym statystyk dotyczących kosztów pracy, zarobków i liczby obsadzonych i nieobsadzonych stanowisk. Ponadto jednym z kluczowych elementów rozwoju i promowania wykwalifikowanej, wyszkolonej i dostosowanej siły roboczej jest uczenie się przez całe życie, przy czym szczególną uwagę należy zwrócić na szkolenie zawodowe w przedsiębiorstwach, które w zasadniczym stopniu przyczynia się do uczenia się przez całe życie. Dane takie uzyskuje się głównie od przedsiębiorstw i powinny one w przyszłości zostać uregulowane w przepisach prawnych i lepiej zintegrowane z innymi rodzajami statystyki gospodarczej. Dane dotyczące </w:t>
            </w:r>
            <w:r w:rsidRPr="00EB0CA5">
              <w:lastRenderedPageBreak/>
              <w:t>poziomu i elementów składowych kosztów pracy oraz struktury i rozkładu zarobków są niezbędne dla oceny średnioterminowego rozwoju gospodarek państw Unii. Dane na temat dynamiki kosztów pracy i wolnych miejsc pracy są niezbędne dla krótkoterminowego monitorowania gospodarek państw Unii, w tym na potrzeby polityki monetarnej. Dane dotyczące inwestycji przedsiębiorstw w ustawiczne szkolenie zawodowe, cechy charakterystyczne i dane liczbowe takiego szkolenia, jak również informacje na temat strategii przedsiębiorstw na rzecz szkolenia zawodowego są potrzebne do monitorowania wdrażania unijnej strategii na rzecz ściślejszej współpracy w dziedzinie kształcenia i szkolenia zawodowego.</w:t>
            </w:r>
          </w:p>
        </w:tc>
        <w:tc>
          <w:tcPr>
            <w:tcW w:w="4876" w:type="dxa"/>
            <w:hideMark/>
          </w:tcPr>
          <w:p w14:paraId="0FECB813" w14:textId="1417464B" w:rsidR="00CE4954" w:rsidRPr="00EB0CA5" w:rsidRDefault="00CE4954" w:rsidP="00E3582A">
            <w:pPr>
              <w:pStyle w:val="Normal6"/>
              <w:rPr>
                <w:szCs w:val="24"/>
              </w:rPr>
            </w:pPr>
            <w:r w:rsidRPr="00EB0CA5">
              <w:lastRenderedPageBreak/>
              <w:t>(23)</w:t>
            </w:r>
            <w:r w:rsidRPr="00EB0CA5">
              <w:tab/>
              <w:t xml:space="preserve">Koordynacja polityk gospodarczych w Unii i w strefie euro oraz informowanie podmiotów gospodarczych w ramach jednolitego rynku wymagają porównywalnych danych dotyczących sytuacji na rynku pracy, w tym statystyk dotyczących kosztów pracy, </w:t>
            </w:r>
            <w:r w:rsidRPr="00EB0CA5">
              <w:rPr>
                <w:b/>
                <w:i/>
              </w:rPr>
              <w:t xml:space="preserve">warunków pracy, </w:t>
            </w:r>
            <w:r w:rsidRPr="00EB0CA5">
              <w:t xml:space="preserve">zarobków i </w:t>
            </w:r>
            <w:r w:rsidRPr="00EB0CA5">
              <w:rPr>
                <w:b/>
                <w:i/>
              </w:rPr>
              <w:t xml:space="preserve">stosunku między wynagrodzeniem kadry kierowniczej a wynagrodzeniem 10 % pracowników o najniższych płacach, a także </w:t>
            </w:r>
            <w:r w:rsidRPr="00EB0CA5">
              <w:t>liczby obsadzonych i nieobsadzonych stanowisk</w:t>
            </w:r>
            <w:r w:rsidRPr="00EB0CA5">
              <w:rPr>
                <w:b/>
                <w:i/>
              </w:rPr>
              <w:t>.</w:t>
            </w:r>
            <w:r w:rsidRPr="00EB0CA5">
              <w:t xml:space="preserve"> </w:t>
            </w:r>
            <w:r w:rsidRPr="00EB0CA5">
              <w:rPr>
                <w:b/>
                <w:bCs/>
                <w:i/>
              </w:rPr>
              <w:t>Wraz ze zintegrowanymi ramami odniesienia dla statystyk europejskich dotyczących osób i gospodarstw domowych dane te przyczynią się również do osiągnięcia celów Europejskiego filaru praw socjalnych.</w:t>
            </w:r>
            <w:r w:rsidRPr="00EB0CA5">
              <w:t xml:space="preserve"> Ponadto jednym z kluczowych elementów rozwoju i promowania wykwalifikowanej, wyszkolonej i dostosowanej siły roboczej jest uczenie się przez całe życie, przy czym </w:t>
            </w:r>
            <w:r w:rsidRPr="00EB0CA5">
              <w:lastRenderedPageBreak/>
              <w:t>szczególną uwagę należy zwrócić na szkolenie zawodowe w przedsiębiorstwach, które w zasadniczym stopniu przyczynia się do uczenia się przez całe życie. Dane takie uzyskuje się głównie od przedsiębiorstw i powinny one w przyszłości zostać uregulowane w przepisach prawnych i lepiej zintegrowane z innymi rodzajami statystyki gospodarczej. Dane dotyczące poziomu i elementów składowych kosztów pracy oraz struktury i rozkładu zarobków są niezbędne dla oceny średnioterminowego rozwoju gospodarek państw Unii. Dane na temat dynamiki kosztów pracy i wolnych miejsc pracy są niezbędne dla krótkoterminowego monitorowania gospodarek państw Unii, w tym na potrzeby polityki monetarnej. Dane dotyczące inwestycji przedsiębiorstw w ustawiczne szkolenie zawodowe, cechy charakterystyczne i dane liczbowe takiego szkolenia, jak również informacje na temat strategii przedsiębiorstw na rzecz szkolenia zawodowego są potrzebne do monitorowania wdrażania unijnej strategii na rzecz ściślejszej współpracy w dziedzinie kształcenia i szkolenia zawodowego.</w:t>
            </w:r>
          </w:p>
        </w:tc>
      </w:tr>
    </w:tbl>
    <w:p w14:paraId="4B3DAEE9" w14:textId="77777777" w:rsidR="00CE4954" w:rsidRPr="00EB0CA5" w:rsidRDefault="00CE4954" w:rsidP="00CE4954">
      <w:pPr>
        <w:rPr>
          <w:szCs w:val="24"/>
        </w:rPr>
      </w:pPr>
      <w:r w:rsidRPr="00EB0CA5">
        <w:rPr>
          <w:rStyle w:val="HideTWBExt"/>
          <w:noProof w:val="0"/>
          <w:color w:val="auto"/>
        </w:rPr>
        <w:lastRenderedPageBreak/>
        <w:t>&lt;/Amend&gt;</w:t>
      </w:r>
    </w:p>
    <w:p w14:paraId="3D8BA7D9" w14:textId="5BF06DA2" w:rsidR="00DF3EF3" w:rsidRPr="00EB0CA5" w:rsidRDefault="00DF3EF3" w:rsidP="00DF3EF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7</w:t>
      </w:r>
      <w:r w:rsidRPr="00EB0CA5">
        <w:rPr>
          <w:rStyle w:val="HideTWBExt"/>
          <w:b w:val="0"/>
          <w:noProof w:val="0"/>
          <w:color w:val="auto"/>
        </w:rPr>
        <w:t>&lt;/NumAm&gt;</w:t>
      </w:r>
    </w:p>
    <w:p w14:paraId="31B2F1FF" w14:textId="77777777" w:rsidR="00DF3EF3" w:rsidRPr="00EB0CA5" w:rsidRDefault="00DF3EF3" w:rsidP="00DF3EF3">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8FA8606" w14:textId="77777777" w:rsidR="00DF3EF3" w:rsidRPr="00EB0CA5" w:rsidRDefault="00DF3EF3" w:rsidP="00DF3EF3">
      <w:pPr>
        <w:pStyle w:val="NormalBold"/>
      </w:pPr>
      <w:r w:rsidRPr="00EB0CA5">
        <w:rPr>
          <w:rStyle w:val="HideTWBExt"/>
          <w:b w:val="0"/>
          <w:noProof w:val="0"/>
          <w:color w:val="auto"/>
        </w:rPr>
        <w:t>&lt;Article&gt;</w:t>
      </w:r>
      <w:r w:rsidRPr="00EB0CA5">
        <w:t>Motyw 24</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24CBCBE3" w14:textId="77777777" w:rsidTr="00D5541D">
        <w:trPr>
          <w:jc w:val="center"/>
        </w:trPr>
        <w:tc>
          <w:tcPr>
            <w:tcW w:w="9752" w:type="dxa"/>
            <w:gridSpan w:val="2"/>
          </w:tcPr>
          <w:p w14:paraId="7DF46B78" w14:textId="77777777" w:rsidR="00DF3EF3" w:rsidRPr="00EB0CA5" w:rsidRDefault="00DF3EF3" w:rsidP="00D5541D">
            <w:pPr>
              <w:keepNext/>
            </w:pPr>
          </w:p>
        </w:tc>
      </w:tr>
      <w:tr w:rsidR="00EB0CA5" w:rsidRPr="00EB0CA5" w14:paraId="26E9893C" w14:textId="77777777" w:rsidTr="00D5541D">
        <w:trPr>
          <w:jc w:val="center"/>
        </w:trPr>
        <w:tc>
          <w:tcPr>
            <w:tcW w:w="4876" w:type="dxa"/>
          </w:tcPr>
          <w:p w14:paraId="39598F85" w14:textId="77777777" w:rsidR="00DF3EF3" w:rsidRPr="00EB0CA5" w:rsidRDefault="00DF3EF3" w:rsidP="00D5541D">
            <w:pPr>
              <w:pStyle w:val="ColumnHeading"/>
              <w:keepNext/>
            </w:pPr>
            <w:r w:rsidRPr="00EB0CA5">
              <w:t>Tekst proponowany przez Komisję</w:t>
            </w:r>
          </w:p>
        </w:tc>
        <w:tc>
          <w:tcPr>
            <w:tcW w:w="4876" w:type="dxa"/>
          </w:tcPr>
          <w:p w14:paraId="3BE3A2CE" w14:textId="77777777" w:rsidR="00DF3EF3" w:rsidRPr="00EB0CA5" w:rsidRDefault="00DF3EF3" w:rsidP="00D5541D">
            <w:pPr>
              <w:pStyle w:val="ColumnHeading"/>
              <w:keepNext/>
            </w:pPr>
            <w:r w:rsidRPr="00EB0CA5">
              <w:t>Poprawka</w:t>
            </w:r>
          </w:p>
        </w:tc>
      </w:tr>
      <w:tr w:rsidR="00EB0CA5" w:rsidRPr="00EB0CA5" w14:paraId="745BC76D" w14:textId="77777777" w:rsidTr="00D5541D">
        <w:trPr>
          <w:jc w:val="center"/>
        </w:trPr>
        <w:tc>
          <w:tcPr>
            <w:tcW w:w="4876" w:type="dxa"/>
          </w:tcPr>
          <w:p w14:paraId="684298D0" w14:textId="77777777" w:rsidR="00DF3EF3" w:rsidRPr="00EB0CA5" w:rsidRDefault="00DF3EF3" w:rsidP="00D5541D">
            <w:pPr>
              <w:pStyle w:val="Normal6"/>
            </w:pPr>
            <w:r w:rsidRPr="00EB0CA5">
              <w:t>(24)</w:t>
            </w:r>
            <w:r w:rsidRPr="00EB0CA5">
              <w:tab/>
              <w:t xml:space="preserve">Statystyki w dziedzinie innowacji, badań naukowych i działań rozwojowych są niezbędne dla opracowywania i monitorowania polityk, które mają na celu zwiększenie konkurencyjności państw członkowskich i zwiększenie ich średnio- i długoterminowego potencjału w zakresie inteligentnego wzrostu i zatrudnienia. Rozszerzająca się gospodarka cyfrowa i coraz większe wykorzystanie technologii informacyjnych i komunikacyjnych są również istotnymi czynnikami </w:t>
            </w:r>
            <w:r w:rsidRPr="00EB0CA5">
              <w:lastRenderedPageBreak/>
              <w:t>konkurencyjności i wzrostu w Unii, zaś dane statystyczne są potrzebne do wspierania związanych z nimi strategii i polityk.</w:t>
            </w:r>
          </w:p>
        </w:tc>
        <w:tc>
          <w:tcPr>
            <w:tcW w:w="4876" w:type="dxa"/>
          </w:tcPr>
          <w:p w14:paraId="5DED517B" w14:textId="77777777" w:rsidR="00DF3EF3" w:rsidRPr="00EB0CA5" w:rsidRDefault="00DF3EF3" w:rsidP="00D5541D">
            <w:pPr>
              <w:pStyle w:val="Normal6"/>
              <w:rPr>
                <w:szCs w:val="24"/>
              </w:rPr>
            </w:pPr>
            <w:r w:rsidRPr="00EB0CA5">
              <w:lastRenderedPageBreak/>
              <w:t>(24)</w:t>
            </w:r>
            <w:r w:rsidRPr="00EB0CA5">
              <w:tab/>
              <w:t xml:space="preserve">Statystyki w dziedzinie innowacji, badań naukowych i działań rozwojowych są niezbędne dla opracowywania i monitorowania polityk, które mają na celu zwiększenie konkurencyjności państw członkowskich i zwiększenie ich średnio- i długoterminowego potencjału w zakresie inteligentnego wzrostu i zatrudnienia. Rozszerzająca się gospodarka cyfrowa i coraz większe wykorzystanie technologii informacyjnych i komunikacyjnych są również istotnymi czynnikami </w:t>
            </w:r>
            <w:r w:rsidRPr="00EB0CA5">
              <w:lastRenderedPageBreak/>
              <w:t>konkurencyjności i wzrostu w Unii, zaś dane statystyczne są potrzebne do wspierania związanych z nimi strategii i polityk</w:t>
            </w:r>
            <w:r w:rsidRPr="00EB0CA5">
              <w:rPr>
                <w:b/>
                <w:i/>
              </w:rPr>
              <w:t>, w tym ukończenia tworzenia jednolitego rynku treści cyfrowych</w:t>
            </w:r>
            <w:r w:rsidRPr="00EB0CA5">
              <w:t>.</w:t>
            </w:r>
          </w:p>
        </w:tc>
      </w:tr>
    </w:tbl>
    <w:p w14:paraId="7FFEA870" w14:textId="77777777" w:rsidR="00DF3EF3" w:rsidRPr="00EB0CA5" w:rsidRDefault="00DF3EF3" w:rsidP="00DF3EF3">
      <w:r w:rsidRPr="00EB0CA5">
        <w:rPr>
          <w:rStyle w:val="HideTWBExt"/>
          <w:noProof w:val="0"/>
          <w:color w:val="auto"/>
        </w:rPr>
        <w:lastRenderedPageBreak/>
        <w:t>&lt;/Amend&gt;</w:t>
      </w:r>
    </w:p>
    <w:p w14:paraId="2C95580E" w14:textId="481F29F4" w:rsidR="00CE4954" w:rsidRPr="00EB0CA5" w:rsidRDefault="00CE4954" w:rsidP="00CE4954">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8</w:t>
      </w:r>
      <w:r w:rsidR="00D07935" w:rsidRPr="00370822">
        <w:rPr>
          <w:rStyle w:val="FootnoteReference"/>
        </w:rPr>
        <w:footnoteRef/>
      </w:r>
      <w:r w:rsidRPr="00EB0CA5">
        <w:rPr>
          <w:rStyle w:val="HideTWBExt"/>
          <w:b w:val="0"/>
          <w:noProof w:val="0"/>
          <w:color w:val="auto"/>
        </w:rPr>
        <w:t>&lt;/NumAm&gt;</w:t>
      </w:r>
    </w:p>
    <w:p w14:paraId="785FEA06" w14:textId="77777777" w:rsidR="00CE4954" w:rsidRPr="00EB0CA5" w:rsidRDefault="00CE4954" w:rsidP="00CE4954">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2A1D953" w14:textId="77777777" w:rsidR="00CE4954" w:rsidRPr="00EB0CA5" w:rsidRDefault="00CE4954" w:rsidP="00CE4954">
      <w:pPr>
        <w:pStyle w:val="NormalBold"/>
      </w:pPr>
      <w:r w:rsidRPr="00EB0CA5">
        <w:rPr>
          <w:rStyle w:val="HideTWBExt"/>
          <w:b w:val="0"/>
          <w:noProof w:val="0"/>
          <w:color w:val="auto"/>
        </w:rPr>
        <w:t>&lt;Article&gt;</w:t>
      </w:r>
      <w:r w:rsidRPr="00EB0CA5">
        <w:t>Motyw 25 a (nowy)</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355EF78A" w14:textId="77777777" w:rsidTr="008A3424">
        <w:trPr>
          <w:jc w:val="center"/>
        </w:trPr>
        <w:tc>
          <w:tcPr>
            <w:tcW w:w="9752" w:type="dxa"/>
            <w:gridSpan w:val="2"/>
          </w:tcPr>
          <w:p w14:paraId="661B036A" w14:textId="77777777" w:rsidR="00CE4954" w:rsidRPr="00EB0CA5" w:rsidRDefault="00CE4954" w:rsidP="008A3424">
            <w:pPr>
              <w:keepNext/>
            </w:pPr>
          </w:p>
        </w:tc>
      </w:tr>
      <w:tr w:rsidR="00EB0CA5" w:rsidRPr="00EB0CA5" w14:paraId="0D7B3647" w14:textId="77777777" w:rsidTr="008A3424">
        <w:trPr>
          <w:jc w:val="center"/>
        </w:trPr>
        <w:tc>
          <w:tcPr>
            <w:tcW w:w="4876" w:type="dxa"/>
            <w:hideMark/>
          </w:tcPr>
          <w:p w14:paraId="174B308B" w14:textId="77777777" w:rsidR="00CE4954" w:rsidRPr="00EB0CA5" w:rsidRDefault="00CE4954" w:rsidP="008A3424">
            <w:pPr>
              <w:pStyle w:val="ColumnHeading"/>
              <w:keepNext/>
            </w:pPr>
            <w:r w:rsidRPr="00EB0CA5">
              <w:t>Tekst proponowany przez Komisję</w:t>
            </w:r>
          </w:p>
        </w:tc>
        <w:tc>
          <w:tcPr>
            <w:tcW w:w="4876" w:type="dxa"/>
            <w:hideMark/>
          </w:tcPr>
          <w:p w14:paraId="3A91FBF2" w14:textId="77777777" w:rsidR="00CE4954" w:rsidRPr="00EB0CA5" w:rsidRDefault="00CE4954" w:rsidP="008A3424">
            <w:pPr>
              <w:pStyle w:val="ColumnHeading"/>
              <w:keepNext/>
            </w:pPr>
            <w:r w:rsidRPr="00EB0CA5">
              <w:t>Poprawka</w:t>
            </w:r>
          </w:p>
        </w:tc>
      </w:tr>
      <w:tr w:rsidR="00EB0CA5" w:rsidRPr="00EB0CA5" w14:paraId="5F31868A" w14:textId="77777777" w:rsidTr="008A3424">
        <w:trPr>
          <w:jc w:val="center"/>
        </w:trPr>
        <w:tc>
          <w:tcPr>
            <w:tcW w:w="4876" w:type="dxa"/>
          </w:tcPr>
          <w:p w14:paraId="4ADE0095" w14:textId="77777777" w:rsidR="00CE4954" w:rsidRPr="00EB0CA5" w:rsidRDefault="00CE4954" w:rsidP="008A3424">
            <w:pPr>
              <w:pStyle w:val="Normal6"/>
            </w:pPr>
          </w:p>
        </w:tc>
        <w:tc>
          <w:tcPr>
            <w:tcW w:w="4876" w:type="dxa"/>
            <w:hideMark/>
          </w:tcPr>
          <w:p w14:paraId="41C93636" w14:textId="77777777" w:rsidR="00CE4954" w:rsidRPr="00EB0CA5" w:rsidRDefault="00CE4954" w:rsidP="008A3424">
            <w:pPr>
              <w:pStyle w:val="Normal6"/>
              <w:rPr>
                <w:szCs w:val="24"/>
              </w:rPr>
            </w:pPr>
            <w:r w:rsidRPr="00EB0CA5">
              <w:rPr>
                <w:b/>
                <w:i/>
              </w:rPr>
              <w:t>(25a)</w:t>
            </w:r>
            <w:r w:rsidRPr="00EB0CA5">
              <w:rPr>
                <w:b/>
                <w:i/>
              </w:rPr>
              <w:tab/>
              <w:t>Uzyskiwane od przedsiębiorstw zharmonizowane statystyki dotyczące gospodarki o obiegu zamkniętym są niezbędne do wspierania działań politycznych Unii zmierzających do rozwoju zrównoważonej, niskoemisyjnej, zasobooszczędnej i konkurencyjnej gospodarki w państwach członkowskich i w Unii. Komisja – w drodze badania pilotażowego – powinna ocenić możliwości uzyskiwania dodatkowych informacji niezbędnych do tego celu, zanim zostaną one uregulowane przepisami i lepiej zintegrowane z innymi rodzajami statystyk.</w:t>
            </w:r>
          </w:p>
        </w:tc>
      </w:tr>
    </w:tbl>
    <w:p w14:paraId="0A033C92" w14:textId="77777777" w:rsidR="00CE4954" w:rsidRPr="00EB0CA5" w:rsidRDefault="00CE4954" w:rsidP="00CE4954">
      <w:pPr>
        <w:rPr>
          <w:szCs w:val="24"/>
        </w:rPr>
      </w:pPr>
      <w:r w:rsidRPr="00EB0CA5">
        <w:rPr>
          <w:rStyle w:val="HideTWBExt"/>
          <w:noProof w:val="0"/>
          <w:color w:val="auto"/>
        </w:rPr>
        <w:t>&lt;/Amend&gt;</w:t>
      </w:r>
    </w:p>
    <w:p w14:paraId="46C1F1EF" w14:textId="31AAB725" w:rsidR="00DF3EF3" w:rsidRPr="00EB0CA5" w:rsidRDefault="00DF3EF3" w:rsidP="00DF3EF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9</w:t>
      </w:r>
      <w:r w:rsidRPr="00EB0CA5">
        <w:rPr>
          <w:rStyle w:val="HideTWBExt"/>
          <w:b w:val="0"/>
          <w:noProof w:val="0"/>
          <w:color w:val="auto"/>
        </w:rPr>
        <w:t>&lt;/NumAm&gt;</w:t>
      </w:r>
    </w:p>
    <w:p w14:paraId="196B42D5" w14:textId="77777777" w:rsidR="00DF3EF3" w:rsidRPr="00EB0CA5" w:rsidRDefault="00DF3EF3" w:rsidP="00DF3EF3">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42EF9329" w14:textId="7D40D15E" w:rsidR="00DF3EF3" w:rsidRPr="00EB0CA5" w:rsidRDefault="00DF3EF3" w:rsidP="00DF3EF3">
      <w:pPr>
        <w:pStyle w:val="NormalBold"/>
      </w:pPr>
      <w:r w:rsidRPr="00EB0CA5">
        <w:rPr>
          <w:rStyle w:val="HideTWBExt"/>
          <w:b w:val="0"/>
          <w:noProof w:val="0"/>
          <w:color w:val="auto"/>
        </w:rPr>
        <w:t>&lt;Article&gt;</w:t>
      </w:r>
      <w:r w:rsidRPr="00EB0CA5">
        <w:t>Motyw 25 b (nowy)</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5D4AD022" w14:textId="77777777" w:rsidTr="00D5541D">
        <w:trPr>
          <w:jc w:val="center"/>
        </w:trPr>
        <w:tc>
          <w:tcPr>
            <w:tcW w:w="9752" w:type="dxa"/>
            <w:gridSpan w:val="2"/>
          </w:tcPr>
          <w:p w14:paraId="7BED650E" w14:textId="77777777" w:rsidR="00DF3EF3" w:rsidRPr="00EB0CA5" w:rsidRDefault="00DF3EF3" w:rsidP="00D5541D">
            <w:pPr>
              <w:keepNext/>
            </w:pPr>
          </w:p>
        </w:tc>
      </w:tr>
      <w:tr w:rsidR="00EB0CA5" w:rsidRPr="00EB0CA5" w14:paraId="3931D8C1" w14:textId="77777777" w:rsidTr="00D5541D">
        <w:trPr>
          <w:jc w:val="center"/>
        </w:trPr>
        <w:tc>
          <w:tcPr>
            <w:tcW w:w="4876" w:type="dxa"/>
          </w:tcPr>
          <w:p w14:paraId="1A1F808B" w14:textId="77777777" w:rsidR="00DF3EF3" w:rsidRPr="00EB0CA5" w:rsidRDefault="00DF3EF3" w:rsidP="00D5541D">
            <w:pPr>
              <w:pStyle w:val="ColumnHeading"/>
              <w:keepNext/>
            </w:pPr>
            <w:r w:rsidRPr="00EB0CA5">
              <w:t>Tekst proponowany przez Komisję</w:t>
            </w:r>
          </w:p>
        </w:tc>
        <w:tc>
          <w:tcPr>
            <w:tcW w:w="4876" w:type="dxa"/>
          </w:tcPr>
          <w:p w14:paraId="45932651" w14:textId="77777777" w:rsidR="00DF3EF3" w:rsidRPr="00EB0CA5" w:rsidRDefault="00DF3EF3" w:rsidP="00D5541D">
            <w:pPr>
              <w:pStyle w:val="ColumnHeading"/>
              <w:keepNext/>
            </w:pPr>
            <w:r w:rsidRPr="00EB0CA5">
              <w:t>Poprawka</w:t>
            </w:r>
          </w:p>
        </w:tc>
      </w:tr>
      <w:tr w:rsidR="00EB0CA5" w:rsidRPr="00EB0CA5" w14:paraId="65A7B86D" w14:textId="77777777" w:rsidTr="00D5541D">
        <w:trPr>
          <w:jc w:val="center"/>
        </w:trPr>
        <w:tc>
          <w:tcPr>
            <w:tcW w:w="4876" w:type="dxa"/>
          </w:tcPr>
          <w:p w14:paraId="48552A19" w14:textId="77777777" w:rsidR="00DF3EF3" w:rsidRPr="00EB0CA5" w:rsidRDefault="00DF3EF3" w:rsidP="00D5541D">
            <w:pPr>
              <w:pStyle w:val="Normal6"/>
            </w:pPr>
          </w:p>
        </w:tc>
        <w:tc>
          <w:tcPr>
            <w:tcW w:w="4876" w:type="dxa"/>
          </w:tcPr>
          <w:p w14:paraId="063CCD96" w14:textId="30C760F1" w:rsidR="00DF3EF3" w:rsidRPr="00EB0CA5" w:rsidRDefault="00DF3EF3" w:rsidP="0038311B">
            <w:pPr>
              <w:pStyle w:val="Normal6"/>
              <w:rPr>
                <w:szCs w:val="24"/>
              </w:rPr>
            </w:pPr>
            <w:r w:rsidRPr="00EB0CA5">
              <w:rPr>
                <w:b/>
                <w:i/>
              </w:rPr>
              <w:t>(25b)</w:t>
            </w:r>
            <w:r w:rsidRPr="00EB0CA5">
              <w:rPr>
                <w:b/>
                <w:i/>
              </w:rPr>
              <w:tab/>
              <w:t>Aby odzwierciedlić coraz powszechniejsze korzystanie z innowacyjnych technologii i aby zminimalizować ewentualne negatywne oddziaływanie na przedsiębiorstwa, właściwe krajowe urzędy statystyczne powinny wykorzystywać te technologie oraz powinny być zachęcane do stosowania innowacyjnego podejścia.</w:t>
            </w:r>
          </w:p>
        </w:tc>
      </w:tr>
    </w:tbl>
    <w:p w14:paraId="6E5B0BA1" w14:textId="77777777" w:rsidR="00DF3EF3" w:rsidRPr="00EB0CA5" w:rsidRDefault="00DF3EF3" w:rsidP="00DF3EF3">
      <w:r w:rsidRPr="00EB0CA5">
        <w:rPr>
          <w:rStyle w:val="HideTWBExt"/>
          <w:noProof w:val="0"/>
          <w:color w:val="auto"/>
        </w:rPr>
        <w:t>&lt;/Amend&gt;</w:t>
      </w:r>
    </w:p>
    <w:p w14:paraId="68BC4A93" w14:textId="6BA29B05" w:rsidR="00344655" w:rsidRPr="00EB0CA5" w:rsidRDefault="00344655" w:rsidP="00344655">
      <w:pPr>
        <w:pStyle w:val="AMNumberTabs"/>
        <w:keepNext/>
      </w:pPr>
      <w:r w:rsidRPr="00EB0CA5">
        <w:rPr>
          <w:rStyle w:val="HideTWBExt"/>
          <w:b w:val="0"/>
          <w:noProof w:val="0"/>
          <w:color w:val="auto"/>
        </w:rPr>
        <w:lastRenderedPageBreak/>
        <w:t>&lt;Amend&gt;</w:t>
      </w:r>
      <w:r w:rsidRPr="00EB0CA5">
        <w:t>Poprawka</w:t>
      </w:r>
      <w:r w:rsidRPr="00EB0CA5">
        <w:tab/>
      </w:r>
      <w:r w:rsidRPr="00EB0CA5">
        <w:tab/>
      </w:r>
      <w:r w:rsidRPr="00EB0CA5">
        <w:rPr>
          <w:rStyle w:val="HideTWBExt"/>
          <w:b w:val="0"/>
          <w:noProof w:val="0"/>
          <w:color w:val="auto"/>
        </w:rPr>
        <w:t>&lt;NumAm&gt;</w:t>
      </w:r>
      <w:r w:rsidRPr="00EB0CA5">
        <w:t>10</w:t>
      </w:r>
      <w:r w:rsidRPr="00EB0CA5">
        <w:rPr>
          <w:rStyle w:val="HideTWBExt"/>
          <w:b w:val="0"/>
          <w:noProof w:val="0"/>
          <w:color w:val="auto"/>
        </w:rPr>
        <w:t>&lt;/NumAm&gt;</w:t>
      </w:r>
    </w:p>
    <w:p w14:paraId="1A85D0BB" w14:textId="77777777" w:rsidR="00344655" w:rsidRPr="00EB0CA5" w:rsidRDefault="00344655" w:rsidP="0034465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AA55BEB" w14:textId="77777777" w:rsidR="00344655" w:rsidRPr="00EB0CA5" w:rsidRDefault="00344655" w:rsidP="00344655">
      <w:pPr>
        <w:pStyle w:val="NormalBold"/>
      </w:pPr>
      <w:r w:rsidRPr="00EB0CA5">
        <w:rPr>
          <w:rStyle w:val="HideTWBExt"/>
          <w:b w:val="0"/>
          <w:noProof w:val="0"/>
          <w:color w:val="auto"/>
        </w:rPr>
        <w:t>&lt;Article&gt;</w:t>
      </w:r>
      <w:r w:rsidRPr="00EB0CA5">
        <w:t>Motyw 26</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0114E050" w14:textId="77777777" w:rsidTr="008A3424">
        <w:trPr>
          <w:jc w:val="center"/>
        </w:trPr>
        <w:tc>
          <w:tcPr>
            <w:tcW w:w="9752" w:type="dxa"/>
            <w:gridSpan w:val="2"/>
          </w:tcPr>
          <w:p w14:paraId="54C412DF" w14:textId="77777777" w:rsidR="00344655" w:rsidRPr="00EB0CA5" w:rsidRDefault="00344655" w:rsidP="008A3424">
            <w:pPr>
              <w:keepNext/>
            </w:pPr>
          </w:p>
        </w:tc>
      </w:tr>
      <w:tr w:rsidR="00EB0CA5" w:rsidRPr="00EB0CA5" w14:paraId="5352A09A" w14:textId="77777777" w:rsidTr="008A3424">
        <w:trPr>
          <w:jc w:val="center"/>
        </w:trPr>
        <w:tc>
          <w:tcPr>
            <w:tcW w:w="4876" w:type="dxa"/>
            <w:hideMark/>
          </w:tcPr>
          <w:p w14:paraId="18EE14BD" w14:textId="77777777" w:rsidR="00344655" w:rsidRPr="00EB0CA5" w:rsidRDefault="00344655" w:rsidP="008A3424">
            <w:pPr>
              <w:pStyle w:val="ColumnHeading"/>
              <w:keepNext/>
            </w:pPr>
            <w:r w:rsidRPr="00EB0CA5">
              <w:t>Tekst proponowany przez Komisję</w:t>
            </w:r>
          </w:p>
        </w:tc>
        <w:tc>
          <w:tcPr>
            <w:tcW w:w="4876" w:type="dxa"/>
            <w:hideMark/>
          </w:tcPr>
          <w:p w14:paraId="009E4891" w14:textId="77777777" w:rsidR="00344655" w:rsidRPr="00EB0CA5" w:rsidRDefault="00344655" w:rsidP="008A3424">
            <w:pPr>
              <w:pStyle w:val="ColumnHeading"/>
              <w:keepNext/>
            </w:pPr>
            <w:r w:rsidRPr="00EB0CA5">
              <w:t>Poprawka</w:t>
            </w:r>
          </w:p>
        </w:tc>
      </w:tr>
      <w:tr w:rsidR="00EB0CA5" w:rsidRPr="00EB0CA5" w14:paraId="200C92CC" w14:textId="77777777" w:rsidTr="008A3424">
        <w:trPr>
          <w:jc w:val="center"/>
        </w:trPr>
        <w:tc>
          <w:tcPr>
            <w:tcW w:w="4876" w:type="dxa"/>
            <w:hideMark/>
          </w:tcPr>
          <w:p w14:paraId="23E825CD" w14:textId="77777777" w:rsidR="00344655" w:rsidRPr="00EB0CA5" w:rsidRDefault="00344655" w:rsidP="008A3424">
            <w:pPr>
              <w:pStyle w:val="Normal6"/>
            </w:pPr>
            <w:r w:rsidRPr="00EB0CA5">
              <w:t>(26)</w:t>
            </w:r>
            <w:r w:rsidRPr="00EB0CA5">
              <w:tab/>
              <w:t>Statystyki dotyczące międzynarodowego handlu usługami, wymagane dla sporządzania bilansu płatniczego Unii i strefy euro, są określane w ścisłej współpracy przez Komisję (Eurostat) oraz Europejski Bank Centralny.</w:t>
            </w:r>
          </w:p>
        </w:tc>
        <w:tc>
          <w:tcPr>
            <w:tcW w:w="4876" w:type="dxa"/>
            <w:hideMark/>
          </w:tcPr>
          <w:p w14:paraId="1BFEFBBF" w14:textId="6BDEC57B" w:rsidR="00344655" w:rsidRPr="00EB0CA5" w:rsidRDefault="00344655" w:rsidP="00E3582A">
            <w:pPr>
              <w:pStyle w:val="Normal6"/>
              <w:rPr>
                <w:szCs w:val="24"/>
              </w:rPr>
            </w:pPr>
            <w:r w:rsidRPr="00EB0CA5">
              <w:t>(26)</w:t>
            </w:r>
            <w:r w:rsidRPr="00EB0CA5">
              <w:tab/>
              <w:t xml:space="preserve">Statystyki dotyczące międzynarodowego handlu usługami, wymagane dla sporządzania bilansu płatniczego Unii i strefy euro, są określane w ścisłej współpracy przez Komisję (Eurostat) oraz Europejski Bank Centralny. </w:t>
            </w:r>
            <w:r w:rsidRPr="00EB0CA5">
              <w:rPr>
                <w:b/>
                <w:i/>
              </w:rPr>
              <w:t>W pierwszej kolejności Komisja powinna zainicjować badanie pilotażowe, które będzie dotyczyło sposobów prowadzenia międzynarodowego handlu usługami i międzynarodowego handlu usługami w podziale według cech przedsiębiorstwa.</w:t>
            </w:r>
          </w:p>
        </w:tc>
      </w:tr>
    </w:tbl>
    <w:p w14:paraId="1D686FBB" w14:textId="77777777" w:rsidR="00344655" w:rsidRPr="00EB0CA5" w:rsidRDefault="00344655" w:rsidP="00344655">
      <w:pPr>
        <w:rPr>
          <w:szCs w:val="24"/>
        </w:rPr>
      </w:pPr>
      <w:r w:rsidRPr="00EB0CA5">
        <w:rPr>
          <w:rStyle w:val="HideTWBExt"/>
          <w:noProof w:val="0"/>
          <w:color w:val="auto"/>
        </w:rPr>
        <w:t>&lt;/Amend&gt;</w:t>
      </w:r>
    </w:p>
    <w:p w14:paraId="722595F8" w14:textId="5C4AE7E8" w:rsidR="00DF3EF3" w:rsidRPr="00EB0CA5" w:rsidRDefault="00DF3EF3" w:rsidP="00DF3EF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11</w:t>
      </w:r>
      <w:r w:rsidRPr="00EB0CA5">
        <w:rPr>
          <w:rStyle w:val="HideTWBExt"/>
          <w:b w:val="0"/>
          <w:noProof w:val="0"/>
          <w:color w:val="auto"/>
        </w:rPr>
        <w:t>&lt;/NumAm&gt;</w:t>
      </w:r>
    </w:p>
    <w:p w14:paraId="26F741C8" w14:textId="77777777" w:rsidR="00DF3EF3" w:rsidRPr="00EB0CA5" w:rsidRDefault="00DF3EF3" w:rsidP="00DF3EF3">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6A364B4" w14:textId="77777777" w:rsidR="00DF3EF3" w:rsidRPr="00EB0CA5" w:rsidRDefault="00DF3EF3" w:rsidP="00DF3EF3">
      <w:pPr>
        <w:pStyle w:val="NormalBold"/>
      </w:pPr>
      <w:r w:rsidRPr="00EB0CA5">
        <w:rPr>
          <w:rStyle w:val="HideTWBExt"/>
          <w:b w:val="0"/>
          <w:noProof w:val="0"/>
          <w:color w:val="auto"/>
        </w:rPr>
        <w:t>&lt;Article&gt;</w:t>
      </w:r>
      <w:r w:rsidRPr="00EB0CA5">
        <w:t>Motyw 28</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489D4A7C" w14:textId="77777777" w:rsidTr="00D5541D">
        <w:trPr>
          <w:jc w:val="center"/>
        </w:trPr>
        <w:tc>
          <w:tcPr>
            <w:tcW w:w="9752" w:type="dxa"/>
            <w:gridSpan w:val="2"/>
          </w:tcPr>
          <w:p w14:paraId="755B3F6E" w14:textId="77777777" w:rsidR="00DF3EF3" w:rsidRPr="00EB0CA5" w:rsidRDefault="00DF3EF3" w:rsidP="00D5541D">
            <w:pPr>
              <w:keepNext/>
            </w:pPr>
          </w:p>
        </w:tc>
      </w:tr>
      <w:tr w:rsidR="00EB0CA5" w:rsidRPr="00EB0CA5" w14:paraId="7B36D958" w14:textId="77777777" w:rsidTr="00D5541D">
        <w:trPr>
          <w:jc w:val="center"/>
        </w:trPr>
        <w:tc>
          <w:tcPr>
            <w:tcW w:w="4876" w:type="dxa"/>
          </w:tcPr>
          <w:p w14:paraId="553F43B3" w14:textId="77777777" w:rsidR="00DF3EF3" w:rsidRPr="00EB0CA5" w:rsidRDefault="00DF3EF3" w:rsidP="00D5541D">
            <w:pPr>
              <w:pStyle w:val="ColumnHeading"/>
              <w:keepNext/>
            </w:pPr>
            <w:r w:rsidRPr="00EB0CA5">
              <w:t>Tekst proponowany przez Komisję</w:t>
            </w:r>
          </w:p>
        </w:tc>
        <w:tc>
          <w:tcPr>
            <w:tcW w:w="4876" w:type="dxa"/>
          </w:tcPr>
          <w:p w14:paraId="7714FCE5" w14:textId="77777777" w:rsidR="00DF3EF3" w:rsidRPr="00EB0CA5" w:rsidRDefault="00DF3EF3" w:rsidP="00D5541D">
            <w:pPr>
              <w:pStyle w:val="ColumnHeading"/>
              <w:keepNext/>
            </w:pPr>
            <w:r w:rsidRPr="00EB0CA5">
              <w:t>Poprawka</w:t>
            </w:r>
          </w:p>
        </w:tc>
      </w:tr>
      <w:tr w:rsidR="00EB0CA5" w:rsidRPr="00EB0CA5" w14:paraId="0DA5D564" w14:textId="77777777" w:rsidTr="00D5541D">
        <w:trPr>
          <w:jc w:val="center"/>
        </w:trPr>
        <w:tc>
          <w:tcPr>
            <w:tcW w:w="4876" w:type="dxa"/>
          </w:tcPr>
          <w:p w14:paraId="023D046D" w14:textId="77777777" w:rsidR="00DF3EF3" w:rsidRPr="00EB0CA5" w:rsidRDefault="00DF3EF3" w:rsidP="00D5541D">
            <w:pPr>
              <w:pStyle w:val="Normal6"/>
            </w:pPr>
            <w:r w:rsidRPr="00EB0CA5">
              <w:t>(28)</w:t>
            </w:r>
            <w:r w:rsidRPr="00EB0CA5">
              <w:tab/>
              <w:t>Przy zachowaniu zasady dostarczania statystyki gospodarczej w odniesieniu do całej gospodarki wymogi dotyczące danych powinny, zgodnie z zasadą proporcjonalności, uwzględniać możliwie jak największe uproszczenie środków na rzecz zmniejszenia obciążenia przedsiębiorstw w państwach członkowskich, które są stosunkowo niewielkie.</w:t>
            </w:r>
          </w:p>
        </w:tc>
        <w:tc>
          <w:tcPr>
            <w:tcW w:w="4876" w:type="dxa"/>
          </w:tcPr>
          <w:p w14:paraId="79DF7C05" w14:textId="77777777" w:rsidR="00DF3EF3" w:rsidRPr="00EB0CA5" w:rsidRDefault="00DF3EF3" w:rsidP="00D5541D">
            <w:pPr>
              <w:pStyle w:val="Normal6"/>
              <w:rPr>
                <w:szCs w:val="24"/>
              </w:rPr>
            </w:pPr>
            <w:r w:rsidRPr="00EB0CA5">
              <w:t>(28)</w:t>
            </w:r>
            <w:r w:rsidRPr="00EB0CA5">
              <w:tab/>
              <w:t xml:space="preserve">Przy zachowaniu zasady dostarczania statystyki gospodarczej w odniesieniu do całej gospodarki wymogi dotyczące danych powinny, zgodnie z zasadą proporcjonalności, uwzględniać możliwie jak największe uproszczenie środków na rzecz zmniejszenia obciążenia przedsiębiorstw w państwach członkowskich, które są stosunkowo niewielkie. </w:t>
            </w:r>
            <w:r w:rsidRPr="00EB0CA5">
              <w:rPr>
                <w:b/>
                <w:i/>
              </w:rPr>
              <w:t>Dodatkowe wymogi nie powinny nakładać niewspółmiernych obciążeń administracyjnych na respondentów.</w:t>
            </w:r>
          </w:p>
        </w:tc>
      </w:tr>
    </w:tbl>
    <w:p w14:paraId="2DF81467" w14:textId="77777777" w:rsidR="00DF3EF3" w:rsidRPr="00EB0CA5" w:rsidRDefault="00DF3EF3" w:rsidP="00DF3EF3">
      <w:r w:rsidRPr="00EB0CA5">
        <w:rPr>
          <w:rStyle w:val="HideTWBExt"/>
          <w:noProof w:val="0"/>
          <w:color w:val="auto"/>
        </w:rPr>
        <w:t>&lt;/Amend&gt;</w:t>
      </w:r>
    </w:p>
    <w:p w14:paraId="3EE63088" w14:textId="40AFA299" w:rsidR="006650D7" w:rsidRPr="00EB0CA5" w:rsidRDefault="006650D7" w:rsidP="006650D7">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12</w:t>
      </w:r>
      <w:r w:rsidRPr="00EB0CA5">
        <w:rPr>
          <w:rStyle w:val="HideTWBExt"/>
          <w:b w:val="0"/>
          <w:noProof w:val="0"/>
          <w:color w:val="auto"/>
        </w:rPr>
        <w:t>&lt;/NumAm&gt;</w:t>
      </w:r>
    </w:p>
    <w:p w14:paraId="1FE0B909" w14:textId="77777777" w:rsidR="006650D7" w:rsidRPr="00EB0CA5" w:rsidRDefault="006650D7" w:rsidP="006650D7">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B2749C4" w14:textId="77777777" w:rsidR="006650D7" w:rsidRPr="00EB0CA5" w:rsidRDefault="006650D7" w:rsidP="006650D7">
      <w:pPr>
        <w:pStyle w:val="NormalBold"/>
      </w:pPr>
      <w:r w:rsidRPr="00EB0CA5">
        <w:rPr>
          <w:rStyle w:val="HideTWBExt"/>
          <w:b w:val="0"/>
          <w:noProof w:val="0"/>
          <w:color w:val="auto"/>
        </w:rPr>
        <w:t>&lt;Article&gt;</w:t>
      </w:r>
      <w:r w:rsidRPr="00EB0CA5">
        <w:t>Motyw 30</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73207123" w14:textId="77777777" w:rsidTr="006650D7">
        <w:trPr>
          <w:jc w:val="center"/>
        </w:trPr>
        <w:tc>
          <w:tcPr>
            <w:tcW w:w="9752" w:type="dxa"/>
            <w:gridSpan w:val="2"/>
          </w:tcPr>
          <w:p w14:paraId="7D45A038" w14:textId="77777777" w:rsidR="006650D7" w:rsidRPr="00EB0CA5" w:rsidRDefault="006650D7" w:rsidP="006650D7">
            <w:pPr>
              <w:keepNext/>
            </w:pPr>
          </w:p>
        </w:tc>
      </w:tr>
      <w:tr w:rsidR="00EB0CA5" w:rsidRPr="00EB0CA5" w14:paraId="768EEDB0" w14:textId="77777777" w:rsidTr="006650D7">
        <w:trPr>
          <w:jc w:val="center"/>
        </w:trPr>
        <w:tc>
          <w:tcPr>
            <w:tcW w:w="4876" w:type="dxa"/>
            <w:hideMark/>
          </w:tcPr>
          <w:p w14:paraId="3EA14207" w14:textId="77777777" w:rsidR="006650D7" w:rsidRPr="00EB0CA5" w:rsidRDefault="006650D7" w:rsidP="006650D7">
            <w:pPr>
              <w:pStyle w:val="ColumnHeading"/>
              <w:keepNext/>
            </w:pPr>
            <w:r w:rsidRPr="00EB0CA5">
              <w:t>Tekst proponowany przez Komisję</w:t>
            </w:r>
          </w:p>
        </w:tc>
        <w:tc>
          <w:tcPr>
            <w:tcW w:w="4876" w:type="dxa"/>
            <w:hideMark/>
          </w:tcPr>
          <w:p w14:paraId="4B6ED930" w14:textId="77777777" w:rsidR="006650D7" w:rsidRPr="00EB0CA5" w:rsidRDefault="006650D7" w:rsidP="006650D7">
            <w:pPr>
              <w:pStyle w:val="ColumnHeading"/>
              <w:keepNext/>
            </w:pPr>
            <w:r w:rsidRPr="00EB0CA5">
              <w:t>Poprawka</w:t>
            </w:r>
          </w:p>
        </w:tc>
      </w:tr>
      <w:tr w:rsidR="00EB0CA5" w:rsidRPr="00EB0CA5" w14:paraId="43130927" w14:textId="77777777" w:rsidTr="006650D7">
        <w:trPr>
          <w:jc w:val="center"/>
        </w:trPr>
        <w:tc>
          <w:tcPr>
            <w:tcW w:w="4876" w:type="dxa"/>
          </w:tcPr>
          <w:p w14:paraId="64415E50" w14:textId="77777777" w:rsidR="006650D7" w:rsidRPr="00EB0CA5" w:rsidRDefault="006650D7" w:rsidP="0086662F">
            <w:pPr>
              <w:pStyle w:val="Normal6"/>
            </w:pPr>
            <w:r w:rsidRPr="00EB0CA5">
              <w:t>(30)</w:t>
            </w:r>
            <w:r w:rsidRPr="00EB0CA5">
              <w:tab/>
              <w:t xml:space="preserve">W celu uwzględnienia rozwoju gospodarczego i postępu technicznego należy przekazać Komisji uprawnienia do przyjmowania aktów zgodnie z art. 290 Traktatu w odniesieniu do tematów szczegółowych określonych w załącznikach I i II, a także stopnia pokrycia w odniesieniu do wewnątrzunijnego wywozu towarów. Komisja powinna również mieć uprawnienia do uzupełniania tematów szczegółowych zakresami tematycznymi i cechami w odniesieniu do dynamicznej statystyki dotyczącej przedsiębiorstw w dziedzinach technologii informacyjno-komunikacyjnych, innowacji i globalnych łańcuchów wartości oraz dokładnych informacji, które mają być przekazywane przez organy podatkowe oraz organy celne. Szczególnie ważne jest, aby w czasie prac przygotowawczych Komisja prowadziła stosowne konsultacje, w tym na </w:t>
            </w:r>
            <w:r w:rsidRPr="00EB0CA5">
              <w:rPr>
                <w:b/>
                <w:i/>
              </w:rPr>
              <w:t>szczeblu</w:t>
            </w:r>
            <w:r w:rsidRPr="00EB0CA5">
              <w:t xml:space="preserve"> ekspertów, oraz aby konsultacje te prowadzone były zgodnie z zasadami określonymi w Porozumieniu międzyinstytucjonalnym w sprawie lepszego stanowienia prawa z dnia 13 kwietnia 2016 r</w:t>
            </w:r>
            <w:r w:rsidRPr="00EB0CA5">
              <w:rPr>
                <w:vertAlign w:val="superscript"/>
              </w:rPr>
              <w:t>1</w:t>
            </w:r>
            <w:r w:rsidRPr="00EB0CA5">
              <w:t>. W szczególności aby zapewnić udział na równych zasadach</w:t>
            </w:r>
            <w:r w:rsidRPr="00EB0CA5">
              <w:rPr>
                <w:b/>
                <w:i/>
              </w:rPr>
              <w:t xml:space="preserve"> Parlamentu Europejskiego i Rady</w:t>
            </w:r>
            <w:r w:rsidRPr="00EB0CA5">
              <w:t xml:space="preserve">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tc>
        <w:tc>
          <w:tcPr>
            <w:tcW w:w="4876" w:type="dxa"/>
            <w:hideMark/>
          </w:tcPr>
          <w:p w14:paraId="3ACC1A20" w14:textId="77777777" w:rsidR="006650D7" w:rsidRPr="00EB0CA5" w:rsidRDefault="006650D7" w:rsidP="0086662F">
            <w:pPr>
              <w:pStyle w:val="Normal6"/>
              <w:rPr>
                <w:szCs w:val="24"/>
              </w:rPr>
            </w:pPr>
            <w:r w:rsidRPr="00EB0CA5">
              <w:t>(30)</w:t>
            </w:r>
            <w:r w:rsidRPr="00EB0CA5">
              <w:tab/>
              <w:t>W celu uwzględnienia rozwoju gospodarczego i postępu technicznego należy przekazać Komisji uprawnienia do przyjmowania aktów zgodnie z art. 290 Traktatu w odniesieniu do tematów szczegółowych określonych w załącznikach I i II, a także stopnia pokrycia w odniesieniu do wewnątrzunijnego wywozu towarów. Komisja powinna również mieć uprawnienia do uzupełniania tematów szczegółowych zakresami tematycznymi i cechami w odniesieniu do dynamicznej statystyki dotyczącej przedsiębiorstw w dziedzinach technologii informacyjno-komunikacyjnych, innowacji i globalnych łańcuchów wartości</w:t>
            </w:r>
            <w:r w:rsidRPr="00EB0CA5">
              <w:rPr>
                <w:b/>
                <w:i/>
              </w:rPr>
              <w:t>, do uzupełniania tematów szczegółowych dotyczących rejestrów szczegółami opisowymi, do uzupełniania elementów danych statystycznych w odniesieniu do danych jednostkowych zgromadzonych w drodze badań dotyczących wewnątrzunijnego handlu towarami, które mają być przekazywane do państwa członkowskiego przywozu,</w:t>
            </w:r>
            <w:r w:rsidRPr="00EB0CA5">
              <w:t xml:space="preserve"> oraz </w:t>
            </w:r>
            <w:r w:rsidRPr="00EB0CA5">
              <w:rPr>
                <w:b/>
                <w:i/>
              </w:rPr>
              <w:t xml:space="preserve">do uzupełniania </w:t>
            </w:r>
            <w:r w:rsidRPr="00EB0CA5">
              <w:t xml:space="preserve">dokładnych informacji, które mają być przekazywane przez organy podatkowe oraz organy celne. Szczególnie ważne jest, aby w czasie prac przygotowawczych Komisja prowadziła stosowne konsultacje, w tym na </w:t>
            </w:r>
            <w:r w:rsidRPr="00EB0CA5">
              <w:rPr>
                <w:b/>
                <w:i/>
              </w:rPr>
              <w:t>poziomie</w:t>
            </w:r>
            <w:r w:rsidRPr="00EB0CA5">
              <w:t xml:space="preserve"> ekspertów, oraz aby konsultacje te prowadzone były zgodnie z zasadami określonymi w Porozumieniu międzyinstytucjonalnym w sprawie lepszego stanowienia prawa z dnia 13 kwietnia 2016 r</w:t>
            </w:r>
            <w:r w:rsidRPr="00EB0CA5">
              <w:rPr>
                <w:vertAlign w:val="superscript"/>
              </w:rPr>
              <w:t>1</w:t>
            </w:r>
            <w:r w:rsidRPr="00EB0CA5">
              <w:t>. W szczególności</w:t>
            </w:r>
            <w:r w:rsidRPr="00EB0CA5">
              <w:rPr>
                <w:b/>
                <w:i/>
              </w:rPr>
              <w:t>,</w:t>
            </w:r>
            <w:r w:rsidRPr="00EB0CA5">
              <w:t xml:space="preserve"> aby zapewnić </w:t>
            </w:r>
            <w:r w:rsidRPr="00EB0CA5">
              <w:rPr>
                <w:b/>
                <w:i/>
              </w:rPr>
              <w:t xml:space="preserve">Parlamentowi Europejskiemu i Radzie </w:t>
            </w:r>
            <w:r w:rsidRPr="00EB0CA5">
              <w:t xml:space="preserve">udział na równych zasadach w przygotowaniu aktów delegowanych, instytucje te otrzymują wszelkie dokumenty w tym samym czasie co eksperci państw członkowskich, a eksperci tych instytucji mogą systematycznie brać udział w posiedzeniach grup eksperckich Komisji zajmujących się przygotowaniem </w:t>
            </w:r>
            <w:r w:rsidRPr="00EB0CA5">
              <w:lastRenderedPageBreak/>
              <w:t>aktów delegowanych.</w:t>
            </w:r>
          </w:p>
        </w:tc>
      </w:tr>
      <w:tr w:rsidR="00EB0CA5" w:rsidRPr="00EB0CA5" w14:paraId="0506D233" w14:textId="77777777" w:rsidTr="006650D7">
        <w:trPr>
          <w:jc w:val="center"/>
        </w:trPr>
        <w:tc>
          <w:tcPr>
            <w:tcW w:w="4876" w:type="dxa"/>
          </w:tcPr>
          <w:p w14:paraId="4C52FA9A" w14:textId="77777777" w:rsidR="006650D7" w:rsidRPr="00EB0CA5" w:rsidRDefault="006650D7" w:rsidP="0086662F">
            <w:pPr>
              <w:pStyle w:val="Normal6"/>
            </w:pPr>
            <w:r w:rsidRPr="00EB0CA5">
              <w:lastRenderedPageBreak/>
              <w:t>__________________</w:t>
            </w:r>
          </w:p>
        </w:tc>
        <w:tc>
          <w:tcPr>
            <w:tcW w:w="4876" w:type="dxa"/>
          </w:tcPr>
          <w:p w14:paraId="2664D331" w14:textId="77777777" w:rsidR="006650D7" w:rsidRPr="00EB0CA5" w:rsidRDefault="006650D7" w:rsidP="0086662F">
            <w:pPr>
              <w:pStyle w:val="Normal6"/>
            </w:pPr>
            <w:r w:rsidRPr="00EB0CA5">
              <w:t>__________________</w:t>
            </w:r>
          </w:p>
        </w:tc>
      </w:tr>
      <w:tr w:rsidR="00EB0CA5" w:rsidRPr="00EB0CA5" w14:paraId="6C18A570" w14:textId="77777777" w:rsidTr="006650D7">
        <w:trPr>
          <w:jc w:val="center"/>
        </w:trPr>
        <w:tc>
          <w:tcPr>
            <w:tcW w:w="4876" w:type="dxa"/>
          </w:tcPr>
          <w:p w14:paraId="71BAA85F" w14:textId="77777777" w:rsidR="006650D7" w:rsidRPr="00EB0CA5" w:rsidRDefault="006650D7" w:rsidP="0086662F">
            <w:pPr>
              <w:pStyle w:val="Normal6"/>
            </w:pPr>
            <w:r w:rsidRPr="00EB0CA5">
              <w:tab/>
              <w:t>Dz.U. L 123 z 12.5.2016, s. 1.</w:t>
            </w:r>
          </w:p>
        </w:tc>
        <w:tc>
          <w:tcPr>
            <w:tcW w:w="4876" w:type="dxa"/>
          </w:tcPr>
          <w:p w14:paraId="20DA270B" w14:textId="77777777" w:rsidR="006650D7" w:rsidRPr="00EB0CA5" w:rsidRDefault="006650D7" w:rsidP="0086662F">
            <w:pPr>
              <w:pStyle w:val="Normal6"/>
            </w:pPr>
            <w:r w:rsidRPr="00EB0CA5">
              <w:tab/>
              <w:t>Dz.U. L 123 z 12.5.2016, s. 1.</w:t>
            </w:r>
          </w:p>
        </w:tc>
      </w:tr>
    </w:tbl>
    <w:p w14:paraId="0B2EE4EC" w14:textId="77777777" w:rsidR="006650D7" w:rsidRPr="00EB0CA5" w:rsidRDefault="006650D7" w:rsidP="006650D7">
      <w:pPr>
        <w:rPr>
          <w:szCs w:val="24"/>
        </w:rPr>
      </w:pPr>
      <w:r w:rsidRPr="00EB0CA5">
        <w:rPr>
          <w:rStyle w:val="HideTWBExt"/>
          <w:noProof w:val="0"/>
          <w:color w:val="auto"/>
        </w:rPr>
        <w:t>&lt;/Amend&gt;</w:t>
      </w:r>
    </w:p>
    <w:p w14:paraId="2110F2ED" w14:textId="2CFD8FF7" w:rsidR="006650D7" w:rsidRPr="00EB0CA5" w:rsidRDefault="006650D7" w:rsidP="006650D7">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13</w:t>
      </w:r>
      <w:r w:rsidRPr="00EB0CA5">
        <w:rPr>
          <w:rStyle w:val="HideTWBExt"/>
          <w:b w:val="0"/>
          <w:noProof w:val="0"/>
          <w:color w:val="auto"/>
        </w:rPr>
        <w:t>&lt;/NumAm&gt;</w:t>
      </w:r>
    </w:p>
    <w:p w14:paraId="224422A0" w14:textId="77777777" w:rsidR="006650D7" w:rsidRPr="00EB0CA5" w:rsidRDefault="006650D7" w:rsidP="006650D7">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AF11444" w14:textId="77777777" w:rsidR="006650D7" w:rsidRPr="00EB0CA5" w:rsidRDefault="006650D7" w:rsidP="006650D7">
      <w:pPr>
        <w:pStyle w:val="NormalBold"/>
      </w:pPr>
      <w:r w:rsidRPr="00EB0CA5">
        <w:rPr>
          <w:rStyle w:val="HideTWBExt"/>
          <w:b w:val="0"/>
          <w:noProof w:val="0"/>
          <w:color w:val="auto"/>
        </w:rPr>
        <w:t>&lt;Article&gt;</w:t>
      </w:r>
      <w:r w:rsidRPr="00EB0CA5">
        <w:t>Motyw 31</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7A121E4F" w14:textId="77777777" w:rsidTr="00DF3EF3">
        <w:trPr>
          <w:jc w:val="center"/>
        </w:trPr>
        <w:tc>
          <w:tcPr>
            <w:tcW w:w="9752" w:type="dxa"/>
            <w:gridSpan w:val="2"/>
          </w:tcPr>
          <w:p w14:paraId="7DA33AC2" w14:textId="77777777" w:rsidR="006650D7" w:rsidRPr="00EB0CA5" w:rsidRDefault="006650D7" w:rsidP="006650D7">
            <w:pPr>
              <w:keepNext/>
            </w:pPr>
          </w:p>
        </w:tc>
      </w:tr>
      <w:tr w:rsidR="00EB0CA5" w:rsidRPr="00EB0CA5" w14:paraId="0CD2F56B" w14:textId="77777777" w:rsidTr="00DF3EF3">
        <w:trPr>
          <w:jc w:val="center"/>
        </w:trPr>
        <w:tc>
          <w:tcPr>
            <w:tcW w:w="4876" w:type="dxa"/>
            <w:hideMark/>
          </w:tcPr>
          <w:p w14:paraId="2421A407" w14:textId="77777777" w:rsidR="006650D7" w:rsidRPr="00EB0CA5" w:rsidRDefault="006650D7" w:rsidP="006650D7">
            <w:pPr>
              <w:pStyle w:val="ColumnHeading"/>
              <w:keepNext/>
            </w:pPr>
            <w:r w:rsidRPr="00EB0CA5">
              <w:t>Tekst proponowany przez Komisję</w:t>
            </w:r>
          </w:p>
        </w:tc>
        <w:tc>
          <w:tcPr>
            <w:tcW w:w="4876" w:type="dxa"/>
            <w:hideMark/>
          </w:tcPr>
          <w:p w14:paraId="399E669A" w14:textId="77777777" w:rsidR="006650D7" w:rsidRPr="00EB0CA5" w:rsidRDefault="006650D7" w:rsidP="006650D7">
            <w:pPr>
              <w:pStyle w:val="ColumnHeading"/>
              <w:keepNext/>
            </w:pPr>
            <w:r w:rsidRPr="00EB0CA5">
              <w:t>Poprawka</w:t>
            </w:r>
          </w:p>
        </w:tc>
      </w:tr>
      <w:tr w:rsidR="00EB0CA5" w:rsidRPr="00EB0CA5" w14:paraId="45558D4A" w14:textId="77777777" w:rsidTr="00DF3EF3">
        <w:trPr>
          <w:jc w:val="center"/>
        </w:trPr>
        <w:tc>
          <w:tcPr>
            <w:tcW w:w="4876" w:type="dxa"/>
          </w:tcPr>
          <w:p w14:paraId="141DCAB0" w14:textId="77777777" w:rsidR="006650D7" w:rsidRPr="00EB0CA5" w:rsidRDefault="006650D7" w:rsidP="0086662F">
            <w:pPr>
              <w:pStyle w:val="Normal6"/>
            </w:pPr>
            <w:r w:rsidRPr="00EB0CA5">
              <w:t>(31)</w:t>
            </w:r>
            <w:r w:rsidRPr="00EB0CA5">
              <w:tab/>
              <w:t>W celu zapewnienia jednolitych warunków technicznego wdrażania niektórych elementów wymogów, w tym tych dotyczących rejestrów przedsiębiorstw, formatu, środków bezpieczeństwa i poufności oraz procedury wymiany poufnych danych do celów europejskiej sieci statystycznych rejestrów przedsiębiorstw, należy przyznać Komisji uprawnienia wykonawcze w odniesieniu do przekazywania danych i metadanych, sprawozdań na temat jakości danych i na temat metadanych oraz odstępstw. W tym samym celu należy przyznać Komisji dodatkowe uprawnienia wykonawcze w odniesieniu do sposobów i formatu wymiany poufnych danych do celów statystki dotyczącej wewnątrzunijnego handlu towarami, środków bezpieczeństwa i poufności związanych z taką wymianą oraz jej procedury, specyfikacji istotnych metadanych, harmonogramu, sposobów zbierania i zestawiania informacji statystycznych na temat wewnątrzunijnego wywozu towarów przekazywanych do państwa członkowskiego przywozu, sposobów stosowania stopnia pokrycia w odniesieniu do całkowitego wewnątrzunijnego wywozu towarów</w:t>
            </w:r>
            <w:r w:rsidRPr="00EB0CA5">
              <w:rPr>
                <w:b/>
                <w:i/>
              </w:rPr>
              <w:t>,</w:t>
            </w:r>
            <w:r w:rsidRPr="00EB0CA5">
              <w:t xml:space="preserve"> elementów danych statystycznych w odniesieniu do danych jednostkowych </w:t>
            </w:r>
            <w:r w:rsidRPr="00EB0CA5">
              <w:rPr>
                <w:b/>
                <w:i/>
              </w:rPr>
              <w:t>zbieranych przy pomocy</w:t>
            </w:r>
            <w:r w:rsidRPr="00EB0CA5">
              <w:t xml:space="preserve"> badań dotyczących wewnątrzunijnego handlu towarami, które mają być przekazywane do państwa członkowskiego przywozu</w:t>
            </w:r>
            <w:r w:rsidRPr="00EB0CA5">
              <w:rPr>
                <w:b/>
                <w:i/>
              </w:rPr>
              <w:t>, i związanych z tym uproszczeń</w:t>
            </w:r>
            <w:r w:rsidRPr="00EB0CA5">
              <w:t xml:space="preserve">. </w:t>
            </w:r>
            <w:r w:rsidRPr="00EB0CA5">
              <w:lastRenderedPageBreak/>
              <w:t>Uprawnienia te powinny być wykonywane zgodnie z rozporządzeniem Parlamentu Europejskiego i Rady (UE) nr 182/2011</w:t>
            </w:r>
            <w:r w:rsidRPr="00EB0CA5">
              <w:rPr>
                <w:szCs w:val="24"/>
                <w:vertAlign w:val="superscript"/>
              </w:rPr>
              <w:t>1</w:t>
            </w:r>
            <w:r w:rsidRPr="00EB0CA5">
              <w:t>.</w:t>
            </w:r>
            <w:r w:rsidRPr="00EB0CA5">
              <w:rPr>
                <w:szCs w:val="24"/>
              </w:rPr>
              <w:t xml:space="preserve"> </w:t>
            </w:r>
          </w:p>
        </w:tc>
        <w:tc>
          <w:tcPr>
            <w:tcW w:w="4876" w:type="dxa"/>
            <w:hideMark/>
          </w:tcPr>
          <w:p w14:paraId="55F579FC" w14:textId="19701CA7" w:rsidR="006650D7" w:rsidRPr="00EB0CA5" w:rsidRDefault="006650D7" w:rsidP="00E74A7B">
            <w:pPr>
              <w:pStyle w:val="Normal6"/>
              <w:rPr>
                <w:szCs w:val="24"/>
              </w:rPr>
            </w:pPr>
            <w:r w:rsidRPr="00EB0CA5">
              <w:rPr>
                <w:szCs w:val="24"/>
              </w:rPr>
              <w:lastRenderedPageBreak/>
              <w:t>(31)</w:t>
            </w:r>
            <w:r w:rsidRPr="00EB0CA5">
              <w:tab/>
            </w:r>
            <w:r w:rsidRPr="00EB0CA5">
              <w:rPr>
                <w:szCs w:val="24"/>
              </w:rPr>
              <w:t>W celu zapewnienia jednolitych warunków technicznego wdrażania niektórych elementów wymogów, w tym tych dotyczących rejestrów przedsiębiorstw, formatu, środków bezpieczeństwa i poufności oraz procedury wymiany poufnych danych do celów europejskiej sieci statystycznych rejestrów przedsiębiorstw, należy przyznać Komisji uprawnienia wykonawcze w odniesieniu do przekazywania danych i metadanych, sprawozdań na temat jakości danych i na temat metadanych oraz odstępstw. W tym samym celu należy przyznać Komisji dodatkowe uprawnienia wykonawcze w odniesieniu do sposobów i formatu wymiany poufnych danych do celów statystki dotyczącej wewnątrzunijnego handlu towarami, środków bezpieczeństwa i poufności związanych z taką wymianą oraz jej procedury, specyfikacji istotnych metadanych, harmonogramu, sposobów zbierania i zestawiania informacji statystycznych na temat wewnątrzunijnego wywozu towarów przekazywanych do państwa członkowskiego przywozu, sposobów stosowania stopnia pokrycia w odniesieniu do całkowitego wewnątrzunijnego wywozu towarów</w:t>
            </w:r>
            <w:r w:rsidRPr="00EB0CA5">
              <w:rPr>
                <w:b/>
                <w:i/>
                <w:szCs w:val="24"/>
              </w:rPr>
              <w:t xml:space="preserve"> oraz szczegółowych zasad uproszczenia</w:t>
            </w:r>
            <w:r w:rsidRPr="00EB0CA5">
              <w:rPr>
                <w:szCs w:val="24"/>
              </w:rPr>
              <w:t xml:space="preserve"> elementów danych statystycznych w odniesieniu do danych jednostkowych </w:t>
            </w:r>
            <w:r w:rsidRPr="00EB0CA5">
              <w:rPr>
                <w:b/>
                <w:i/>
                <w:szCs w:val="24"/>
              </w:rPr>
              <w:t>zgromadzonych w drodze</w:t>
            </w:r>
            <w:r w:rsidRPr="00EB0CA5">
              <w:rPr>
                <w:szCs w:val="24"/>
              </w:rPr>
              <w:t xml:space="preserve"> badań dotyczących wewnątrzunijnego handlu towarami, które mają być przekazywane do państwa członkowskiego przywozu. </w:t>
            </w:r>
            <w:r w:rsidRPr="00EB0CA5">
              <w:rPr>
                <w:szCs w:val="24"/>
              </w:rPr>
              <w:lastRenderedPageBreak/>
              <w:t>Uprawnienia te powinny być wykonywane zgodnie z rozporządzeniem Parlamentu Europejskiego i Rady (UE) nr 182/2011</w:t>
            </w:r>
            <w:r w:rsidRPr="00EB0CA5">
              <w:rPr>
                <w:szCs w:val="24"/>
                <w:vertAlign w:val="superscript"/>
              </w:rPr>
              <w:t>1</w:t>
            </w:r>
            <w:r w:rsidRPr="00EB0CA5">
              <w:rPr>
                <w:szCs w:val="24"/>
              </w:rPr>
              <w:t>.</w:t>
            </w:r>
          </w:p>
        </w:tc>
      </w:tr>
      <w:tr w:rsidR="00EB0CA5" w:rsidRPr="00EB0CA5" w14:paraId="768A21D1" w14:textId="77777777" w:rsidTr="00DF3EF3">
        <w:trPr>
          <w:jc w:val="center"/>
        </w:trPr>
        <w:tc>
          <w:tcPr>
            <w:tcW w:w="4876" w:type="dxa"/>
          </w:tcPr>
          <w:p w14:paraId="7E1A3A6D" w14:textId="77777777" w:rsidR="006650D7" w:rsidRPr="00EB0CA5" w:rsidRDefault="006650D7" w:rsidP="0086662F">
            <w:pPr>
              <w:pStyle w:val="Normal6"/>
            </w:pPr>
            <w:r w:rsidRPr="00EB0CA5">
              <w:lastRenderedPageBreak/>
              <w:t>__________________</w:t>
            </w:r>
          </w:p>
        </w:tc>
        <w:tc>
          <w:tcPr>
            <w:tcW w:w="4876" w:type="dxa"/>
          </w:tcPr>
          <w:p w14:paraId="4F40730A" w14:textId="77777777" w:rsidR="006650D7" w:rsidRPr="00EB0CA5" w:rsidRDefault="003D7B66" w:rsidP="0086662F">
            <w:pPr>
              <w:pStyle w:val="Normal6"/>
              <w:rPr>
                <w:szCs w:val="24"/>
              </w:rPr>
            </w:pPr>
            <w:r w:rsidRPr="00EB0CA5">
              <w:t>__________________</w:t>
            </w:r>
          </w:p>
        </w:tc>
      </w:tr>
      <w:tr w:rsidR="00EB0CA5" w:rsidRPr="00EB0CA5" w14:paraId="3B57099D" w14:textId="77777777" w:rsidTr="00DF3EF3">
        <w:trPr>
          <w:jc w:val="center"/>
        </w:trPr>
        <w:tc>
          <w:tcPr>
            <w:tcW w:w="4876" w:type="dxa"/>
          </w:tcPr>
          <w:p w14:paraId="2C40514D" w14:textId="6E994091" w:rsidR="006650D7" w:rsidRPr="00EB0CA5" w:rsidRDefault="00D07935" w:rsidP="0086662F">
            <w:pPr>
              <w:pStyle w:val="Normal6"/>
            </w:pPr>
            <w:r w:rsidRPr="00370822">
              <w:rPr>
                <w:rStyle w:val="FootnoteReference"/>
              </w:rPr>
              <w:footnoteRef/>
            </w:r>
            <w:r w:rsidR="006650D7" w:rsidRPr="00EB0CA5">
              <w:tab/>
              <w:t>Rozporządzenie Parlamentu Europejskiego i Rady (UE) nr 182/2011 z dnia 16 lutego 2011 r. ustanawiające przepisy i zasady ogólne dotyczące trybu kontroli przez państwa członkowskie wykonywania uprawnień wykonawczych przez Komisję (Dz.U. L 55 z 28.2.2011, s. 13).</w:t>
            </w:r>
          </w:p>
        </w:tc>
        <w:tc>
          <w:tcPr>
            <w:tcW w:w="4876" w:type="dxa"/>
          </w:tcPr>
          <w:p w14:paraId="3A7BD2E9" w14:textId="084EED18" w:rsidR="006650D7" w:rsidRPr="00EB0CA5" w:rsidRDefault="00D07935" w:rsidP="0086662F">
            <w:pPr>
              <w:pStyle w:val="Normal6"/>
              <w:rPr>
                <w:szCs w:val="24"/>
              </w:rPr>
            </w:pPr>
            <w:r w:rsidRPr="00370822">
              <w:rPr>
                <w:rStyle w:val="FootnoteReference"/>
              </w:rPr>
              <w:footnoteRef/>
            </w:r>
            <w:r w:rsidR="006650D7" w:rsidRPr="00EB0CA5">
              <w:tab/>
              <w:t>Rozporządzenie Parlamentu Europejskiego i Rady (UE) nr 182/2011 z dnia 16 lutego 2011 r. ustanawiające przepisy i zasady ogólne dotyczące trybu kontroli przez państwa członkowskie wykonywania uprawnień wykonawczych przez Komisję (Dz.U. L 55 z 28.2.2011, s. 13).</w:t>
            </w:r>
          </w:p>
        </w:tc>
      </w:tr>
    </w:tbl>
    <w:p w14:paraId="57565288" w14:textId="77777777" w:rsidR="00D5541D" w:rsidRPr="00EB0CA5" w:rsidRDefault="00D5541D" w:rsidP="00D5541D">
      <w:pPr>
        <w:rPr>
          <w:szCs w:val="24"/>
        </w:rPr>
      </w:pPr>
      <w:r w:rsidRPr="00EB0CA5">
        <w:rPr>
          <w:rStyle w:val="HideTWBExt"/>
          <w:noProof w:val="0"/>
          <w:color w:val="auto"/>
        </w:rPr>
        <w:t>&lt;/Amend&gt;</w:t>
      </w:r>
    </w:p>
    <w:p w14:paraId="5E766B51" w14:textId="1688BC0B" w:rsidR="00DF3EF3" w:rsidRPr="00EB0CA5" w:rsidRDefault="00DF3EF3" w:rsidP="00DF3EF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14</w:t>
      </w:r>
      <w:r w:rsidRPr="00EB0CA5">
        <w:rPr>
          <w:rStyle w:val="HideTWBExt"/>
          <w:b w:val="0"/>
          <w:noProof w:val="0"/>
          <w:color w:val="auto"/>
        </w:rPr>
        <w:t>&lt;/NumAm&gt;</w:t>
      </w:r>
    </w:p>
    <w:p w14:paraId="7FFFECD2" w14:textId="77777777" w:rsidR="00DF3EF3" w:rsidRPr="00EB0CA5" w:rsidRDefault="00DF3EF3" w:rsidP="00DF3EF3">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82D31CC" w14:textId="77777777" w:rsidR="00DF3EF3" w:rsidRPr="00EB0CA5" w:rsidRDefault="00DF3EF3" w:rsidP="00DF3EF3">
      <w:pPr>
        <w:pStyle w:val="NormalBold"/>
      </w:pPr>
      <w:r w:rsidRPr="00EB0CA5">
        <w:rPr>
          <w:rStyle w:val="HideTWBExt"/>
          <w:b w:val="0"/>
          <w:noProof w:val="0"/>
          <w:color w:val="auto"/>
        </w:rPr>
        <w:t>&lt;Article&gt;</w:t>
      </w:r>
      <w:r w:rsidRPr="00EB0CA5">
        <w:t>Motyw 32</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4F31C59C" w14:textId="77777777" w:rsidTr="00D5541D">
        <w:trPr>
          <w:jc w:val="center"/>
        </w:trPr>
        <w:tc>
          <w:tcPr>
            <w:tcW w:w="9752" w:type="dxa"/>
            <w:gridSpan w:val="2"/>
          </w:tcPr>
          <w:p w14:paraId="18DC1C2E" w14:textId="77777777" w:rsidR="00DF3EF3" w:rsidRPr="00EB0CA5" w:rsidRDefault="00DF3EF3" w:rsidP="00D5541D">
            <w:pPr>
              <w:keepNext/>
            </w:pPr>
          </w:p>
        </w:tc>
      </w:tr>
      <w:tr w:rsidR="00EB0CA5" w:rsidRPr="00EB0CA5" w14:paraId="75A58463" w14:textId="77777777" w:rsidTr="00D5541D">
        <w:trPr>
          <w:jc w:val="center"/>
        </w:trPr>
        <w:tc>
          <w:tcPr>
            <w:tcW w:w="4876" w:type="dxa"/>
          </w:tcPr>
          <w:p w14:paraId="4376D4A7" w14:textId="77777777" w:rsidR="00DF3EF3" w:rsidRPr="00EB0CA5" w:rsidRDefault="00DF3EF3" w:rsidP="00D5541D">
            <w:pPr>
              <w:pStyle w:val="ColumnHeading"/>
              <w:keepNext/>
            </w:pPr>
            <w:r w:rsidRPr="00EB0CA5">
              <w:t>Tekst proponowany przez Komisję</w:t>
            </w:r>
          </w:p>
        </w:tc>
        <w:tc>
          <w:tcPr>
            <w:tcW w:w="4876" w:type="dxa"/>
          </w:tcPr>
          <w:p w14:paraId="40C8E27C" w14:textId="77777777" w:rsidR="00DF3EF3" w:rsidRPr="00EB0CA5" w:rsidRDefault="00DF3EF3" w:rsidP="00D5541D">
            <w:pPr>
              <w:pStyle w:val="ColumnHeading"/>
              <w:keepNext/>
            </w:pPr>
            <w:r w:rsidRPr="00EB0CA5">
              <w:t>Poprawka</w:t>
            </w:r>
          </w:p>
        </w:tc>
      </w:tr>
      <w:tr w:rsidR="00EB0CA5" w:rsidRPr="00EB0CA5" w14:paraId="2696339C" w14:textId="77777777" w:rsidTr="00D5541D">
        <w:trPr>
          <w:jc w:val="center"/>
        </w:trPr>
        <w:tc>
          <w:tcPr>
            <w:tcW w:w="4876" w:type="dxa"/>
          </w:tcPr>
          <w:p w14:paraId="69D4C5E5" w14:textId="77777777" w:rsidR="00DF3EF3" w:rsidRPr="00EB0CA5" w:rsidRDefault="00DF3EF3" w:rsidP="00D5541D">
            <w:pPr>
              <w:pStyle w:val="Normal6"/>
            </w:pPr>
            <w:r w:rsidRPr="00EB0CA5">
              <w:t>(32)</w:t>
            </w:r>
            <w:r w:rsidRPr="00EB0CA5">
              <w:tab/>
              <w:t>W stosownych przypadkach Komisja powinna dokonywać analizy kosztów i korzyści oraz zapewnić, aby żadne działania, które podejmuje, nie nakładały znacznego dodatkowego obciążenia na państwa członkowskie ani na respondentów, biorąc pod uwagę oczekiwane korzyści dla użytkowników.</w:t>
            </w:r>
          </w:p>
        </w:tc>
        <w:tc>
          <w:tcPr>
            <w:tcW w:w="4876" w:type="dxa"/>
          </w:tcPr>
          <w:p w14:paraId="22B8CCD1" w14:textId="7AE9FB5F" w:rsidR="00DF3EF3" w:rsidRPr="00EB0CA5" w:rsidRDefault="00DF3EF3" w:rsidP="00D5541D">
            <w:pPr>
              <w:pStyle w:val="Normal6"/>
              <w:rPr>
                <w:szCs w:val="24"/>
              </w:rPr>
            </w:pPr>
            <w:r w:rsidRPr="00EB0CA5">
              <w:t>(32)</w:t>
            </w:r>
            <w:r w:rsidRPr="00EB0CA5">
              <w:tab/>
              <w:t xml:space="preserve">W stosownych przypadkach Komisja powinna dokonywać analizy kosztów i korzyści oraz zapewnić, aby żadne działania, które podejmuje, nie nakładały znacznego dodatkowego obciążenia na państwa członkowskie ani na respondentów, </w:t>
            </w:r>
            <w:r w:rsidRPr="00EB0CA5">
              <w:rPr>
                <w:b/>
                <w:i/>
              </w:rPr>
              <w:t xml:space="preserve">w szczególności MŚP, </w:t>
            </w:r>
            <w:r w:rsidRPr="00EB0CA5">
              <w:t>biorąc pod uwagę oczekiwane korzyści dla użytkowników</w:t>
            </w:r>
            <w:r w:rsidRPr="00EB0CA5">
              <w:rPr>
                <w:b/>
                <w:i/>
              </w:rPr>
              <w:t>, oraz aby działania te prowadziły do poprawy jakości statystycznej</w:t>
            </w:r>
            <w:r w:rsidRPr="00EB0CA5">
              <w:t>.</w:t>
            </w:r>
          </w:p>
        </w:tc>
      </w:tr>
    </w:tbl>
    <w:p w14:paraId="6B46BEA9" w14:textId="77777777" w:rsidR="00DF3EF3" w:rsidRPr="00EB0CA5" w:rsidRDefault="00DF3EF3" w:rsidP="00DF3EF3">
      <w:r w:rsidRPr="00EB0CA5">
        <w:rPr>
          <w:rStyle w:val="HideTWBExt"/>
          <w:noProof w:val="0"/>
          <w:color w:val="auto"/>
        </w:rPr>
        <w:t>&lt;/Amend&gt;</w:t>
      </w:r>
    </w:p>
    <w:p w14:paraId="0A056E44" w14:textId="16A2A626" w:rsidR="00AA727B" w:rsidRPr="00EB0CA5" w:rsidRDefault="00AA727B" w:rsidP="00AA727B">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15</w:t>
      </w:r>
      <w:r w:rsidRPr="00EB0CA5">
        <w:rPr>
          <w:rStyle w:val="HideTWBExt"/>
          <w:b w:val="0"/>
          <w:noProof w:val="0"/>
          <w:color w:val="auto"/>
        </w:rPr>
        <w:t>&lt;/NumAm&gt;</w:t>
      </w:r>
    </w:p>
    <w:p w14:paraId="0D63CB6C" w14:textId="77777777" w:rsidR="00AA727B" w:rsidRPr="00EB0CA5" w:rsidRDefault="00AA727B" w:rsidP="00AA727B">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487FA1DC" w14:textId="77777777" w:rsidR="00AA727B" w:rsidRPr="00EB0CA5" w:rsidRDefault="00AA727B" w:rsidP="00AA727B">
      <w:pPr>
        <w:pStyle w:val="NormalBold"/>
      </w:pPr>
      <w:r w:rsidRPr="00EB0CA5">
        <w:rPr>
          <w:rStyle w:val="HideTWBExt"/>
          <w:b w:val="0"/>
          <w:noProof w:val="0"/>
          <w:color w:val="auto"/>
        </w:rPr>
        <w:t>&lt;Article&gt;</w:t>
      </w:r>
      <w:r w:rsidRPr="00EB0CA5">
        <w:t>Artykuł 2 – ustęp 1 – litera o a (nowa)</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0DC4B68F" w14:textId="77777777" w:rsidTr="00AA727B">
        <w:trPr>
          <w:jc w:val="center"/>
        </w:trPr>
        <w:tc>
          <w:tcPr>
            <w:tcW w:w="9752" w:type="dxa"/>
            <w:gridSpan w:val="2"/>
          </w:tcPr>
          <w:p w14:paraId="63715487" w14:textId="77777777" w:rsidR="00AA727B" w:rsidRPr="00EB0CA5" w:rsidRDefault="00AA727B" w:rsidP="00AA727B">
            <w:pPr>
              <w:keepNext/>
            </w:pPr>
          </w:p>
        </w:tc>
      </w:tr>
      <w:tr w:rsidR="00EB0CA5" w:rsidRPr="00EB0CA5" w14:paraId="66C6D84F" w14:textId="77777777" w:rsidTr="00AA727B">
        <w:trPr>
          <w:jc w:val="center"/>
        </w:trPr>
        <w:tc>
          <w:tcPr>
            <w:tcW w:w="4876" w:type="dxa"/>
          </w:tcPr>
          <w:p w14:paraId="4E9C348F" w14:textId="77777777" w:rsidR="00AA727B" w:rsidRPr="00EB0CA5" w:rsidRDefault="00AA727B" w:rsidP="00AA727B">
            <w:pPr>
              <w:pStyle w:val="ColumnHeading"/>
              <w:keepNext/>
            </w:pPr>
            <w:r w:rsidRPr="00EB0CA5">
              <w:t>Tekst proponowany przez Komisję</w:t>
            </w:r>
          </w:p>
        </w:tc>
        <w:tc>
          <w:tcPr>
            <w:tcW w:w="4876" w:type="dxa"/>
          </w:tcPr>
          <w:p w14:paraId="59993D05" w14:textId="77777777" w:rsidR="00AA727B" w:rsidRPr="00EB0CA5" w:rsidRDefault="00AA727B" w:rsidP="00AA727B">
            <w:pPr>
              <w:pStyle w:val="ColumnHeading"/>
              <w:keepNext/>
            </w:pPr>
            <w:r w:rsidRPr="00EB0CA5">
              <w:t>Poprawka</w:t>
            </w:r>
          </w:p>
        </w:tc>
      </w:tr>
      <w:tr w:rsidR="00EB0CA5" w:rsidRPr="00EB0CA5" w14:paraId="29C0D3A2" w14:textId="77777777" w:rsidTr="00AA727B">
        <w:trPr>
          <w:jc w:val="center"/>
        </w:trPr>
        <w:tc>
          <w:tcPr>
            <w:tcW w:w="4876" w:type="dxa"/>
          </w:tcPr>
          <w:p w14:paraId="75653353" w14:textId="77777777" w:rsidR="00AA727B" w:rsidRPr="00EB0CA5" w:rsidRDefault="00AA727B" w:rsidP="00AA727B">
            <w:pPr>
              <w:pStyle w:val="Normal6"/>
            </w:pPr>
          </w:p>
        </w:tc>
        <w:tc>
          <w:tcPr>
            <w:tcW w:w="4876" w:type="dxa"/>
          </w:tcPr>
          <w:p w14:paraId="466EF52F" w14:textId="77777777" w:rsidR="00AA727B" w:rsidRPr="00EB0CA5" w:rsidRDefault="00AA727B" w:rsidP="00AA727B">
            <w:pPr>
              <w:pStyle w:val="Normal6"/>
              <w:rPr>
                <w:szCs w:val="24"/>
              </w:rPr>
            </w:pPr>
            <w:r w:rsidRPr="00EB0CA5">
              <w:rPr>
                <w:b/>
                <w:i/>
              </w:rPr>
              <w:t>oa)</w:t>
            </w:r>
            <w:r w:rsidRPr="00EB0CA5">
              <w:rPr>
                <w:b/>
                <w:i/>
              </w:rPr>
              <w:tab/>
              <w:t>„wyniki działalności” oznaczają wszelkie stosowne wskaźniki oceny wymiarów: gospodarczego, społecznego i środowiskowego, związanych z funkcjonowaniem i produkcją przedsiębiorstw;</w:t>
            </w:r>
          </w:p>
        </w:tc>
      </w:tr>
    </w:tbl>
    <w:p w14:paraId="6583B33C" w14:textId="77777777" w:rsidR="00AA727B" w:rsidRPr="00EB0CA5" w:rsidRDefault="00AA727B" w:rsidP="00AA727B">
      <w:r w:rsidRPr="00EB0CA5">
        <w:rPr>
          <w:rStyle w:val="HideTWBExt"/>
          <w:noProof w:val="0"/>
          <w:color w:val="auto"/>
        </w:rPr>
        <w:lastRenderedPageBreak/>
        <w:t>&lt;/Amend&gt;</w:t>
      </w:r>
    </w:p>
    <w:p w14:paraId="6C0506D7" w14:textId="78CCC376"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16</w:t>
      </w:r>
      <w:r w:rsidRPr="00EB0CA5">
        <w:rPr>
          <w:rStyle w:val="HideTWBExt"/>
          <w:b w:val="0"/>
          <w:noProof w:val="0"/>
          <w:color w:val="auto"/>
        </w:rPr>
        <w:t>&lt;/NumAm&gt;</w:t>
      </w:r>
    </w:p>
    <w:p w14:paraId="17E45706"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DEB50D4" w14:textId="77777777" w:rsidR="008E0B4F" w:rsidRPr="00EB0CA5" w:rsidRDefault="008E0B4F" w:rsidP="008E0B4F">
      <w:pPr>
        <w:pStyle w:val="NormalBold"/>
      </w:pPr>
      <w:r w:rsidRPr="00EB0CA5">
        <w:rPr>
          <w:rStyle w:val="HideTWBExt"/>
          <w:b w:val="0"/>
          <w:noProof w:val="0"/>
          <w:color w:val="auto"/>
        </w:rPr>
        <w:t>&lt;Article&gt;</w:t>
      </w:r>
      <w:r w:rsidRPr="00EB0CA5">
        <w:t>Artykuł 3 – ustęp 2 – wprowadzenie</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122473AC" w14:textId="77777777" w:rsidTr="008E0B4F">
        <w:trPr>
          <w:jc w:val="center"/>
        </w:trPr>
        <w:tc>
          <w:tcPr>
            <w:tcW w:w="9752" w:type="dxa"/>
            <w:gridSpan w:val="2"/>
          </w:tcPr>
          <w:p w14:paraId="3788B214" w14:textId="77777777" w:rsidR="008E0B4F" w:rsidRPr="00EB0CA5" w:rsidRDefault="008E0B4F">
            <w:pPr>
              <w:keepNext/>
            </w:pPr>
          </w:p>
        </w:tc>
      </w:tr>
      <w:tr w:rsidR="00EB0CA5" w:rsidRPr="00EB0CA5" w14:paraId="6329595B" w14:textId="77777777" w:rsidTr="008E0B4F">
        <w:trPr>
          <w:jc w:val="center"/>
        </w:trPr>
        <w:tc>
          <w:tcPr>
            <w:tcW w:w="4876" w:type="dxa"/>
            <w:hideMark/>
          </w:tcPr>
          <w:p w14:paraId="1B764F20" w14:textId="77777777" w:rsidR="008E0B4F" w:rsidRPr="00EB0CA5" w:rsidRDefault="008E0B4F">
            <w:pPr>
              <w:pStyle w:val="ColumnHeading"/>
              <w:keepNext/>
            </w:pPr>
            <w:r w:rsidRPr="00EB0CA5">
              <w:t>Tekst proponowany przez Komisję</w:t>
            </w:r>
          </w:p>
        </w:tc>
        <w:tc>
          <w:tcPr>
            <w:tcW w:w="4876" w:type="dxa"/>
            <w:hideMark/>
          </w:tcPr>
          <w:p w14:paraId="24C63699" w14:textId="77777777" w:rsidR="008E0B4F" w:rsidRPr="00EB0CA5" w:rsidRDefault="008E0B4F">
            <w:pPr>
              <w:pStyle w:val="ColumnHeading"/>
              <w:keepNext/>
            </w:pPr>
            <w:r w:rsidRPr="00EB0CA5">
              <w:t>Poprawka</w:t>
            </w:r>
          </w:p>
        </w:tc>
      </w:tr>
      <w:tr w:rsidR="00EB0CA5" w:rsidRPr="00EB0CA5" w14:paraId="323E2611" w14:textId="77777777" w:rsidTr="008E0B4F">
        <w:trPr>
          <w:jc w:val="center"/>
        </w:trPr>
        <w:tc>
          <w:tcPr>
            <w:tcW w:w="4876" w:type="dxa"/>
            <w:hideMark/>
          </w:tcPr>
          <w:p w14:paraId="4455E6BA" w14:textId="77777777" w:rsidR="008E0B4F" w:rsidRPr="00EB0CA5" w:rsidRDefault="008E0B4F">
            <w:pPr>
              <w:pStyle w:val="Normal6"/>
            </w:pPr>
            <w:r w:rsidRPr="00EB0CA5">
              <w:t>2.</w:t>
            </w:r>
            <w:r w:rsidRPr="00EB0CA5">
              <w:tab/>
              <w:t>Europejska sieć statystycznych rejestrów przedsiębiorstw obejmuje krajowe rejestry przedsiębiorstw i rejestr EuroGrup, jak również wymianę między nimi.</w:t>
            </w:r>
          </w:p>
        </w:tc>
        <w:tc>
          <w:tcPr>
            <w:tcW w:w="4876" w:type="dxa"/>
            <w:hideMark/>
          </w:tcPr>
          <w:p w14:paraId="2E815246" w14:textId="3481FAB1" w:rsidR="008E0B4F" w:rsidRPr="00EB0CA5" w:rsidRDefault="008E0B4F" w:rsidP="008B4092">
            <w:pPr>
              <w:pStyle w:val="Normal6"/>
              <w:rPr>
                <w:szCs w:val="24"/>
              </w:rPr>
            </w:pPr>
            <w:r w:rsidRPr="00EB0CA5">
              <w:t>2.</w:t>
            </w:r>
            <w:r w:rsidRPr="00EB0CA5">
              <w:tab/>
              <w:t xml:space="preserve">Europejska sieć statystycznych rejestrów przedsiębiorstw obejmuje krajowe </w:t>
            </w:r>
            <w:r w:rsidRPr="00EB0CA5">
              <w:rPr>
                <w:b/>
                <w:i/>
              </w:rPr>
              <w:t xml:space="preserve">statystyczne </w:t>
            </w:r>
            <w:r w:rsidRPr="00EB0CA5">
              <w:t>rejestry przedsiębiorstw i rejestr EuroGrup, jak również wymianę między nimi</w:t>
            </w:r>
            <w:r w:rsidRPr="00EB0CA5">
              <w:rPr>
                <w:b/>
                <w:i/>
              </w:rPr>
              <w:t xml:space="preserve"> zgodnie z art. 10</w:t>
            </w:r>
            <w:r w:rsidRPr="00EB0CA5">
              <w:t>.</w:t>
            </w:r>
          </w:p>
        </w:tc>
      </w:tr>
    </w:tbl>
    <w:p w14:paraId="6442160D" w14:textId="77777777" w:rsidR="008E0B4F" w:rsidRPr="00EB0CA5" w:rsidRDefault="008E0B4F" w:rsidP="008E0B4F">
      <w:pPr>
        <w:rPr>
          <w:szCs w:val="24"/>
        </w:rPr>
      </w:pPr>
      <w:r w:rsidRPr="00EB0CA5">
        <w:rPr>
          <w:rStyle w:val="HideTWBExt"/>
          <w:noProof w:val="0"/>
          <w:color w:val="auto"/>
        </w:rPr>
        <w:t>&lt;/Amend&gt;</w:t>
      </w:r>
    </w:p>
    <w:p w14:paraId="40F677CD" w14:textId="084B2530" w:rsidR="006066C5" w:rsidRPr="00EB0CA5" w:rsidRDefault="006066C5" w:rsidP="006066C5">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17</w:t>
      </w:r>
      <w:r w:rsidRPr="00EB0CA5">
        <w:rPr>
          <w:rStyle w:val="HideTWBExt"/>
          <w:b w:val="0"/>
          <w:noProof w:val="0"/>
          <w:color w:val="auto"/>
        </w:rPr>
        <w:t>&lt;/NumAm&gt;</w:t>
      </w:r>
    </w:p>
    <w:p w14:paraId="4A5EDC5F" w14:textId="77777777" w:rsidR="006066C5" w:rsidRPr="00EB0CA5" w:rsidRDefault="006066C5" w:rsidP="006066C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4390DBE" w14:textId="77777777" w:rsidR="006066C5" w:rsidRPr="00EB0CA5" w:rsidRDefault="006066C5" w:rsidP="006066C5">
      <w:pPr>
        <w:pStyle w:val="NormalBold"/>
      </w:pPr>
      <w:r w:rsidRPr="00EB0CA5">
        <w:rPr>
          <w:rStyle w:val="HideTWBExt"/>
          <w:b w:val="0"/>
          <w:noProof w:val="0"/>
          <w:color w:val="auto"/>
        </w:rPr>
        <w:t>&lt;Article&gt;</w:t>
      </w:r>
      <w:r w:rsidRPr="00EB0CA5">
        <w:t>Artykuł 4 – ustęp 1 – wprowadzenie</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6A48B6EB" w14:textId="77777777" w:rsidTr="00A51CF1">
        <w:trPr>
          <w:jc w:val="center"/>
        </w:trPr>
        <w:tc>
          <w:tcPr>
            <w:tcW w:w="9752" w:type="dxa"/>
            <w:gridSpan w:val="2"/>
          </w:tcPr>
          <w:p w14:paraId="0BD0F4B7" w14:textId="77777777" w:rsidR="006066C5" w:rsidRPr="00EB0CA5" w:rsidRDefault="006066C5" w:rsidP="00A51CF1">
            <w:pPr>
              <w:keepNext/>
            </w:pPr>
          </w:p>
        </w:tc>
      </w:tr>
      <w:tr w:rsidR="00EB0CA5" w:rsidRPr="00EB0CA5" w14:paraId="03C0F41C" w14:textId="77777777" w:rsidTr="00A51CF1">
        <w:trPr>
          <w:jc w:val="center"/>
        </w:trPr>
        <w:tc>
          <w:tcPr>
            <w:tcW w:w="4876" w:type="dxa"/>
            <w:hideMark/>
          </w:tcPr>
          <w:p w14:paraId="029E362F" w14:textId="77777777" w:rsidR="006066C5" w:rsidRPr="00EB0CA5" w:rsidRDefault="006066C5" w:rsidP="00A51CF1">
            <w:pPr>
              <w:pStyle w:val="ColumnHeading"/>
              <w:keepNext/>
            </w:pPr>
            <w:r w:rsidRPr="00EB0CA5">
              <w:t>Tekst proponowany przez Komisję</w:t>
            </w:r>
          </w:p>
        </w:tc>
        <w:tc>
          <w:tcPr>
            <w:tcW w:w="4876" w:type="dxa"/>
            <w:hideMark/>
          </w:tcPr>
          <w:p w14:paraId="0A915044" w14:textId="77777777" w:rsidR="006066C5" w:rsidRPr="00EB0CA5" w:rsidRDefault="006066C5" w:rsidP="00A51CF1">
            <w:pPr>
              <w:pStyle w:val="ColumnHeading"/>
              <w:keepNext/>
            </w:pPr>
            <w:r w:rsidRPr="00EB0CA5">
              <w:t>Poprawka</w:t>
            </w:r>
          </w:p>
        </w:tc>
      </w:tr>
      <w:tr w:rsidR="00EB0CA5" w:rsidRPr="00EB0CA5" w14:paraId="3EFBCF81" w14:textId="77777777" w:rsidTr="00A51CF1">
        <w:trPr>
          <w:jc w:val="center"/>
        </w:trPr>
        <w:tc>
          <w:tcPr>
            <w:tcW w:w="4876" w:type="dxa"/>
            <w:hideMark/>
          </w:tcPr>
          <w:p w14:paraId="1C619182" w14:textId="7702FDD7" w:rsidR="004C6BBC" w:rsidRPr="00EB0CA5" w:rsidRDefault="004C6BBC" w:rsidP="004C6BBC">
            <w:pPr>
              <w:pStyle w:val="Normal6"/>
            </w:pPr>
            <w:r w:rsidRPr="00EB0CA5">
              <w:t>1.</w:t>
            </w:r>
            <w:r w:rsidRPr="00EB0CA5">
              <w:tab/>
              <w:t>Państwa członkowskie tworzą statystyki, o których mowa w artykułach 6 i 7, oraz krajowe statystyczne rejestry przedsiębiorstw, o których mowa w art. 9, wykorzystując wszelkie odpowiednie źródła danych, przy jednoczesnym unikaniu nadmiernego obciążenia respondentów i z należytym uwzględnieniem efektywności kosztowej krajowych urzędów statystycznych. Na potrzeby tworzenia statystyk i krajowych statystycznych rejestrów przedsiębiorstw wymaganych na mocy niniejszego rozporządzenia krajowe urzędy statystyczne mogą korzystać z następujących źródeł danych:</w:t>
            </w:r>
          </w:p>
        </w:tc>
        <w:tc>
          <w:tcPr>
            <w:tcW w:w="4876" w:type="dxa"/>
            <w:hideMark/>
          </w:tcPr>
          <w:p w14:paraId="6617ED69" w14:textId="26490EE9" w:rsidR="004C6BBC" w:rsidRPr="00EB0CA5" w:rsidRDefault="004C6BBC" w:rsidP="004C6BBC">
            <w:pPr>
              <w:pStyle w:val="Normal6"/>
              <w:rPr>
                <w:szCs w:val="24"/>
              </w:rPr>
            </w:pPr>
            <w:r w:rsidRPr="00EB0CA5">
              <w:t>1.</w:t>
            </w:r>
            <w:r w:rsidRPr="00EB0CA5">
              <w:tab/>
              <w:t xml:space="preserve">Państwa członkowskie tworzą statystyki, o których mowa w artykułach 6 i 7, oraz krajowe statystyczne rejestry przedsiębiorstw, o których mowa w art. 9, wykorzystując wszelkie odpowiednie </w:t>
            </w:r>
            <w:r w:rsidRPr="00EB0CA5">
              <w:rPr>
                <w:b/>
                <w:i/>
              </w:rPr>
              <w:t xml:space="preserve">i wiarygodne </w:t>
            </w:r>
            <w:r w:rsidRPr="00EB0CA5">
              <w:t>źródła danych, przy jednoczesnym unikaniu nadmiernego obciążenia respondentów i z należytym uwzględnieniem efektywności kosztowej krajowych urzędów statystycznych. Na potrzeby tworzenia statystyk i krajowych statystycznych rejestrów przedsiębiorstw wymaganych na mocy niniejszego rozporządzenia krajowe urzędy statystyczne mogą korzystać z następujących źródeł danych:</w:t>
            </w:r>
          </w:p>
        </w:tc>
      </w:tr>
    </w:tbl>
    <w:p w14:paraId="5D545317" w14:textId="77777777" w:rsidR="006066C5" w:rsidRPr="00EB0CA5" w:rsidRDefault="006066C5" w:rsidP="006066C5">
      <w:pPr>
        <w:rPr>
          <w:szCs w:val="24"/>
        </w:rPr>
      </w:pPr>
      <w:r w:rsidRPr="00EB0CA5">
        <w:rPr>
          <w:rStyle w:val="HideTWBExt"/>
          <w:noProof w:val="0"/>
          <w:color w:val="auto"/>
        </w:rPr>
        <w:t>&lt;/Amend&gt;</w:t>
      </w:r>
    </w:p>
    <w:p w14:paraId="07048149" w14:textId="6C603FBE" w:rsidR="006066C5" w:rsidRPr="00EB0CA5" w:rsidRDefault="006066C5" w:rsidP="006066C5">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18</w:t>
      </w:r>
      <w:r w:rsidRPr="00EB0CA5">
        <w:rPr>
          <w:rStyle w:val="HideTWBExt"/>
          <w:b w:val="0"/>
          <w:noProof w:val="0"/>
          <w:color w:val="auto"/>
        </w:rPr>
        <w:t>&lt;/NumAm&gt;</w:t>
      </w:r>
    </w:p>
    <w:p w14:paraId="52E07E86" w14:textId="77777777" w:rsidR="006066C5" w:rsidRPr="00EB0CA5" w:rsidRDefault="006066C5" w:rsidP="006066C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962AC94" w14:textId="5BCDCF05" w:rsidR="006066C5" w:rsidRPr="00EB0CA5" w:rsidRDefault="006066C5" w:rsidP="006066C5">
      <w:pPr>
        <w:pStyle w:val="NormalBold"/>
      </w:pPr>
      <w:r w:rsidRPr="00EB0CA5">
        <w:rPr>
          <w:rStyle w:val="HideTWBExt"/>
          <w:b w:val="0"/>
          <w:noProof w:val="0"/>
          <w:color w:val="auto"/>
        </w:rPr>
        <w:t>&lt;Article&gt;</w:t>
      </w:r>
      <w:r w:rsidRPr="00EB0CA5">
        <w:t>Artykuł 4 – ustęp 1 – litera b</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32ADA1E4" w14:textId="77777777" w:rsidTr="00A51CF1">
        <w:trPr>
          <w:jc w:val="center"/>
        </w:trPr>
        <w:tc>
          <w:tcPr>
            <w:tcW w:w="9752" w:type="dxa"/>
            <w:gridSpan w:val="2"/>
          </w:tcPr>
          <w:p w14:paraId="298371B3" w14:textId="77777777" w:rsidR="006066C5" w:rsidRPr="00EB0CA5" w:rsidRDefault="006066C5" w:rsidP="00A51CF1">
            <w:pPr>
              <w:keepNext/>
            </w:pPr>
          </w:p>
        </w:tc>
      </w:tr>
      <w:tr w:rsidR="00EB0CA5" w:rsidRPr="00EB0CA5" w14:paraId="075D0C0E" w14:textId="77777777" w:rsidTr="00A51CF1">
        <w:trPr>
          <w:jc w:val="center"/>
        </w:trPr>
        <w:tc>
          <w:tcPr>
            <w:tcW w:w="4876" w:type="dxa"/>
            <w:hideMark/>
          </w:tcPr>
          <w:p w14:paraId="4A2874B4" w14:textId="77777777" w:rsidR="006066C5" w:rsidRPr="00EB0CA5" w:rsidRDefault="006066C5" w:rsidP="00A51CF1">
            <w:pPr>
              <w:pStyle w:val="ColumnHeading"/>
              <w:keepNext/>
            </w:pPr>
            <w:r w:rsidRPr="00EB0CA5">
              <w:t>Tekst proponowany przez Komisję</w:t>
            </w:r>
          </w:p>
        </w:tc>
        <w:tc>
          <w:tcPr>
            <w:tcW w:w="4876" w:type="dxa"/>
            <w:hideMark/>
          </w:tcPr>
          <w:p w14:paraId="0D12052B" w14:textId="77777777" w:rsidR="006066C5" w:rsidRPr="00EB0CA5" w:rsidRDefault="006066C5" w:rsidP="00A51CF1">
            <w:pPr>
              <w:pStyle w:val="ColumnHeading"/>
              <w:keepNext/>
            </w:pPr>
            <w:r w:rsidRPr="00EB0CA5">
              <w:t>Poprawka</w:t>
            </w:r>
          </w:p>
        </w:tc>
      </w:tr>
      <w:tr w:rsidR="00EB0CA5" w:rsidRPr="00EB0CA5" w14:paraId="64345D7F" w14:textId="77777777" w:rsidTr="00A51CF1">
        <w:trPr>
          <w:jc w:val="center"/>
        </w:trPr>
        <w:tc>
          <w:tcPr>
            <w:tcW w:w="4876" w:type="dxa"/>
            <w:hideMark/>
          </w:tcPr>
          <w:p w14:paraId="17A428DD" w14:textId="77777777" w:rsidR="006066C5" w:rsidRPr="00EB0CA5" w:rsidRDefault="006066C5" w:rsidP="00A51CF1">
            <w:pPr>
              <w:pStyle w:val="Normal6"/>
            </w:pPr>
            <w:r w:rsidRPr="00EB0CA5">
              <w:t>b)</w:t>
            </w:r>
            <w:r w:rsidRPr="00EB0CA5">
              <w:tab/>
              <w:t xml:space="preserve">rejestry administracyjne, w tym informacje </w:t>
            </w:r>
            <w:r w:rsidRPr="00EB0CA5">
              <w:rPr>
                <w:b/>
                <w:i/>
              </w:rPr>
              <w:t>z</w:t>
            </w:r>
            <w:r w:rsidRPr="00EB0CA5">
              <w:t xml:space="preserve"> organów podatkowych i celnych;</w:t>
            </w:r>
          </w:p>
        </w:tc>
        <w:tc>
          <w:tcPr>
            <w:tcW w:w="4876" w:type="dxa"/>
            <w:hideMark/>
          </w:tcPr>
          <w:p w14:paraId="0FC06D78" w14:textId="77777777" w:rsidR="006066C5" w:rsidRPr="00EB0CA5" w:rsidRDefault="006066C5" w:rsidP="00A51CF1">
            <w:pPr>
              <w:pStyle w:val="Normal6"/>
              <w:rPr>
                <w:szCs w:val="24"/>
              </w:rPr>
            </w:pPr>
            <w:r w:rsidRPr="00EB0CA5">
              <w:t>b)</w:t>
            </w:r>
            <w:r w:rsidRPr="00EB0CA5">
              <w:tab/>
              <w:t xml:space="preserve">rejestry administracyjne, w tym informacje </w:t>
            </w:r>
            <w:r w:rsidRPr="00EB0CA5">
              <w:rPr>
                <w:b/>
                <w:i/>
              </w:rPr>
              <w:t>od</w:t>
            </w:r>
            <w:r w:rsidRPr="00EB0CA5">
              <w:t xml:space="preserve"> organów podatkowych i celnych</w:t>
            </w:r>
            <w:r w:rsidRPr="00EB0CA5">
              <w:rPr>
                <w:b/>
                <w:i/>
              </w:rPr>
              <w:t>, takie jak roczne sprawozdania finansowe</w:t>
            </w:r>
            <w:r w:rsidRPr="00EB0CA5">
              <w:t>;</w:t>
            </w:r>
          </w:p>
        </w:tc>
      </w:tr>
    </w:tbl>
    <w:p w14:paraId="47F3C739" w14:textId="77777777" w:rsidR="006066C5" w:rsidRPr="00EB0CA5" w:rsidRDefault="006066C5" w:rsidP="006066C5">
      <w:pPr>
        <w:rPr>
          <w:szCs w:val="24"/>
        </w:rPr>
      </w:pPr>
      <w:r w:rsidRPr="00EB0CA5">
        <w:rPr>
          <w:rStyle w:val="HideTWBExt"/>
          <w:noProof w:val="0"/>
          <w:color w:val="auto"/>
        </w:rPr>
        <w:t>&lt;/Amend&gt;</w:t>
      </w:r>
    </w:p>
    <w:p w14:paraId="6E2EB9BC" w14:textId="57717AFA" w:rsidR="006066C5" w:rsidRPr="00EB0CA5" w:rsidRDefault="006066C5" w:rsidP="006066C5">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19</w:t>
      </w:r>
      <w:r w:rsidRPr="00EB0CA5">
        <w:rPr>
          <w:rStyle w:val="HideTWBExt"/>
          <w:b w:val="0"/>
          <w:noProof w:val="0"/>
          <w:color w:val="auto"/>
        </w:rPr>
        <w:t>&lt;/NumAm&gt;</w:t>
      </w:r>
    </w:p>
    <w:p w14:paraId="11984DF2" w14:textId="77777777" w:rsidR="006066C5" w:rsidRPr="00EB0CA5" w:rsidRDefault="006066C5" w:rsidP="006066C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AF2FF14" w14:textId="018BCC82" w:rsidR="006066C5" w:rsidRPr="00EB0CA5" w:rsidRDefault="006066C5" w:rsidP="006066C5">
      <w:pPr>
        <w:pStyle w:val="NormalBold"/>
      </w:pPr>
      <w:r w:rsidRPr="00EB0CA5">
        <w:rPr>
          <w:rStyle w:val="HideTWBExt"/>
          <w:b w:val="0"/>
          <w:noProof w:val="0"/>
          <w:color w:val="auto"/>
        </w:rPr>
        <w:t>&lt;Article&gt;</w:t>
      </w:r>
      <w:r w:rsidRPr="00EB0CA5">
        <w:t>Artykuł 4 – ustęp 1 – litera d a (nowa)</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169231F6" w14:textId="77777777" w:rsidTr="00A51CF1">
        <w:trPr>
          <w:jc w:val="center"/>
        </w:trPr>
        <w:tc>
          <w:tcPr>
            <w:tcW w:w="9752" w:type="dxa"/>
            <w:gridSpan w:val="2"/>
          </w:tcPr>
          <w:p w14:paraId="773064A6" w14:textId="77777777" w:rsidR="006066C5" w:rsidRPr="00EB0CA5" w:rsidRDefault="006066C5" w:rsidP="00A51CF1">
            <w:pPr>
              <w:keepNext/>
            </w:pPr>
          </w:p>
        </w:tc>
      </w:tr>
      <w:tr w:rsidR="00EB0CA5" w:rsidRPr="00EB0CA5" w14:paraId="5D579523" w14:textId="77777777" w:rsidTr="00A51CF1">
        <w:trPr>
          <w:jc w:val="center"/>
        </w:trPr>
        <w:tc>
          <w:tcPr>
            <w:tcW w:w="4876" w:type="dxa"/>
            <w:hideMark/>
          </w:tcPr>
          <w:p w14:paraId="01937560" w14:textId="77777777" w:rsidR="006066C5" w:rsidRPr="00EB0CA5" w:rsidRDefault="006066C5" w:rsidP="00A51CF1">
            <w:pPr>
              <w:pStyle w:val="ColumnHeading"/>
              <w:keepNext/>
            </w:pPr>
            <w:r w:rsidRPr="00EB0CA5">
              <w:t>Tekst proponowany przez Komisję</w:t>
            </w:r>
          </w:p>
        </w:tc>
        <w:tc>
          <w:tcPr>
            <w:tcW w:w="4876" w:type="dxa"/>
            <w:hideMark/>
          </w:tcPr>
          <w:p w14:paraId="110A9089" w14:textId="77777777" w:rsidR="006066C5" w:rsidRPr="00EB0CA5" w:rsidRDefault="006066C5" w:rsidP="00A51CF1">
            <w:pPr>
              <w:pStyle w:val="ColumnHeading"/>
              <w:keepNext/>
            </w:pPr>
            <w:r w:rsidRPr="00EB0CA5">
              <w:t>Poprawka</w:t>
            </w:r>
          </w:p>
        </w:tc>
      </w:tr>
      <w:tr w:rsidR="00EB0CA5" w:rsidRPr="00EB0CA5" w14:paraId="192994E1" w14:textId="77777777" w:rsidTr="00A51CF1">
        <w:trPr>
          <w:jc w:val="center"/>
        </w:trPr>
        <w:tc>
          <w:tcPr>
            <w:tcW w:w="4876" w:type="dxa"/>
            <w:hideMark/>
          </w:tcPr>
          <w:p w14:paraId="04013BFE" w14:textId="77777777" w:rsidR="006066C5" w:rsidRPr="00EB0CA5" w:rsidRDefault="006066C5" w:rsidP="00A51CF1">
            <w:pPr>
              <w:pStyle w:val="Normal6"/>
            </w:pPr>
          </w:p>
        </w:tc>
        <w:tc>
          <w:tcPr>
            <w:tcW w:w="4876" w:type="dxa"/>
            <w:hideMark/>
          </w:tcPr>
          <w:p w14:paraId="3E673A05" w14:textId="77777777" w:rsidR="006066C5" w:rsidRPr="00EB0CA5" w:rsidRDefault="006066C5" w:rsidP="00A51CF1">
            <w:pPr>
              <w:pStyle w:val="Normal6"/>
              <w:rPr>
                <w:szCs w:val="24"/>
              </w:rPr>
            </w:pPr>
            <w:r w:rsidRPr="00EB0CA5">
              <w:rPr>
                <w:b/>
                <w:i/>
              </w:rPr>
              <w:t>da)</w:t>
            </w:r>
            <w:r w:rsidRPr="00EB0CA5">
              <w:rPr>
                <w:b/>
                <w:i/>
              </w:rPr>
              <w:tab/>
              <w:t>statystyczne metody szacowania, przypisywania i modelowania oparte na podstawach naukowych i dobrze udokumentowane.</w:t>
            </w:r>
          </w:p>
        </w:tc>
      </w:tr>
    </w:tbl>
    <w:p w14:paraId="6B414504" w14:textId="77777777" w:rsidR="006066C5" w:rsidRPr="00EB0CA5" w:rsidRDefault="006066C5" w:rsidP="006066C5">
      <w:pPr>
        <w:rPr>
          <w:szCs w:val="24"/>
        </w:rPr>
      </w:pPr>
      <w:r w:rsidRPr="00EB0CA5">
        <w:rPr>
          <w:rStyle w:val="HideTWBExt"/>
          <w:noProof w:val="0"/>
          <w:color w:val="auto"/>
        </w:rPr>
        <w:t>&lt;/Amend&gt;</w:t>
      </w:r>
    </w:p>
    <w:p w14:paraId="42019D05" w14:textId="11DCBBBB" w:rsidR="006066C5" w:rsidRPr="00EB0CA5" w:rsidRDefault="006066C5" w:rsidP="006066C5">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20</w:t>
      </w:r>
      <w:r w:rsidRPr="00EB0CA5">
        <w:rPr>
          <w:rStyle w:val="HideTWBExt"/>
          <w:b w:val="0"/>
          <w:noProof w:val="0"/>
          <w:color w:val="auto"/>
        </w:rPr>
        <w:t>&lt;/NumAm&gt;</w:t>
      </w:r>
    </w:p>
    <w:p w14:paraId="52F19851" w14:textId="77777777" w:rsidR="006066C5" w:rsidRPr="00EB0CA5" w:rsidRDefault="006066C5" w:rsidP="006066C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96D2A8E" w14:textId="77777777" w:rsidR="006066C5" w:rsidRPr="00EB0CA5" w:rsidRDefault="006066C5" w:rsidP="006066C5">
      <w:pPr>
        <w:pStyle w:val="NormalBold"/>
      </w:pPr>
      <w:r w:rsidRPr="00EB0CA5">
        <w:rPr>
          <w:rStyle w:val="HideTWBExt"/>
          <w:b w:val="0"/>
          <w:noProof w:val="0"/>
          <w:color w:val="auto"/>
        </w:rPr>
        <w:t>&lt;Article&gt;</w:t>
      </w:r>
      <w:r w:rsidRPr="00EB0CA5">
        <w:t>Artykuł 4 – ustęp 2</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654D6CE6" w14:textId="77777777" w:rsidTr="00A51CF1">
        <w:trPr>
          <w:jc w:val="center"/>
        </w:trPr>
        <w:tc>
          <w:tcPr>
            <w:tcW w:w="9752" w:type="dxa"/>
            <w:gridSpan w:val="2"/>
          </w:tcPr>
          <w:p w14:paraId="0C0635DF" w14:textId="77777777" w:rsidR="006066C5" w:rsidRPr="00EB0CA5" w:rsidRDefault="006066C5" w:rsidP="00A51CF1">
            <w:pPr>
              <w:keepNext/>
            </w:pPr>
          </w:p>
        </w:tc>
      </w:tr>
      <w:tr w:rsidR="00EB0CA5" w:rsidRPr="00EB0CA5" w14:paraId="21ACD557" w14:textId="77777777" w:rsidTr="00A51CF1">
        <w:trPr>
          <w:jc w:val="center"/>
        </w:trPr>
        <w:tc>
          <w:tcPr>
            <w:tcW w:w="4876" w:type="dxa"/>
            <w:hideMark/>
          </w:tcPr>
          <w:p w14:paraId="665798EE" w14:textId="77777777" w:rsidR="006066C5" w:rsidRPr="00EB0CA5" w:rsidRDefault="006066C5" w:rsidP="00A51CF1">
            <w:pPr>
              <w:pStyle w:val="ColumnHeading"/>
              <w:keepNext/>
            </w:pPr>
            <w:r w:rsidRPr="00EB0CA5">
              <w:t>Tekst proponowany przez Komisję</w:t>
            </w:r>
          </w:p>
        </w:tc>
        <w:tc>
          <w:tcPr>
            <w:tcW w:w="4876" w:type="dxa"/>
            <w:hideMark/>
          </w:tcPr>
          <w:p w14:paraId="4992D972" w14:textId="77777777" w:rsidR="006066C5" w:rsidRPr="00EB0CA5" w:rsidRDefault="006066C5" w:rsidP="00A51CF1">
            <w:pPr>
              <w:pStyle w:val="ColumnHeading"/>
              <w:keepNext/>
            </w:pPr>
            <w:r w:rsidRPr="00EB0CA5">
              <w:t>Poprawka</w:t>
            </w:r>
          </w:p>
        </w:tc>
      </w:tr>
      <w:tr w:rsidR="00EB0CA5" w:rsidRPr="00EB0CA5" w14:paraId="356A472D" w14:textId="77777777" w:rsidTr="00A51CF1">
        <w:trPr>
          <w:jc w:val="center"/>
        </w:trPr>
        <w:tc>
          <w:tcPr>
            <w:tcW w:w="4876" w:type="dxa"/>
            <w:hideMark/>
          </w:tcPr>
          <w:p w14:paraId="7E8125CC" w14:textId="77777777" w:rsidR="006066C5" w:rsidRPr="00EB0CA5" w:rsidRDefault="006066C5" w:rsidP="00A51CF1">
            <w:pPr>
              <w:pStyle w:val="Normal6"/>
            </w:pPr>
            <w:r w:rsidRPr="00EB0CA5">
              <w:rPr>
                <w:b/>
                <w:i/>
              </w:rPr>
              <w:t>2.</w:t>
            </w:r>
            <w:r w:rsidRPr="00EB0CA5">
              <w:rPr>
                <w:b/>
                <w:i/>
              </w:rPr>
              <w:tab/>
              <w:t>W przypadku gdy wymaganych statystyk nie można wytworzyć przy użyciu źródeł danych, o których mowa w ust. 1, spełniających kryteria jakości, o których mowa w art. 16, państwa członkowskie mogą do celów tworzenia tych statystyk skorzystać ze statystycznych metod szacunku i imputacji opartych na podstawach naukowych i dobrze udokumentowanych.</w:t>
            </w:r>
          </w:p>
        </w:tc>
        <w:tc>
          <w:tcPr>
            <w:tcW w:w="4876" w:type="dxa"/>
            <w:hideMark/>
          </w:tcPr>
          <w:p w14:paraId="3B93EFFB" w14:textId="77777777" w:rsidR="006066C5" w:rsidRPr="00EB0CA5" w:rsidRDefault="006066C5" w:rsidP="00A51CF1">
            <w:pPr>
              <w:pStyle w:val="Normal6"/>
              <w:rPr>
                <w:szCs w:val="24"/>
              </w:rPr>
            </w:pPr>
            <w:r w:rsidRPr="00EB0CA5">
              <w:rPr>
                <w:b/>
                <w:i/>
              </w:rPr>
              <w:t>skreśla się</w:t>
            </w:r>
          </w:p>
        </w:tc>
      </w:tr>
    </w:tbl>
    <w:p w14:paraId="49395EC4" w14:textId="77777777" w:rsidR="006066C5" w:rsidRPr="00EB0CA5" w:rsidRDefault="006066C5" w:rsidP="006066C5">
      <w:pPr>
        <w:rPr>
          <w:szCs w:val="24"/>
        </w:rPr>
      </w:pPr>
      <w:r w:rsidRPr="00EB0CA5">
        <w:rPr>
          <w:rStyle w:val="HideTWBExt"/>
          <w:noProof w:val="0"/>
          <w:color w:val="auto"/>
        </w:rPr>
        <w:t>&lt;/Amend&gt;</w:t>
      </w:r>
    </w:p>
    <w:p w14:paraId="0D7E7818" w14:textId="627386E4" w:rsidR="0078529D" w:rsidRPr="00EB0CA5" w:rsidRDefault="0078529D" w:rsidP="0078529D">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21</w:t>
      </w:r>
      <w:r w:rsidRPr="00EB0CA5">
        <w:rPr>
          <w:rStyle w:val="HideTWBExt"/>
          <w:b w:val="0"/>
          <w:noProof w:val="0"/>
          <w:color w:val="auto"/>
        </w:rPr>
        <w:t>&lt;/NumAm&gt;</w:t>
      </w:r>
    </w:p>
    <w:p w14:paraId="47D1F61A" w14:textId="77777777" w:rsidR="0078529D" w:rsidRPr="00EB0CA5" w:rsidRDefault="0078529D" w:rsidP="0078529D">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CDB24ED" w14:textId="77777777" w:rsidR="0078529D" w:rsidRPr="00EB0CA5" w:rsidRDefault="0078529D" w:rsidP="0078529D">
      <w:pPr>
        <w:pStyle w:val="NormalBold"/>
      </w:pPr>
      <w:r w:rsidRPr="00EB0CA5">
        <w:rPr>
          <w:rStyle w:val="HideTWBExt"/>
          <w:b w:val="0"/>
          <w:noProof w:val="0"/>
          <w:color w:val="auto"/>
        </w:rPr>
        <w:t>&lt;Article&gt;</w:t>
      </w:r>
      <w:r w:rsidRPr="00EB0CA5">
        <w:t>Artykuł 5 – ustęp 4</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3902A10A" w14:textId="77777777" w:rsidTr="00D5541D">
        <w:trPr>
          <w:jc w:val="center"/>
        </w:trPr>
        <w:tc>
          <w:tcPr>
            <w:tcW w:w="9752" w:type="dxa"/>
            <w:gridSpan w:val="2"/>
          </w:tcPr>
          <w:p w14:paraId="5E247E00" w14:textId="77777777" w:rsidR="0078529D" w:rsidRPr="00EB0CA5" w:rsidRDefault="0078529D" w:rsidP="00D5541D">
            <w:pPr>
              <w:keepNext/>
            </w:pPr>
          </w:p>
        </w:tc>
      </w:tr>
      <w:tr w:rsidR="00EB0CA5" w:rsidRPr="00EB0CA5" w14:paraId="0714560C" w14:textId="77777777" w:rsidTr="00D5541D">
        <w:trPr>
          <w:jc w:val="center"/>
        </w:trPr>
        <w:tc>
          <w:tcPr>
            <w:tcW w:w="4876" w:type="dxa"/>
          </w:tcPr>
          <w:p w14:paraId="34E8CAB6" w14:textId="77777777" w:rsidR="0078529D" w:rsidRPr="00EB0CA5" w:rsidRDefault="0078529D" w:rsidP="00D5541D">
            <w:pPr>
              <w:pStyle w:val="ColumnHeading"/>
              <w:keepNext/>
            </w:pPr>
            <w:r w:rsidRPr="00EB0CA5">
              <w:t>Tekst proponowany przez Komisję</w:t>
            </w:r>
          </w:p>
        </w:tc>
        <w:tc>
          <w:tcPr>
            <w:tcW w:w="4876" w:type="dxa"/>
          </w:tcPr>
          <w:p w14:paraId="61B565EE" w14:textId="77777777" w:rsidR="0078529D" w:rsidRPr="00EB0CA5" w:rsidRDefault="0078529D" w:rsidP="00D5541D">
            <w:pPr>
              <w:pStyle w:val="ColumnHeading"/>
              <w:keepNext/>
            </w:pPr>
            <w:r w:rsidRPr="00EB0CA5">
              <w:t>Poprawka</w:t>
            </w:r>
          </w:p>
        </w:tc>
      </w:tr>
      <w:tr w:rsidR="00EB0CA5" w:rsidRPr="00EB0CA5" w14:paraId="6EF256B6" w14:textId="77777777" w:rsidTr="00D5541D">
        <w:trPr>
          <w:jc w:val="center"/>
        </w:trPr>
        <w:tc>
          <w:tcPr>
            <w:tcW w:w="4876" w:type="dxa"/>
          </w:tcPr>
          <w:p w14:paraId="3235C421" w14:textId="77777777" w:rsidR="0078529D" w:rsidRPr="00EB0CA5" w:rsidRDefault="0078529D" w:rsidP="00D5541D">
            <w:pPr>
              <w:pStyle w:val="Normal6"/>
            </w:pPr>
            <w:r w:rsidRPr="00EB0CA5">
              <w:t>4.</w:t>
            </w:r>
            <w:r w:rsidRPr="00EB0CA5">
              <w:tab/>
              <w:t xml:space="preserve">W celu tworzenia statystyk </w:t>
            </w:r>
            <w:r w:rsidRPr="00EB0CA5">
              <w:lastRenderedPageBreak/>
              <w:t xml:space="preserve">dotyczących międzynarodowego handlu towarami i poprawy jakości tych statystyk krajowe urzędy statystyczne zainteresowanych państw członkowskich </w:t>
            </w:r>
            <w:r w:rsidRPr="00EB0CA5">
              <w:rPr>
                <w:b/>
                <w:i/>
              </w:rPr>
              <w:t>mogą wymieniać dane otrzymane</w:t>
            </w:r>
            <w:r w:rsidRPr="00EB0CA5">
              <w:t xml:space="preserve"> od swoich organów celnych </w:t>
            </w:r>
            <w:r w:rsidRPr="00EB0CA5">
              <w:rPr>
                <w:b/>
                <w:i/>
              </w:rPr>
              <w:t>dotyczące</w:t>
            </w:r>
            <w:r w:rsidRPr="00EB0CA5">
              <w:t xml:space="preserve"> wywozu lub przywozu towarów</w:t>
            </w:r>
            <w:r w:rsidRPr="00EB0CA5">
              <w:rPr>
                <w:b/>
                <w:i/>
              </w:rPr>
              <w:t>, w szczególności wówczas, gdy w ten wywóz lub przywóz zaangażowane są organy celne więcej niż jednego państwa członkowskiego</w:t>
            </w:r>
            <w:r w:rsidRPr="00EB0CA5">
              <w:t>.</w:t>
            </w:r>
          </w:p>
        </w:tc>
        <w:tc>
          <w:tcPr>
            <w:tcW w:w="4876" w:type="dxa"/>
          </w:tcPr>
          <w:p w14:paraId="53B2018D" w14:textId="77777777" w:rsidR="0078529D" w:rsidRPr="00EB0CA5" w:rsidRDefault="0078529D" w:rsidP="00D5541D">
            <w:pPr>
              <w:pStyle w:val="Normal6"/>
              <w:rPr>
                <w:szCs w:val="24"/>
              </w:rPr>
            </w:pPr>
            <w:r w:rsidRPr="00EB0CA5">
              <w:lastRenderedPageBreak/>
              <w:t>4.</w:t>
            </w:r>
            <w:r w:rsidRPr="00EB0CA5">
              <w:tab/>
              <w:t xml:space="preserve">W celu tworzenia statystyk </w:t>
            </w:r>
            <w:r w:rsidRPr="00EB0CA5">
              <w:lastRenderedPageBreak/>
              <w:t xml:space="preserve">dotyczących międzynarodowego handlu towarami i poprawy jakości tych statystyk krajowe urzędy statystyczne zainteresowanych państw członkowskich </w:t>
            </w:r>
            <w:r w:rsidRPr="00EB0CA5">
              <w:rPr>
                <w:b/>
                <w:i/>
              </w:rPr>
              <w:t>wymieniają się danymi otrzymanymi</w:t>
            </w:r>
            <w:r w:rsidRPr="00EB0CA5">
              <w:t xml:space="preserve"> od swoich organów celnych </w:t>
            </w:r>
            <w:r w:rsidRPr="00EB0CA5">
              <w:rPr>
                <w:b/>
                <w:i/>
              </w:rPr>
              <w:t>dotyczącymi</w:t>
            </w:r>
            <w:r w:rsidRPr="00EB0CA5">
              <w:t xml:space="preserve"> wywozu lub przywozu towarów.</w:t>
            </w:r>
          </w:p>
        </w:tc>
      </w:tr>
    </w:tbl>
    <w:p w14:paraId="61F571CF" w14:textId="77777777" w:rsidR="0078529D" w:rsidRPr="00EB0CA5" w:rsidRDefault="0078529D" w:rsidP="0078529D">
      <w:r w:rsidRPr="00EB0CA5">
        <w:rPr>
          <w:rStyle w:val="HideTWBExt"/>
          <w:noProof w:val="0"/>
          <w:color w:val="auto"/>
        </w:rPr>
        <w:lastRenderedPageBreak/>
        <w:t>&lt;/Amend&gt;</w:t>
      </w:r>
    </w:p>
    <w:p w14:paraId="5654D6EC" w14:textId="050AD0F1"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22</w:t>
      </w:r>
      <w:r w:rsidRPr="00EB0CA5">
        <w:rPr>
          <w:rStyle w:val="HideTWBExt"/>
          <w:b w:val="0"/>
          <w:noProof w:val="0"/>
          <w:color w:val="auto"/>
        </w:rPr>
        <w:t>&lt;/NumAm&gt;</w:t>
      </w:r>
    </w:p>
    <w:p w14:paraId="0FC612A6"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CC627E5" w14:textId="77777777" w:rsidR="008E0B4F" w:rsidRPr="00EB0CA5" w:rsidRDefault="008E0B4F" w:rsidP="008E0B4F">
      <w:pPr>
        <w:pStyle w:val="NormalBold"/>
      </w:pPr>
      <w:r w:rsidRPr="00EB0CA5">
        <w:rPr>
          <w:rStyle w:val="HideTWBExt"/>
          <w:b w:val="0"/>
          <w:noProof w:val="0"/>
          <w:color w:val="auto"/>
        </w:rPr>
        <w:t>&lt;Article&gt;</w:t>
      </w:r>
      <w:r w:rsidRPr="00EB0CA5">
        <w:t>Artykuł 6 – ustęp 4</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18B86E26" w14:textId="77777777" w:rsidTr="008E0B4F">
        <w:trPr>
          <w:jc w:val="center"/>
        </w:trPr>
        <w:tc>
          <w:tcPr>
            <w:tcW w:w="9752" w:type="dxa"/>
            <w:gridSpan w:val="2"/>
          </w:tcPr>
          <w:p w14:paraId="18F561DF" w14:textId="77777777" w:rsidR="008E0B4F" w:rsidRPr="00EB0CA5" w:rsidRDefault="008E0B4F">
            <w:pPr>
              <w:keepNext/>
            </w:pPr>
          </w:p>
        </w:tc>
      </w:tr>
      <w:tr w:rsidR="00EB0CA5" w:rsidRPr="00EB0CA5" w14:paraId="5281AFAE" w14:textId="77777777" w:rsidTr="008E0B4F">
        <w:trPr>
          <w:jc w:val="center"/>
        </w:trPr>
        <w:tc>
          <w:tcPr>
            <w:tcW w:w="4876" w:type="dxa"/>
            <w:hideMark/>
          </w:tcPr>
          <w:p w14:paraId="76665BE0" w14:textId="77777777" w:rsidR="008E0B4F" w:rsidRPr="00EB0CA5" w:rsidRDefault="008E0B4F">
            <w:pPr>
              <w:pStyle w:val="ColumnHeading"/>
              <w:keepNext/>
            </w:pPr>
            <w:r w:rsidRPr="00EB0CA5">
              <w:t>Tekst proponowany przez Komisję</w:t>
            </w:r>
          </w:p>
        </w:tc>
        <w:tc>
          <w:tcPr>
            <w:tcW w:w="4876" w:type="dxa"/>
            <w:hideMark/>
          </w:tcPr>
          <w:p w14:paraId="4FDFA9CB" w14:textId="77777777" w:rsidR="008E0B4F" w:rsidRPr="00EB0CA5" w:rsidRDefault="008E0B4F">
            <w:pPr>
              <w:pStyle w:val="ColumnHeading"/>
              <w:keepNext/>
            </w:pPr>
            <w:r w:rsidRPr="00EB0CA5">
              <w:t>Poprawka</w:t>
            </w:r>
          </w:p>
        </w:tc>
      </w:tr>
      <w:tr w:rsidR="00EB0CA5" w:rsidRPr="00EB0CA5" w14:paraId="41E20E51" w14:textId="77777777" w:rsidTr="008E0B4F">
        <w:trPr>
          <w:jc w:val="center"/>
        </w:trPr>
        <w:tc>
          <w:tcPr>
            <w:tcW w:w="4876" w:type="dxa"/>
            <w:hideMark/>
          </w:tcPr>
          <w:p w14:paraId="543D855E" w14:textId="77777777" w:rsidR="008E0B4F" w:rsidRPr="00EB0CA5" w:rsidRDefault="008E0B4F">
            <w:pPr>
              <w:pStyle w:val="Normal6"/>
            </w:pPr>
            <w:r w:rsidRPr="00EB0CA5">
              <w:t>4.</w:t>
            </w:r>
            <w:r w:rsidRPr="00EB0CA5">
              <w:tab/>
              <w:t xml:space="preserve">Komisja jest uprawniona do przyjmowania aktów delegowanych zgodnie z art. 21 w celu zmiany tematów szczegółowych określonych w załączniku I oraz w celu </w:t>
            </w:r>
            <w:r w:rsidRPr="00EB0CA5">
              <w:rPr>
                <w:b/>
                <w:i/>
              </w:rPr>
              <w:t>określenia</w:t>
            </w:r>
            <w:r w:rsidRPr="00EB0CA5">
              <w:t xml:space="preserve"> zakresu tematycznego i cech objętych tematami szczegółowymi: innowacje, wykorzystanie technologii informacyjno-telekomunikacyjnych i handel elektroniczny oraz globalne łańcuchy wartości.</w:t>
            </w:r>
          </w:p>
        </w:tc>
        <w:tc>
          <w:tcPr>
            <w:tcW w:w="4876" w:type="dxa"/>
            <w:hideMark/>
          </w:tcPr>
          <w:p w14:paraId="57325B36" w14:textId="2C4B82FE" w:rsidR="008E0B4F" w:rsidRPr="00EB0CA5" w:rsidRDefault="008E0B4F" w:rsidP="00E3582A">
            <w:pPr>
              <w:pStyle w:val="Normal6"/>
              <w:rPr>
                <w:szCs w:val="24"/>
              </w:rPr>
            </w:pPr>
            <w:r w:rsidRPr="00EB0CA5">
              <w:t>4.</w:t>
            </w:r>
            <w:r w:rsidRPr="00EB0CA5">
              <w:tab/>
              <w:t xml:space="preserve">Komisja jest uprawniona do przyjmowania aktów delegowanych zgodnie z art. 21 w celu zmiany tematów szczegółowych określonych w załączniku I oraz w celu </w:t>
            </w:r>
            <w:r w:rsidRPr="00EB0CA5">
              <w:rPr>
                <w:b/>
                <w:i/>
              </w:rPr>
              <w:t>uzupełnienia</w:t>
            </w:r>
            <w:r w:rsidRPr="00EB0CA5">
              <w:t xml:space="preserve"> zakresu tematycznego i cech objętych tematami szczegółowymi: innowacje, wykorzystanie technologii informacyjno-telekomunikacyjnych i handel elektroniczny oraz globalne łańcuchy</w:t>
            </w:r>
            <w:r w:rsidRPr="00EB0CA5">
              <w:rPr>
                <w:b/>
                <w:i/>
              </w:rPr>
              <w:t xml:space="preserve"> wartości, a także uzupełnienia zmiennych dla wszystkich tematów szczegółowych z wyjątkiem tematów: innowacje, wykorzystanie technologii informacyjno-telekomunikacyjnych i handel elektroniczny oraz globalne łańcuchy</w:t>
            </w:r>
            <w:r w:rsidRPr="00EB0CA5">
              <w:t xml:space="preserve"> wartości.</w:t>
            </w:r>
          </w:p>
        </w:tc>
      </w:tr>
    </w:tbl>
    <w:p w14:paraId="3BCACF83" w14:textId="77777777" w:rsidR="008E0B4F" w:rsidRPr="00EB0CA5" w:rsidRDefault="008E0B4F" w:rsidP="008E0B4F">
      <w:pPr>
        <w:rPr>
          <w:szCs w:val="24"/>
        </w:rPr>
      </w:pPr>
      <w:r w:rsidRPr="00EB0CA5">
        <w:rPr>
          <w:rStyle w:val="HideTWBExt"/>
          <w:noProof w:val="0"/>
          <w:color w:val="auto"/>
        </w:rPr>
        <w:t>&lt;/Amend&gt;</w:t>
      </w:r>
    </w:p>
    <w:p w14:paraId="6E879B65" w14:textId="0AFE678D"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23</w:t>
      </w:r>
      <w:r w:rsidRPr="00EB0CA5">
        <w:rPr>
          <w:rStyle w:val="HideTWBExt"/>
          <w:b w:val="0"/>
          <w:noProof w:val="0"/>
          <w:color w:val="auto"/>
        </w:rPr>
        <w:t>&lt;/NumAm&gt;</w:t>
      </w:r>
    </w:p>
    <w:p w14:paraId="6361647B"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A58A704" w14:textId="77777777" w:rsidR="008E0B4F" w:rsidRPr="00EB0CA5" w:rsidRDefault="008E0B4F" w:rsidP="008E0B4F">
      <w:pPr>
        <w:pStyle w:val="NormalBold"/>
      </w:pPr>
      <w:r w:rsidRPr="00EB0CA5">
        <w:rPr>
          <w:rStyle w:val="HideTWBExt"/>
          <w:b w:val="0"/>
          <w:noProof w:val="0"/>
          <w:color w:val="auto"/>
        </w:rPr>
        <w:t>&lt;Article&gt;</w:t>
      </w:r>
      <w:r w:rsidRPr="00EB0CA5">
        <w:t>Artykuł 6 – ustęp 5 – litera b</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357248C7" w14:textId="77777777" w:rsidTr="008E0B4F">
        <w:trPr>
          <w:jc w:val="center"/>
        </w:trPr>
        <w:tc>
          <w:tcPr>
            <w:tcW w:w="9752" w:type="dxa"/>
            <w:gridSpan w:val="2"/>
          </w:tcPr>
          <w:p w14:paraId="260C003F" w14:textId="77777777" w:rsidR="008E0B4F" w:rsidRPr="00EB0CA5" w:rsidRDefault="008E0B4F">
            <w:pPr>
              <w:keepNext/>
            </w:pPr>
          </w:p>
        </w:tc>
      </w:tr>
      <w:tr w:rsidR="00EB0CA5" w:rsidRPr="00EB0CA5" w14:paraId="2557DC0A" w14:textId="77777777" w:rsidTr="008E0B4F">
        <w:trPr>
          <w:jc w:val="center"/>
        </w:trPr>
        <w:tc>
          <w:tcPr>
            <w:tcW w:w="4876" w:type="dxa"/>
            <w:hideMark/>
          </w:tcPr>
          <w:p w14:paraId="7C5ED69A" w14:textId="77777777" w:rsidR="008E0B4F" w:rsidRPr="00EB0CA5" w:rsidRDefault="008E0B4F">
            <w:pPr>
              <w:pStyle w:val="ColumnHeading"/>
              <w:keepNext/>
            </w:pPr>
            <w:r w:rsidRPr="00EB0CA5">
              <w:t>Tekst proponowany przez Komisję</w:t>
            </w:r>
          </w:p>
        </w:tc>
        <w:tc>
          <w:tcPr>
            <w:tcW w:w="4876" w:type="dxa"/>
            <w:hideMark/>
          </w:tcPr>
          <w:p w14:paraId="5D5BC9C1" w14:textId="77777777" w:rsidR="008E0B4F" w:rsidRPr="00EB0CA5" w:rsidRDefault="008E0B4F">
            <w:pPr>
              <w:pStyle w:val="ColumnHeading"/>
              <w:keepNext/>
            </w:pPr>
            <w:r w:rsidRPr="00EB0CA5">
              <w:t>Poprawka</w:t>
            </w:r>
          </w:p>
        </w:tc>
      </w:tr>
      <w:tr w:rsidR="00EB0CA5" w:rsidRPr="00EB0CA5" w14:paraId="4E864099" w14:textId="77777777" w:rsidTr="008E0B4F">
        <w:trPr>
          <w:jc w:val="center"/>
        </w:trPr>
        <w:tc>
          <w:tcPr>
            <w:tcW w:w="4876" w:type="dxa"/>
            <w:hideMark/>
          </w:tcPr>
          <w:p w14:paraId="36A126D4" w14:textId="77777777" w:rsidR="008E0B4F" w:rsidRPr="00EB0CA5" w:rsidRDefault="008E0B4F">
            <w:pPr>
              <w:pStyle w:val="Normal6"/>
            </w:pPr>
            <w:r w:rsidRPr="00EB0CA5">
              <w:t>b)</w:t>
            </w:r>
            <w:r w:rsidRPr="00EB0CA5">
              <w:tab/>
              <w:t xml:space="preserve">w obowiązującym akcie delegowanym przez okres pięciu kolejnych lat nie </w:t>
            </w:r>
            <w:r w:rsidRPr="00EB0CA5">
              <w:rPr>
                <w:b/>
                <w:i/>
              </w:rPr>
              <w:t>dodaje</w:t>
            </w:r>
            <w:r w:rsidRPr="00EB0CA5">
              <w:t xml:space="preserve"> się</w:t>
            </w:r>
            <w:r w:rsidRPr="00EB0CA5">
              <w:rPr>
                <w:b/>
                <w:i/>
              </w:rPr>
              <w:t xml:space="preserve"> ani nie zastępuje</w:t>
            </w:r>
            <w:r w:rsidRPr="00EB0CA5">
              <w:t xml:space="preserve"> innym </w:t>
            </w:r>
            <w:r w:rsidRPr="00EB0CA5">
              <w:lastRenderedPageBreak/>
              <w:t>tematem szczegółowym więcej niż jednego tematu szczegółowego w dziedzinie „krótkookresowa statystyka gospodarcza”, więcej niż pięć tematów szczegółowych w dziedzinie „statystyka gospodarcza na poziomie krajowym”, więcej niż dwa tematy szczegółowe w dziedzinie „regionalna statystyka gospodarcza” i więcej niż dwa tematy szczegółowe w dziedzinie „statystyka dotycząca działalności międzynarodowej”. Te maksymalne progi nie mają zastosowania do zmian, które wynikają z umów, traktatów i konwencji oraz innych instytucji międzynarodowych, w których Unia jest członkiem, i do zmian wynikających ze zmian standardów dotyczących zestawiania rachunków narodowych i regionalnych zgodnie z rozporządzeniem (WE) nr 549/2013 i statystyk bilansu płatniczego zgodnie z rozporządzeniem (WE) nr 184/2005.Liczba cech tematów szczegółowych dynamicznej statystyki gospodarczej nie może się między kolejnymi okresami referencyjnymi znacząco zwiększyć i nie może przekraczać liczby cech w pierwszym roku wykonania niniejszego rozporządzenia;</w:t>
            </w:r>
          </w:p>
        </w:tc>
        <w:tc>
          <w:tcPr>
            <w:tcW w:w="4876" w:type="dxa"/>
            <w:hideMark/>
          </w:tcPr>
          <w:p w14:paraId="5F5B5986" w14:textId="34A6DA61" w:rsidR="008E0B4F" w:rsidRPr="00EB0CA5" w:rsidRDefault="008E0B4F" w:rsidP="00FC1F6B">
            <w:pPr>
              <w:pStyle w:val="Normal6"/>
              <w:rPr>
                <w:szCs w:val="24"/>
              </w:rPr>
            </w:pPr>
            <w:r w:rsidRPr="00EB0CA5">
              <w:lastRenderedPageBreak/>
              <w:t>b)</w:t>
            </w:r>
            <w:r w:rsidRPr="00EB0CA5">
              <w:tab/>
              <w:t xml:space="preserve">w obowiązującym akcie delegowanym przez okres pięciu kolejnych lat nie </w:t>
            </w:r>
            <w:r w:rsidRPr="00EB0CA5">
              <w:rPr>
                <w:b/>
                <w:i/>
              </w:rPr>
              <w:t>zastępuje</w:t>
            </w:r>
            <w:r w:rsidRPr="00EB0CA5">
              <w:t xml:space="preserve"> się innym tematem </w:t>
            </w:r>
            <w:r w:rsidRPr="00EB0CA5">
              <w:lastRenderedPageBreak/>
              <w:t>szczegółowym więcej niż jednego tematu szczegółowego w dziedzinie „krótkookresowa statystyka gospodarcza”, więcej niż pięć tematów szczegółowych w dziedzinie „statystyka gospodarcza na poziomie krajowym”, więcej niż dwa tematy szczegółowe w dziedzinie „regionalna statystyka gospodarcza” i więcej niż dwa tematy szczegółowe w dziedzinie „statystyka dotycząca działalności międzynarodowej”</w:t>
            </w:r>
            <w:r w:rsidRPr="00EB0CA5">
              <w:rPr>
                <w:b/>
                <w:i/>
              </w:rPr>
              <w:t>, oraz przez okres pięciu kolejnych lat w obowiązującym akcie delegowanym w poszczególnych dziedzinach nie dodaje się więcej niż jednego tematu szczegółowego</w:t>
            </w:r>
            <w:r w:rsidRPr="00EB0CA5">
              <w:t>. Te maksymalne progi nie mają zastosowania do zmian, które wynikają z umów, traktatów i konwencji oraz innych instytucji międzynarodowych, w których Unia jest członkiem, i do zmian wynikających ze zmian standardów dotyczących zestawiania rachunków narodowych i regionalnych zgodnie z rozporządzeniem (WE) nr 549/2013 i statystyk bilansu płatniczego zgodnie z rozporządzeniem (WE) nr 184/2005. Liczba cech tematów szczegółowych dynamicznej statystyki gospodarczej nie może się między kolejnymi okresami referencyjnymi znacząco zwiększyć i nie może przekraczać liczby cech w pierwszym roku wykonania niniejszego rozporządzenia;</w:t>
            </w:r>
          </w:p>
        </w:tc>
      </w:tr>
    </w:tbl>
    <w:p w14:paraId="49999F90" w14:textId="77777777" w:rsidR="008E0B4F" w:rsidRPr="00EB0CA5" w:rsidRDefault="008E0B4F" w:rsidP="008E0B4F">
      <w:pPr>
        <w:rPr>
          <w:szCs w:val="24"/>
        </w:rPr>
      </w:pPr>
      <w:r w:rsidRPr="00EB0CA5">
        <w:rPr>
          <w:rStyle w:val="HideTWBExt"/>
          <w:noProof w:val="0"/>
          <w:color w:val="auto"/>
        </w:rPr>
        <w:lastRenderedPageBreak/>
        <w:t>&lt;/Amend&gt;</w:t>
      </w:r>
    </w:p>
    <w:p w14:paraId="6EDED505" w14:textId="77C76FC9" w:rsidR="004B19B6" w:rsidRPr="00EB0CA5" w:rsidRDefault="004B19B6" w:rsidP="004B19B6">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24</w:t>
      </w:r>
      <w:r w:rsidRPr="00EB0CA5">
        <w:rPr>
          <w:rStyle w:val="HideTWBExt"/>
          <w:b w:val="0"/>
          <w:noProof w:val="0"/>
          <w:color w:val="auto"/>
        </w:rPr>
        <w:t>&lt;/NumAm&gt;</w:t>
      </w:r>
    </w:p>
    <w:p w14:paraId="759F1A46" w14:textId="77777777" w:rsidR="004B19B6" w:rsidRPr="00EB0CA5" w:rsidRDefault="004B19B6" w:rsidP="004B19B6">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3BFDA33" w14:textId="77777777" w:rsidR="004B19B6" w:rsidRPr="00EB0CA5" w:rsidRDefault="004B19B6" w:rsidP="004B19B6">
      <w:pPr>
        <w:pStyle w:val="NormalBold"/>
      </w:pPr>
      <w:r w:rsidRPr="00EB0CA5">
        <w:rPr>
          <w:rStyle w:val="HideTWBExt"/>
          <w:b w:val="0"/>
          <w:noProof w:val="0"/>
          <w:color w:val="auto"/>
        </w:rPr>
        <w:t>&lt;Article&gt;</w:t>
      </w:r>
      <w:r w:rsidRPr="00EB0CA5">
        <w:t>Artykuł 6 – ustęp 5 – litera c</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CA8E049" w14:textId="77777777" w:rsidTr="00D65613">
        <w:trPr>
          <w:jc w:val="center"/>
        </w:trPr>
        <w:tc>
          <w:tcPr>
            <w:tcW w:w="9752" w:type="dxa"/>
            <w:gridSpan w:val="2"/>
          </w:tcPr>
          <w:p w14:paraId="2222D096" w14:textId="77777777" w:rsidR="004B19B6" w:rsidRPr="00EB0CA5" w:rsidRDefault="004B19B6" w:rsidP="00D65613">
            <w:pPr>
              <w:keepNext/>
            </w:pPr>
          </w:p>
        </w:tc>
      </w:tr>
      <w:tr w:rsidR="00EB0CA5" w:rsidRPr="00EB0CA5" w14:paraId="23D22E50" w14:textId="77777777" w:rsidTr="00D65613">
        <w:trPr>
          <w:jc w:val="center"/>
        </w:trPr>
        <w:tc>
          <w:tcPr>
            <w:tcW w:w="4876" w:type="dxa"/>
            <w:hideMark/>
          </w:tcPr>
          <w:p w14:paraId="65B12988" w14:textId="77777777" w:rsidR="004B19B6" w:rsidRPr="00EB0CA5" w:rsidRDefault="004B19B6" w:rsidP="00D65613">
            <w:pPr>
              <w:pStyle w:val="ColumnHeading"/>
              <w:keepNext/>
            </w:pPr>
            <w:r w:rsidRPr="00EB0CA5">
              <w:t>Tekst proponowany przez Komisję</w:t>
            </w:r>
          </w:p>
        </w:tc>
        <w:tc>
          <w:tcPr>
            <w:tcW w:w="4876" w:type="dxa"/>
            <w:hideMark/>
          </w:tcPr>
          <w:p w14:paraId="58933E84" w14:textId="77777777" w:rsidR="004B19B6" w:rsidRPr="00EB0CA5" w:rsidRDefault="004B19B6" w:rsidP="00D65613">
            <w:pPr>
              <w:pStyle w:val="ColumnHeading"/>
              <w:keepNext/>
            </w:pPr>
            <w:r w:rsidRPr="00EB0CA5">
              <w:t>Poprawka</w:t>
            </w:r>
          </w:p>
        </w:tc>
      </w:tr>
      <w:tr w:rsidR="00EB0CA5" w:rsidRPr="00EB0CA5" w14:paraId="279EDC35" w14:textId="77777777" w:rsidTr="00D65613">
        <w:trPr>
          <w:jc w:val="center"/>
        </w:trPr>
        <w:tc>
          <w:tcPr>
            <w:tcW w:w="4876" w:type="dxa"/>
            <w:hideMark/>
          </w:tcPr>
          <w:p w14:paraId="51477D2A" w14:textId="77777777" w:rsidR="004B19B6" w:rsidRPr="00EB0CA5" w:rsidRDefault="004B19B6" w:rsidP="00D65613">
            <w:pPr>
              <w:pStyle w:val="Normal6"/>
            </w:pPr>
            <w:r w:rsidRPr="00EB0CA5">
              <w:t>c)</w:t>
            </w:r>
            <w:r w:rsidRPr="00EB0CA5">
              <w:tab/>
              <w:t xml:space="preserve">akty delegowane przyjmuje się co najmniej </w:t>
            </w:r>
            <w:r w:rsidRPr="00EB0CA5">
              <w:rPr>
                <w:b/>
                <w:i/>
              </w:rPr>
              <w:t>15</w:t>
            </w:r>
            <w:r w:rsidRPr="00EB0CA5">
              <w:t xml:space="preserve"> miesięcy przed końcem okresu referencyjnego dla danych, których dotyczą te akty, z wyjątkiem tematów „innowacje” i „wykorzystanie technologii informacyjno-telekomunikacyjnych i handel elektroniczny”, w przypadku </w:t>
            </w:r>
            <w:r w:rsidRPr="00EB0CA5">
              <w:lastRenderedPageBreak/>
              <w:t>których akty delegowane przyjmuje się co najmniej odpowiednio sześć i dwanaście miesięcy przed końcem okresu referencyjnego.</w:t>
            </w:r>
          </w:p>
        </w:tc>
        <w:tc>
          <w:tcPr>
            <w:tcW w:w="4876" w:type="dxa"/>
            <w:hideMark/>
          </w:tcPr>
          <w:p w14:paraId="3E99A6C0" w14:textId="77777777" w:rsidR="004B19B6" w:rsidRPr="00EB0CA5" w:rsidRDefault="004B19B6" w:rsidP="00D65613">
            <w:pPr>
              <w:pStyle w:val="Normal6"/>
              <w:rPr>
                <w:szCs w:val="24"/>
              </w:rPr>
            </w:pPr>
            <w:r w:rsidRPr="00EB0CA5">
              <w:lastRenderedPageBreak/>
              <w:t>c)</w:t>
            </w:r>
            <w:r w:rsidRPr="00EB0CA5">
              <w:tab/>
              <w:t xml:space="preserve">akty delegowane przyjmuje się co najmniej </w:t>
            </w:r>
            <w:r w:rsidRPr="00EB0CA5">
              <w:rPr>
                <w:b/>
                <w:i/>
              </w:rPr>
              <w:t>18</w:t>
            </w:r>
            <w:r w:rsidRPr="00EB0CA5">
              <w:t xml:space="preserve"> miesięcy przed końcem okresu referencyjnego dla danych, których dotyczą te akty, z wyjątkiem tematów „innowacje” i „wykorzystanie technologii informacyjno-telekomunikacyjnych i handel elektroniczny”, w przypadku </w:t>
            </w:r>
            <w:r w:rsidRPr="00EB0CA5">
              <w:lastRenderedPageBreak/>
              <w:t>których akty delegowane przyjmuje się co najmniej odpowiednio sześć i dwanaście miesięcy przed końcem okresu referencyjnego.</w:t>
            </w:r>
          </w:p>
        </w:tc>
      </w:tr>
    </w:tbl>
    <w:p w14:paraId="1472A989" w14:textId="77777777" w:rsidR="004B19B6" w:rsidRPr="00EB0CA5" w:rsidRDefault="004B19B6" w:rsidP="004B19B6">
      <w:pPr>
        <w:rPr>
          <w:szCs w:val="24"/>
        </w:rPr>
      </w:pPr>
      <w:r w:rsidRPr="00EB0CA5">
        <w:rPr>
          <w:rStyle w:val="HideTWBExt"/>
          <w:noProof w:val="0"/>
          <w:color w:val="auto"/>
        </w:rPr>
        <w:lastRenderedPageBreak/>
        <w:t>&lt;/Amend&gt;</w:t>
      </w:r>
    </w:p>
    <w:p w14:paraId="553DADE8" w14:textId="77777777" w:rsidR="00D07935" w:rsidRDefault="004B19B6" w:rsidP="004B19B6">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25</w:t>
      </w:r>
    </w:p>
    <w:p w14:paraId="31E51E6F" w14:textId="3A45709A" w:rsidR="004B19B6" w:rsidRPr="00EB0CA5" w:rsidRDefault="004B19B6" w:rsidP="004B19B6">
      <w:pPr>
        <w:pStyle w:val="AMNumberTabs"/>
        <w:keepNext/>
        <w:rPr>
          <w:rStyle w:val="HideTWBExt"/>
          <w:b w:val="0"/>
          <w:noProof w:val="0"/>
          <w:color w:val="auto"/>
        </w:rPr>
      </w:pPr>
      <w:r w:rsidRPr="00EB0CA5">
        <w:rPr>
          <w:rStyle w:val="HideTWBExt"/>
          <w:b w:val="0"/>
          <w:noProof w:val="0"/>
          <w:color w:val="auto"/>
        </w:rPr>
        <w:t>&lt;/NumAm&gt;</w:t>
      </w:r>
    </w:p>
    <w:p w14:paraId="3DCD6430" w14:textId="77777777" w:rsidR="004B19B6" w:rsidRPr="00EB0CA5" w:rsidRDefault="004B19B6" w:rsidP="004B19B6">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B895371" w14:textId="77777777" w:rsidR="004B19B6" w:rsidRPr="00EB0CA5" w:rsidRDefault="004B19B6" w:rsidP="004B19B6">
      <w:pPr>
        <w:pStyle w:val="NormalBold"/>
      </w:pPr>
      <w:r w:rsidRPr="00EB0CA5">
        <w:rPr>
          <w:rStyle w:val="HideTWBExt"/>
          <w:b w:val="0"/>
          <w:noProof w:val="0"/>
          <w:color w:val="auto"/>
        </w:rPr>
        <w:t>&lt;Article&gt;</w:t>
      </w:r>
      <w:r w:rsidRPr="00EB0CA5">
        <w:t>Artykuł 7 – ustęp 1 – litera a</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398B6BE5" w14:textId="77777777" w:rsidTr="00D65613">
        <w:trPr>
          <w:jc w:val="center"/>
        </w:trPr>
        <w:tc>
          <w:tcPr>
            <w:tcW w:w="9752" w:type="dxa"/>
            <w:gridSpan w:val="2"/>
          </w:tcPr>
          <w:p w14:paraId="2E52CCE6" w14:textId="77777777" w:rsidR="004B19B6" w:rsidRPr="00EB0CA5" w:rsidRDefault="004B19B6" w:rsidP="00D65613">
            <w:pPr>
              <w:keepNext/>
            </w:pPr>
          </w:p>
        </w:tc>
      </w:tr>
      <w:tr w:rsidR="00EB0CA5" w:rsidRPr="00EB0CA5" w14:paraId="07A60285" w14:textId="77777777" w:rsidTr="00D65613">
        <w:trPr>
          <w:jc w:val="center"/>
        </w:trPr>
        <w:tc>
          <w:tcPr>
            <w:tcW w:w="4876" w:type="dxa"/>
            <w:hideMark/>
          </w:tcPr>
          <w:p w14:paraId="34B70FF3" w14:textId="77777777" w:rsidR="004B19B6" w:rsidRPr="00EB0CA5" w:rsidRDefault="004B19B6" w:rsidP="00D65613">
            <w:pPr>
              <w:pStyle w:val="ColumnHeading"/>
              <w:keepNext/>
            </w:pPr>
            <w:r w:rsidRPr="00EB0CA5">
              <w:t>Tekst proponowany przez Komisję</w:t>
            </w:r>
          </w:p>
        </w:tc>
        <w:tc>
          <w:tcPr>
            <w:tcW w:w="4876" w:type="dxa"/>
            <w:hideMark/>
          </w:tcPr>
          <w:p w14:paraId="6DEBBC5C" w14:textId="77777777" w:rsidR="004B19B6" w:rsidRPr="00EB0CA5" w:rsidRDefault="004B19B6" w:rsidP="00D65613">
            <w:pPr>
              <w:pStyle w:val="ColumnHeading"/>
              <w:keepNext/>
            </w:pPr>
            <w:r w:rsidRPr="00EB0CA5">
              <w:t>Poprawka</w:t>
            </w:r>
          </w:p>
        </w:tc>
      </w:tr>
      <w:tr w:rsidR="00EB0CA5" w:rsidRPr="00EB0CA5" w14:paraId="472CC405" w14:textId="77777777" w:rsidTr="00D65613">
        <w:trPr>
          <w:jc w:val="center"/>
        </w:trPr>
        <w:tc>
          <w:tcPr>
            <w:tcW w:w="4876" w:type="dxa"/>
            <w:hideMark/>
          </w:tcPr>
          <w:p w14:paraId="06BB6DC7" w14:textId="77777777" w:rsidR="004B19B6" w:rsidRPr="00EB0CA5" w:rsidRDefault="004B19B6" w:rsidP="00D65613">
            <w:pPr>
              <w:pStyle w:val="Normal6"/>
            </w:pPr>
            <w:r w:rsidRPr="00EB0CA5">
              <w:rPr>
                <w:b/>
                <w:i/>
              </w:rPr>
              <w:t>a)</w:t>
            </w:r>
            <w:r w:rsidRPr="00EB0CA5">
              <w:rPr>
                <w:b/>
                <w:i/>
              </w:rPr>
              <w:tab/>
              <w:t>zmienne (z wyjątkiem tematów szczegółowych: innowacje, wykorzystanie technologii informacyjno-telekomunikacyjnych i handel elektroniczny oraz globalne łańcuchy wartości);</w:t>
            </w:r>
          </w:p>
        </w:tc>
        <w:tc>
          <w:tcPr>
            <w:tcW w:w="4876" w:type="dxa"/>
            <w:hideMark/>
          </w:tcPr>
          <w:p w14:paraId="5F6F2D61" w14:textId="77777777" w:rsidR="004B19B6" w:rsidRPr="00EB0CA5" w:rsidRDefault="004B19B6" w:rsidP="00D65613">
            <w:pPr>
              <w:pStyle w:val="Normal6"/>
              <w:rPr>
                <w:szCs w:val="24"/>
              </w:rPr>
            </w:pPr>
            <w:r w:rsidRPr="00EB0CA5">
              <w:rPr>
                <w:b/>
                <w:i/>
              </w:rPr>
              <w:t>skreśla się</w:t>
            </w:r>
          </w:p>
        </w:tc>
      </w:tr>
    </w:tbl>
    <w:p w14:paraId="1B68CF3B" w14:textId="77777777" w:rsidR="004B19B6" w:rsidRPr="00EB0CA5" w:rsidRDefault="004B19B6" w:rsidP="004B19B6">
      <w:pPr>
        <w:rPr>
          <w:szCs w:val="24"/>
        </w:rPr>
      </w:pPr>
      <w:r w:rsidRPr="00EB0CA5">
        <w:rPr>
          <w:rStyle w:val="HideTWBExt"/>
          <w:noProof w:val="0"/>
          <w:color w:val="auto"/>
        </w:rPr>
        <w:t>&lt;/Amend&gt;</w:t>
      </w:r>
    </w:p>
    <w:p w14:paraId="1D013CFA" w14:textId="6861AC46" w:rsidR="003605DA" w:rsidRPr="00EB0CA5" w:rsidRDefault="003605DA" w:rsidP="003605DA">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26</w:t>
      </w:r>
      <w:r w:rsidRPr="00EB0CA5">
        <w:rPr>
          <w:rStyle w:val="HideTWBExt"/>
          <w:b w:val="0"/>
          <w:noProof w:val="0"/>
          <w:color w:val="auto"/>
        </w:rPr>
        <w:t>&lt;/NumAm&gt;</w:t>
      </w:r>
    </w:p>
    <w:p w14:paraId="538D15B1" w14:textId="77777777" w:rsidR="003605DA" w:rsidRPr="00EB0CA5" w:rsidRDefault="003605DA" w:rsidP="003605DA">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6685FD17" w14:textId="77777777" w:rsidR="003605DA" w:rsidRPr="00EB0CA5" w:rsidRDefault="003605DA" w:rsidP="003605DA">
      <w:pPr>
        <w:pStyle w:val="NormalBold"/>
      </w:pPr>
      <w:r w:rsidRPr="00EB0CA5">
        <w:rPr>
          <w:rStyle w:val="HideTWBExt"/>
          <w:b w:val="0"/>
          <w:noProof w:val="0"/>
          <w:color w:val="auto"/>
        </w:rPr>
        <w:t>&lt;Article&gt;</w:t>
      </w:r>
      <w:r w:rsidRPr="00EB0CA5">
        <w:t>Artykuł 7 – ustęp 2</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0EE4B00C" w14:textId="77777777" w:rsidTr="008A3424">
        <w:trPr>
          <w:jc w:val="center"/>
        </w:trPr>
        <w:tc>
          <w:tcPr>
            <w:tcW w:w="9752" w:type="dxa"/>
            <w:gridSpan w:val="2"/>
          </w:tcPr>
          <w:p w14:paraId="3D4B5ABC" w14:textId="77777777" w:rsidR="003605DA" w:rsidRPr="00EB0CA5" w:rsidRDefault="003605DA" w:rsidP="008A3424">
            <w:pPr>
              <w:keepNext/>
            </w:pPr>
          </w:p>
        </w:tc>
      </w:tr>
      <w:tr w:rsidR="00EB0CA5" w:rsidRPr="00EB0CA5" w14:paraId="55275675" w14:textId="77777777" w:rsidTr="008A3424">
        <w:trPr>
          <w:jc w:val="center"/>
        </w:trPr>
        <w:tc>
          <w:tcPr>
            <w:tcW w:w="4876" w:type="dxa"/>
            <w:hideMark/>
          </w:tcPr>
          <w:p w14:paraId="7642765A" w14:textId="77777777" w:rsidR="003605DA" w:rsidRPr="00EB0CA5" w:rsidRDefault="003605DA" w:rsidP="008A3424">
            <w:pPr>
              <w:pStyle w:val="ColumnHeading"/>
              <w:keepNext/>
            </w:pPr>
            <w:r w:rsidRPr="00EB0CA5">
              <w:t>Tekst proponowany przez Komisję</w:t>
            </w:r>
          </w:p>
        </w:tc>
        <w:tc>
          <w:tcPr>
            <w:tcW w:w="4876" w:type="dxa"/>
            <w:hideMark/>
          </w:tcPr>
          <w:p w14:paraId="6EC34B29" w14:textId="77777777" w:rsidR="003605DA" w:rsidRPr="00EB0CA5" w:rsidRDefault="003605DA" w:rsidP="008A3424">
            <w:pPr>
              <w:pStyle w:val="ColumnHeading"/>
              <w:keepNext/>
            </w:pPr>
            <w:r w:rsidRPr="00EB0CA5">
              <w:t>Poprawka</w:t>
            </w:r>
          </w:p>
        </w:tc>
      </w:tr>
      <w:tr w:rsidR="00EB0CA5" w:rsidRPr="00EB0CA5" w14:paraId="08C61D14" w14:textId="77777777" w:rsidTr="008A3424">
        <w:trPr>
          <w:jc w:val="center"/>
        </w:trPr>
        <w:tc>
          <w:tcPr>
            <w:tcW w:w="4876" w:type="dxa"/>
            <w:hideMark/>
          </w:tcPr>
          <w:p w14:paraId="612CBC5D" w14:textId="77777777" w:rsidR="003605DA" w:rsidRPr="00EB0CA5" w:rsidRDefault="003605DA" w:rsidP="008A3424">
            <w:pPr>
              <w:pStyle w:val="Normal6"/>
            </w:pPr>
            <w:r w:rsidRPr="00EB0CA5">
              <w:t>2.</w:t>
            </w:r>
            <w:r w:rsidRPr="00EB0CA5">
              <w:tab/>
              <w:t xml:space="preserve">Przy wykonywaniu uprawnień, o których mowa w ust. 1, w odniesieniu do uproszczeń Komisja bierze pod uwagę wielkość i znaczenie krajów, zgodnie z zasadą proporcjonalności, w celu zmniejszenia obciążenia przedsiębiorstw. Ponadto Komisja zapewnia, by zachowany był wkład niezbędny dla standardów dotyczących zestawiania rachunków narodowych i regionalnych zgodnie z rozporządzeniem (WE) nr 549/2013 i statystyk bilansu płatniczego zgodnie z rozporządzeniem (WE) nr 184/2005. Akty wykonawcze, z wyjątkiem tych regulujących pierwsze wykonanie niniejszego rozporządzenia, przyjmuje się co najmniej </w:t>
            </w:r>
            <w:r w:rsidRPr="00EB0CA5">
              <w:rPr>
                <w:b/>
                <w:i/>
              </w:rPr>
              <w:t>15</w:t>
            </w:r>
            <w:r w:rsidRPr="00EB0CA5">
              <w:t xml:space="preserve"> miesięcy przed końcem okresu referencyjnego dla tematów wymienionych w załączniku I. W przypadku tematów „innowacje” i „wykorzystanie technologii informacyjno-</w:t>
            </w:r>
            <w:r w:rsidRPr="00EB0CA5">
              <w:lastRenderedPageBreak/>
              <w:t>telekomunikacyjnych i handel elektroniczny” akty wykonawcze przyjmuje się co najmniej odpowiednio sześć i dwanaście miesięcy przed końcem okresu referencyjnego.</w:t>
            </w:r>
          </w:p>
        </w:tc>
        <w:tc>
          <w:tcPr>
            <w:tcW w:w="4876" w:type="dxa"/>
            <w:hideMark/>
          </w:tcPr>
          <w:p w14:paraId="0C433147" w14:textId="77777777" w:rsidR="003605DA" w:rsidRPr="00EB0CA5" w:rsidRDefault="003605DA" w:rsidP="008A3424">
            <w:pPr>
              <w:pStyle w:val="Normal6"/>
              <w:rPr>
                <w:szCs w:val="24"/>
              </w:rPr>
            </w:pPr>
            <w:r w:rsidRPr="00EB0CA5">
              <w:lastRenderedPageBreak/>
              <w:t>2.</w:t>
            </w:r>
            <w:r w:rsidRPr="00EB0CA5">
              <w:tab/>
              <w:t xml:space="preserve">Przy wykonywaniu uprawnień, o których mowa w ust. 1, w odniesieniu do uproszczeń Komisja bierze pod uwagę wielkość i znaczenie krajów, zgodnie z zasadą proporcjonalności, w celu zmniejszenia obciążenia przedsiębiorstw. Ponadto Komisja zapewnia, by zachowany był wkład niezbędny dla standardów dotyczących zestawiania rachunków narodowych i regionalnych zgodnie z rozporządzeniem (WE) nr 549/2013 i statystyk bilansu płatniczego zgodnie z rozporządzeniem (WE) nr 184/2005. Akty wykonawcze, z wyjątkiem tych regulujących pierwsze wykonanie niniejszego rozporządzenia, przyjmuje się co najmniej </w:t>
            </w:r>
            <w:r w:rsidRPr="00EB0CA5">
              <w:rPr>
                <w:b/>
                <w:i/>
              </w:rPr>
              <w:t>18</w:t>
            </w:r>
            <w:r w:rsidRPr="00EB0CA5">
              <w:t xml:space="preserve"> miesięcy przed końcem okresu referencyjnego dla tematów wymienionych w załączniku I. W przypadku tematów „innowacje” i „wykorzystanie technologii informacyjno-</w:t>
            </w:r>
            <w:r w:rsidRPr="00EB0CA5">
              <w:lastRenderedPageBreak/>
              <w:t>telekomunikacyjnych i handel elektroniczny” akty wykonawcze przyjmuje się co najmniej odpowiednio sześć i dwanaście miesięcy przed końcem okresu referencyjnego.</w:t>
            </w:r>
          </w:p>
        </w:tc>
      </w:tr>
    </w:tbl>
    <w:p w14:paraId="33564928" w14:textId="77777777" w:rsidR="003605DA" w:rsidRPr="00EB0CA5" w:rsidRDefault="003605DA" w:rsidP="003605DA">
      <w:pPr>
        <w:rPr>
          <w:szCs w:val="24"/>
        </w:rPr>
      </w:pPr>
      <w:r w:rsidRPr="00EB0CA5">
        <w:rPr>
          <w:rStyle w:val="HideTWBExt"/>
          <w:noProof w:val="0"/>
          <w:color w:val="auto"/>
        </w:rPr>
        <w:lastRenderedPageBreak/>
        <w:t>&lt;/Amend&gt;</w:t>
      </w:r>
    </w:p>
    <w:p w14:paraId="5A1CC44B" w14:textId="02E57BF0"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27</w:t>
      </w:r>
      <w:r w:rsidRPr="00EB0CA5">
        <w:rPr>
          <w:rStyle w:val="HideTWBExt"/>
          <w:b w:val="0"/>
          <w:noProof w:val="0"/>
          <w:color w:val="auto"/>
        </w:rPr>
        <w:t>&lt;/NumAm&gt;</w:t>
      </w:r>
    </w:p>
    <w:p w14:paraId="1CA35AD3"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41E00181" w14:textId="77777777" w:rsidR="008E0B4F" w:rsidRPr="00EB0CA5" w:rsidRDefault="008E0B4F" w:rsidP="008E0B4F">
      <w:pPr>
        <w:pStyle w:val="NormalBold"/>
      </w:pPr>
      <w:r w:rsidRPr="00EB0CA5">
        <w:rPr>
          <w:rStyle w:val="HideTWBExt"/>
          <w:b w:val="0"/>
          <w:noProof w:val="0"/>
          <w:color w:val="auto"/>
        </w:rPr>
        <w:t>&lt;Article&gt;</w:t>
      </w:r>
      <w:r w:rsidRPr="00EB0CA5">
        <w:t>Artykuł 7 – ustęp 3</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17C2AD9D" w14:textId="77777777" w:rsidTr="008E0B4F">
        <w:trPr>
          <w:jc w:val="center"/>
        </w:trPr>
        <w:tc>
          <w:tcPr>
            <w:tcW w:w="9752" w:type="dxa"/>
            <w:gridSpan w:val="2"/>
          </w:tcPr>
          <w:p w14:paraId="49A69C30" w14:textId="77777777" w:rsidR="008E0B4F" w:rsidRPr="00EB0CA5" w:rsidRDefault="008E0B4F">
            <w:pPr>
              <w:keepNext/>
            </w:pPr>
          </w:p>
        </w:tc>
      </w:tr>
      <w:tr w:rsidR="00EB0CA5" w:rsidRPr="00EB0CA5" w14:paraId="263ADDD5" w14:textId="77777777" w:rsidTr="008E0B4F">
        <w:trPr>
          <w:jc w:val="center"/>
        </w:trPr>
        <w:tc>
          <w:tcPr>
            <w:tcW w:w="4876" w:type="dxa"/>
            <w:hideMark/>
          </w:tcPr>
          <w:p w14:paraId="228B2126" w14:textId="77777777" w:rsidR="008E0B4F" w:rsidRPr="00EB0CA5" w:rsidRDefault="008E0B4F">
            <w:pPr>
              <w:pStyle w:val="ColumnHeading"/>
              <w:keepNext/>
            </w:pPr>
            <w:r w:rsidRPr="00EB0CA5">
              <w:t>Tekst proponowany przez Komisję</w:t>
            </w:r>
          </w:p>
        </w:tc>
        <w:tc>
          <w:tcPr>
            <w:tcW w:w="4876" w:type="dxa"/>
            <w:hideMark/>
          </w:tcPr>
          <w:p w14:paraId="4E8382B9" w14:textId="77777777" w:rsidR="008E0B4F" w:rsidRPr="00EB0CA5" w:rsidRDefault="008E0B4F">
            <w:pPr>
              <w:pStyle w:val="ColumnHeading"/>
              <w:keepNext/>
            </w:pPr>
            <w:r w:rsidRPr="00EB0CA5">
              <w:t>Poprawka</w:t>
            </w:r>
          </w:p>
        </w:tc>
      </w:tr>
      <w:tr w:rsidR="00EB0CA5" w:rsidRPr="00EB0CA5" w14:paraId="792ECA40" w14:textId="77777777" w:rsidTr="008E0B4F">
        <w:trPr>
          <w:jc w:val="center"/>
        </w:trPr>
        <w:tc>
          <w:tcPr>
            <w:tcW w:w="4876" w:type="dxa"/>
            <w:hideMark/>
          </w:tcPr>
          <w:p w14:paraId="3B5CFA10" w14:textId="77777777" w:rsidR="008E0B4F" w:rsidRPr="00EB0CA5" w:rsidRDefault="008E0B4F">
            <w:pPr>
              <w:pStyle w:val="Normal6"/>
            </w:pPr>
            <w:r w:rsidRPr="00EB0CA5">
              <w:t>3.</w:t>
            </w:r>
            <w:r w:rsidRPr="00EB0CA5">
              <w:tab/>
              <w:t>Akty wykonawcze, o których mowa w ust. 1, przyjmuje się zgodnie z procedurą sprawdzającą, o której mowa w art. 22 ust. 2.</w:t>
            </w:r>
          </w:p>
        </w:tc>
        <w:tc>
          <w:tcPr>
            <w:tcW w:w="4876" w:type="dxa"/>
            <w:hideMark/>
          </w:tcPr>
          <w:p w14:paraId="78F20ECD" w14:textId="18302BED" w:rsidR="008E0B4F" w:rsidRPr="00EB0CA5" w:rsidRDefault="008E0B4F" w:rsidP="00FA01C0">
            <w:pPr>
              <w:pStyle w:val="Normal6"/>
              <w:rPr>
                <w:szCs w:val="24"/>
              </w:rPr>
            </w:pPr>
            <w:r w:rsidRPr="00EB0CA5">
              <w:t>3.</w:t>
            </w:r>
            <w:r w:rsidRPr="00EB0CA5">
              <w:tab/>
              <w:t xml:space="preserve">Akty wykonawcze, o których mowa w ust. 1, przyjmuje się zgodnie z procedurą sprawdzającą, o której mowa w art. 22 ust. 2. </w:t>
            </w:r>
          </w:p>
        </w:tc>
      </w:tr>
      <w:tr w:rsidR="00EB0CA5" w:rsidRPr="00EB0CA5" w14:paraId="79742C83" w14:textId="77777777" w:rsidTr="008E0B4F">
        <w:trPr>
          <w:jc w:val="center"/>
        </w:trPr>
        <w:tc>
          <w:tcPr>
            <w:tcW w:w="4876" w:type="dxa"/>
          </w:tcPr>
          <w:p w14:paraId="1FEF9423" w14:textId="77777777" w:rsidR="00FA01C0" w:rsidRPr="00EB0CA5" w:rsidRDefault="00FA01C0">
            <w:pPr>
              <w:pStyle w:val="Normal6"/>
            </w:pPr>
          </w:p>
        </w:tc>
        <w:tc>
          <w:tcPr>
            <w:tcW w:w="4876" w:type="dxa"/>
          </w:tcPr>
          <w:p w14:paraId="4512B345" w14:textId="53CD454F" w:rsidR="00FA01C0" w:rsidRPr="00EB0CA5" w:rsidRDefault="00FA01C0" w:rsidP="00794E2D">
            <w:pPr>
              <w:pStyle w:val="Normal6"/>
            </w:pPr>
            <w:r w:rsidRPr="00EB0CA5">
              <w:rPr>
                <w:b/>
                <w:i/>
              </w:rPr>
              <w:t>Przygotowując takie akty wykonawcze, bierze się pod uwagę ewentualne dodatkowe koszty i obciążenia administracyjne dla państw członkowskich lub respondentów, jak również przewidywany wzrost jakości statystycznej i wszelkie inne bezpośrednie lub pośrednie korzyści wynikające z dodatkowo proponowanych działań.</w:t>
            </w:r>
          </w:p>
        </w:tc>
      </w:tr>
    </w:tbl>
    <w:p w14:paraId="3403243C" w14:textId="77777777" w:rsidR="008E0B4F" w:rsidRPr="00EB0CA5" w:rsidRDefault="008E0B4F" w:rsidP="008E0B4F">
      <w:pPr>
        <w:rPr>
          <w:szCs w:val="24"/>
        </w:rPr>
      </w:pPr>
      <w:r w:rsidRPr="00EB0CA5">
        <w:rPr>
          <w:rStyle w:val="HideTWBExt"/>
          <w:noProof w:val="0"/>
          <w:color w:val="auto"/>
        </w:rPr>
        <w:t>&lt;/Amend&gt;</w:t>
      </w:r>
    </w:p>
    <w:p w14:paraId="78FCFB20" w14:textId="0B11DCF2" w:rsidR="003327F2" w:rsidRPr="00EB0CA5" w:rsidRDefault="003327F2" w:rsidP="003327F2">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28</w:t>
      </w:r>
      <w:r w:rsidRPr="00EB0CA5">
        <w:rPr>
          <w:rStyle w:val="HideTWBExt"/>
          <w:b w:val="0"/>
          <w:noProof w:val="0"/>
          <w:color w:val="auto"/>
        </w:rPr>
        <w:t>&lt;/NumAm&gt;</w:t>
      </w:r>
    </w:p>
    <w:p w14:paraId="1C3AE7B9" w14:textId="77777777" w:rsidR="003327F2" w:rsidRPr="00EB0CA5" w:rsidRDefault="003327F2" w:rsidP="003327F2">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AD869AB" w14:textId="77777777" w:rsidR="003327F2" w:rsidRPr="00EB0CA5" w:rsidRDefault="003327F2" w:rsidP="003327F2">
      <w:pPr>
        <w:pStyle w:val="NormalBold"/>
      </w:pPr>
      <w:r w:rsidRPr="00EB0CA5">
        <w:rPr>
          <w:rStyle w:val="HideTWBExt"/>
          <w:b w:val="0"/>
          <w:noProof w:val="0"/>
          <w:color w:val="auto"/>
        </w:rPr>
        <w:t>&lt;Article&gt;</w:t>
      </w:r>
      <w:r w:rsidRPr="00EB0CA5">
        <w:t>Artykuł 8 – ustęp 4 – akapit 1</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5B01DE09" w14:textId="77777777" w:rsidTr="00D5541D">
        <w:trPr>
          <w:jc w:val="center"/>
        </w:trPr>
        <w:tc>
          <w:tcPr>
            <w:tcW w:w="9752" w:type="dxa"/>
            <w:gridSpan w:val="2"/>
          </w:tcPr>
          <w:p w14:paraId="7B5A8734" w14:textId="77777777" w:rsidR="003327F2" w:rsidRPr="00EB0CA5" w:rsidRDefault="003327F2" w:rsidP="00D5541D">
            <w:pPr>
              <w:keepNext/>
            </w:pPr>
          </w:p>
        </w:tc>
      </w:tr>
      <w:tr w:rsidR="00EB0CA5" w:rsidRPr="00EB0CA5" w14:paraId="6E20C973" w14:textId="77777777" w:rsidTr="00D5541D">
        <w:trPr>
          <w:jc w:val="center"/>
        </w:trPr>
        <w:tc>
          <w:tcPr>
            <w:tcW w:w="4876" w:type="dxa"/>
          </w:tcPr>
          <w:p w14:paraId="71AFDAC1" w14:textId="77777777" w:rsidR="003327F2" w:rsidRPr="00EB0CA5" w:rsidRDefault="003327F2" w:rsidP="00D5541D">
            <w:pPr>
              <w:pStyle w:val="ColumnHeading"/>
              <w:keepNext/>
            </w:pPr>
            <w:r w:rsidRPr="00EB0CA5">
              <w:t>Tekst proponowany przez Komisję</w:t>
            </w:r>
          </w:p>
        </w:tc>
        <w:tc>
          <w:tcPr>
            <w:tcW w:w="4876" w:type="dxa"/>
          </w:tcPr>
          <w:p w14:paraId="02681601" w14:textId="77777777" w:rsidR="003327F2" w:rsidRPr="00EB0CA5" w:rsidRDefault="003327F2" w:rsidP="00D5541D">
            <w:pPr>
              <w:pStyle w:val="ColumnHeading"/>
              <w:keepNext/>
            </w:pPr>
            <w:r w:rsidRPr="00EB0CA5">
              <w:t>Poprawka</w:t>
            </w:r>
          </w:p>
        </w:tc>
      </w:tr>
      <w:tr w:rsidR="00EB0CA5" w:rsidRPr="00EB0CA5" w14:paraId="29DF9C1D" w14:textId="77777777" w:rsidTr="00D5541D">
        <w:trPr>
          <w:jc w:val="center"/>
        </w:trPr>
        <w:tc>
          <w:tcPr>
            <w:tcW w:w="4876" w:type="dxa"/>
          </w:tcPr>
          <w:p w14:paraId="7ADD3D9B" w14:textId="77777777" w:rsidR="003327F2" w:rsidRPr="00EB0CA5" w:rsidRDefault="003327F2" w:rsidP="00D5541D">
            <w:pPr>
              <w:pStyle w:val="Normal6"/>
            </w:pPr>
            <w:r w:rsidRPr="00EB0CA5">
              <w:t xml:space="preserve">Krajowe statystyczne rejestry przedsiębiorstw i rejestr EuroGrup stanowią </w:t>
            </w:r>
            <w:r w:rsidRPr="00EB0CA5">
              <w:rPr>
                <w:b/>
                <w:i/>
              </w:rPr>
              <w:t>autorytatywne</w:t>
            </w:r>
            <w:r w:rsidRPr="00EB0CA5">
              <w:t xml:space="preserve"> źródło uzyskiwania wysokiej jakości, spójnych i skoordynowanych populacji rejestrów zgodnie z art. 16 niniejszego rozporządzenia, służących do sporządzania europejskich statystyk.</w:t>
            </w:r>
          </w:p>
        </w:tc>
        <w:tc>
          <w:tcPr>
            <w:tcW w:w="4876" w:type="dxa"/>
          </w:tcPr>
          <w:p w14:paraId="14916BC2" w14:textId="77777777" w:rsidR="003327F2" w:rsidRPr="00EB0CA5" w:rsidRDefault="003327F2" w:rsidP="00D5541D">
            <w:pPr>
              <w:pStyle w:val="Normal6"/>
              <w:rPr>
                <w:szCs w:val="24"/>
              </w:rPr>
            </w:pPr>
            <w:r w:rsidRPr="00EB0CA5">
              <w:t xml:space="preserve">Krajowe statystyczne rejestry przedsiębiorstw i rejestr EuroGrup stanowią </w:t>
            </w:r>
            <w:r w:rsidRPr="00EB0CA5">
              <w:rPr>
                <w:b/>
                <w:i/>
              </w:rPr>
              <w:t>autentyczne i wiarygodne</w:t>
            </w:r>
            <w:r w:rsidRPr="00EB0CA5">
              <w:t xml:space="preserve"> źródło uzyskiwania wysokiej jakości, spójnych i skoordynowanych populacji rejestrów zgodnie z art. 16 niniejszego rozporządzenia, służących do sporządzania europejskich statystyk.</w:t>
            </w:r>
          </w:p>
        </w:tc>
      </w:tr>
    </w:tbl>
    <w:p w14:paraId="0274C594" w14:textId="77777777" w:rsidR="003327F2" w:rsidRPr="00EB0CA5" w:rsidRDefault="003327F2" w:rsidP="003327F2">
      <w:r w:rsidRPr="00EB0CA5">
        <w:rPr>
          <w:rStyle w:val="HideTWBExt"/>
          <w:noProof w:val="0"/>
          <w:color w:val="auto"/>
        </w:rPr>
        <w:t>&lt;/Amend&gt;</w:t>
      </w:r>
    </w:p>
    <w:p w14:paraId="7791D0E2" w14:textId="4755EC15" w:rsidR="008E0B4F" w:rsidRPr="00EB0CA5" w:rsidRDefault="008E0B4F" w:rsidP="008E0B4F">
      <w:pPr>
        <w:pStyle w:val="AMNumberTabs"/>
        <w:keepNext/>
      </w:pPr>
      <w:r w:rsidRPr="00EB0CA5">
        <w:rPr>
          <w:rStyle w:val="HideTWBExt"/>
          <w:b w:val="0"/>
          <w:noProof w:val="0"/>
          <w:color w:val="auto"/>
        </w:rPr>
        <w:lastRenderedPageBreak/>
        <w:t>&lt;Amend&gt;</w:t>
      </w:r>
      <w:r w:rsidRPr="00EB0CA5">
        <w:t>Poprawka</w:t>
      </w:r>
      <w:r w:rsidRPr="00EB0CA5">
        <w:tab/>
      </w:r>
      <w:r w:rsidRPr="00EB0CA5">
        <w:tab/>
      </w:r>
      <w:r w:rsidRPr="00EB0CA5">
        <w:rPr>
          <w:rStyle w:val="HideTWBExt"/>
          <w:b w:val="0"/>
          <w:noProof w:val="0"/>
          <w:color w:val="auto"/>
        </w:rPr>
        <w:t>&lt;NumAm&gt;</w:t>
      </w:r>
      <w:r w:rsidRPr="00EB0CA5">
        <w:t>29</w:t>
      </w:r>
      <w:r w:rsidRPr="00EB0CA5">
        <w:rPr>
          <w:rStyle w:val="HideTWBExt"/>
          <w:b w:val="0"/>
          <w:noProof w:val="0"/>
          <w:color w:val="auto"/>
        </w:rPr>
        <w:t>&lt;/NumAm&gt;</w:t>
      </w:r>
    </w:p>
    <w:p w14:paraId="30076C0F"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7C93BF7" w14:textId="77777777" w:rsidR="008E0B4F" w:rsidRPr="00EB0CA5" w:rsidRDefault="008E0B4F" w:rsidP="008E0B4F">
      <w:pPr>
        <w:pStyle w:val="NormalBold"/>
      </w:pPr>
      <w:r w:rsidRPr="00EB0CA5">
        <w:rPr>
          <w:rStyle w:val="HideTWBExt"/>
          <w:b w:val="0"/>
          <w:noProof w:val="0"/>
          <w:color w:val="auto"/>
        </w:rPr>
        <w:t>&lt;Article&gt;</w:t>
      </w:r>
      <w:r w:rsidRPr="00EB0CA5">
        <w:t>Artykuł 8 – ustęp 4 – akapit 2</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321E56EF" w14:textId="77777777" w:rsidTr="008E0B4F">
        <w:trPr>
          <w:jc w:val="center"/>
        </w:trPr>
        <w:tc>
          <w:tcPr>
            <w:tcW w:w="9752" w:type="dxa"/>
            <w:gridSpan w:val="2"/>
          </w:tcPr>
          <w:p w14:paraId="6E0E3544" w14:textId="77777777" w:rsidR="008E0B4F" w:rsidRPr="00EB0CA5" w:rsidRDefault="008E0B4F">
            <w:pPr>
              <w:keepNext/>
            </w:pPr>
          </w:p>
        </w:tc>
      </w:tr>
      <w:tr w:rsidR="00EB0CA5" w:rsidRPr="00EB0CA5" w14:paraId="26F05607" w14:textId="77777777" w:rsidTr="008E0B4F">
        <w:trPr>
          <w:jc w:val="center"/>
        </w:trPr>
        <w:tc>
          <w:tcPr>
            <w:tcW w:w="4876" w:type="dxa"/>
            <w:hideMark/>
          </w:tcPr>
          <w:p w14:paraId="50F9D196" w14:textId="77777777" w:rsidR="008E0B4F" w:rsidRPr="00EB0CA5" w:rsidRDefault="008E0B4F">
            <w:pPr>
              <w:pStyle w:val="ColumnHeading"/>
              <w:keepNext/>
            </w:pPr>
            <w:r w:rsidRPr="00EB0CA5">
              <w:t>Tekst proponowany przez Komisję</w:t>
            </w:r>
          </w:p>
        </w:tc>
        <w:tc>
          <w:tcPr>
            <w:tcW w:w="4876" w:type="dxa"/>
            <w:hideMark/>
          </w:tcPr>
          <w:p w14:paraId="1AEA3B44" w14:textId="77777777" w:rsidR="008E0B4F" w:rsidRPr="00EB0CA5" w:rsidRDefault="008E0B4F">
            <w:pPr>
              <w:pStyle w:val="ColumnHeading"/>
              <w:keepNext/>
            </w:pPr>
            <w:r w:rsidRPr="00EB0CA5">
              <w:t>Poprawka</w:t>
            </w:r>
          </w:p>
        </w:tc>
      </w:tr>
      <w:tr w:rsidR="00EB0CA5" w:rsidRPr="00EB0CA5" w14:paraId="0E18B348" w14:textId="77777777" w:rsidTr="008E0B4F">
        <w:trPr>
          <w:jc w:val="center"/>
        </w:trPr>
        <w:tc>
          <w:tcPr>
            <w:tcW w:w="4876" w:type="dxa"/>
            <w:hideMark/>
          </w:tcPr>
          <w:p w14:paraId="6D211877" w14:textId="77777777" w:rsidR="008E0B4F" w:rsidRPr="00EB0CA5" w:rsidRDefault="008E0B4F">
            <w:pPr>
              <w:pStyle w:val="Normal6"/>
            </w:pPr>
            <w:r w:rsidRPr="00EB0CA5">
              <w:t xml:space="preserve">Krajowe statystyczne rejestry przedsiębiorstw stanowią autorytatywne źródło krajowych populacji rejestrów. Rejestr EuroGrup stanowi </w:t>
            </w:r>
            <w:r w:rsidRPr="00EB0CA5">
              <w:rPr>
                <w:b/>
                <w:i/>
              </w:rPr>
              <w:t xml:space="preserve">autorytatywne źródło </w:t>
            </w:r>
            <w:r w:rsidRPr="00EB0CA5">
              <w:t xml:space="preserve">dla </w:t>
            </w:r>
            <w:r w:rsidRPr="00EB0CA5">
              <w:rPr>
                <w:b/>
                <w:i/>
              </w:rPr>
              <w:t xml:space="preserve">populacji rejestru </w:t>
            </w:r>
            <w:r w:rsidRPr="00EB0CA5">
              <w:t>Europejskiego Systemu Statystycznego do celów statystyki gospodarczej wymagające koordynacji informacji transgranicznych.</w:t>
            </w:r>
          </w:p>
        </w:tc>
        <w:tc>
          <w:tcPr>
            <w:tcW w:w="4876" w:type="dxa"/>
            <w:hideMark/>
          </w:tcPr>
          <w:p w14:paraId="29B489D7" w14:textId="77777777" w:rsidR="008E0B4F" w:rsidRPr="00EB0CA5" w:rsidRDefault="008E0B4F">
            <w:pPr>
              <w:pStyle w:val="Normal6"/>
              <w:rPr>
                <w:szCs w:val="24"/>
              </w:rPr>
            </w:pPr>
            <w:r w:rsidRPr="00EB0CA5">
              <w:t>Krajowe statystyczne rejestry przedsiębiorstw stanowią autorytatywne źródło krajowych populacji rejestrów</w:t>
            </w:r>
            <w:r w:rsidRPr="00EB0CA5">
              <w:rPr>
                <w:b/>
                <w:i/>
              </w:rPr>
              <w:t xml:space="preserve"> statystycznych</w:t>
            </w:r>
            <w:r w:rsidRPr="00EB0CA5">
              <w:t>. Rejestr EuroGrup stanowi dla Europejskiego Systemu Statystycznego</w:t>
            </w:r>
            <w:r w:rsidRPr="00EB0CA5">
              <w:rPr>
                <w:b/>
                <w:i/>
              </w:rPr>
              <w:t xml:space="preserve"> autorytatywne źródło populacji rejestrów</w:t>
            </w:r>
            <w:r w:rsidRPr="00EB0CA5">
              <w:t xml:space="preserve"> do celów statystyki gospodarczej wymagające koordynacji informacji transgranicznych.</w:t>
            </w:r>
          </w:p>
        </w:tc>
      </w:tr>
    </w:tbl>
    <w:p w14:paraId="4BA716ED" w14:textId="77777777" w:rsidR="008E0B4F" w:rsidRPr="00EB0CA5" w:rsidRDefault="008E0B4F" w:rsidP="008E0B4F">
      <w:pPr>
        <w:rPr>
          <w:szCs w:val="24"/>
        </w:rPr>
      </w:pPr>
      <w:r w:rsidRPr="00EB0CA5">
        <w:rPr>
          <w:rStyle w:val="HideTWBExt"/>
          <w:noProof w:val="0"/>
          <w:color w:val="auto"/>
        </w:rPr>
        <w:t>&lt;/Amend&gt;</w:t>
      </w:r>
    </w:p>
    <w:p w14:paraId="386D2335" w14:textId="464EB600" w:rsidR="003605DA" w:rsidRPr="00EB0CA5" w:rsidRDefault="003605DA" w:rsidP="003605DA">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30</w:t>
      </w:r>
      <w:r w:rsidRPr="00EB0CA5">
        <w:rPr>
          <w:rStyle w:val="HideTWBExt"/>
          <w:b w:val="0"/>
          <w:noProof w:val="0"/>
          <w:color w:val="auto"/>
        </w:rPr>
        <w:t>&lt;/NumAm&gt;</w:t>
      </w:r>
    </w:p>
    <w:p w14:paraId="4DEC88FC" w14:textId="77777777" w:rsidR="003605DA" w:rsidRPr="00EB0CA5" w:rsidRDefault="003605DA" w:rsidP="003605DA">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650187F" w14:textId="77777777" w:rsidR="003605DA" w:rsidRPr="00EB0CA5" w:rsidRDefault="003605DA" w:rsidP="003605DA">
      <w:pPr>
        <w:pStyle w:val="NormalBold"/>
      </w:pPr>
      <w:r w:rsidRPr="00EB0CA5">
        <w:rPr>
          <w:rStyle w:val="HideTWBExt"/>
          <w:b w:val="0"/>
          <w:noProof w:val="0"/>
          <w:color w:val="auto"/>
        </w:rPr>
        <w:t>&lt;Article&gt;</w:t>
      </w:r>
      <w:r w:rsidRPr="00EB0CA5">
        <w:t>Artykuł 9 – ustęp 2</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AA358BA" w14:textId="77777777" w:rsidTr="008A3424">
        <w:trPr>
          <w:jc w:val="center"/>
        </w:trPr>
        <w:tc>
          <w:tcPr>
            <w:tcW w:w="9752" w:type="dxa"/>
            <w:gridSpan w:val="2"/>
          </w:tcPr>
          <w:p w14:paraId="49C877A9" w14:textId="77777777" w:rsidR="003605DA" w:rsidRPr="00EB0CA5" w:rsidRDefault="003605DA" w:rsidP="008A3424">
            <w:pPr>
              <w:keepNext/>
            </w:pPr>
          </w:p>
        </w:tc>
      </w:tr>
      <w:tr w:rsidR="00EB0CA5" w:rsidRPr="00EB0CA5" w14:paraId="638C4ACC" w14:textId="77777777" w:rsidTr="008A3424">
        <w:trPr>
          <w:jc w:val="center"/>
        </w:trPr>
        <w:tc>
          <w:tcPr>
            <w:tcW w:w="4876" w:type="dxa"/>
            <w:hideMark/>
          </w:tcPr>
          <w:p w14:paraId="578F923D" w14:textId="77777777" w:rsidR="003605DA" w:rsidRPr="00EB0CA5" w:rsidRDefault="003605DA" w:rsidP="008A3424">
            <w:pPr>
              <w:pStyle w:val="ColumnHeading"/>
              <w:keepNext/>
            </w:pPr>
            <w:r w:rsidRPr="00EB0CA5">
              <w:t>Tekst proponowany przez Komisję</w:t>
            </w:r>
          </w:p>
        </w:tc>
        <w:tc>
          <w:tcPr>
            <w:tcW w:w="4876" w:type="dxa"/>
            <w:hideMark/>
          </w:tcPr>
          <w:p w14:paraId="39EA109E" w14:textId="77777777" w:rsidR="003605DA" w:rsidRPr="00EB0CA5" w:rsidRDefault="003605DA" w:rsidP="008A3424">
            <w:pPr>
              <w:pStyle w:val="ColumnHeading"/>
              <w:keepNext/>
            </w:pPr>
            <w:r w:rsidRPr="00EB0CA5">
              <w:t>Poprawka</w:t>
            </w:r>
          </w:p>
        </w:tc>
      </w:tr>
      <w:tr w:rsidR="00EB0CA5" w:rsidRPr="00EB0CA5" w14:paraId="0BDD9623" w14:textId="77777777" w:rsidTr="008A3424">
        <w:trPr>
          <w:jc w:val="center"/>
        </w:trPr>
        <w:tc>
          <w:tcPr>
            <w:tcW w:w="4876" w:type="dxa"/>
            <w:hideMark/>
          </w:tcPr>
          <w:p w14:paraId="181E664E" w14:textId="77777777" w:rsidR="003605DA" w:rsidRPr="00EB0CA5" w:rsidRDefault="003605DA" w:rsidP="008A3424">
            <w:pPr>
              <w:pStyle w:val="Normal6"/>
            </w:pPr>
            <w:r w:rsidRPr="00EB0CA5">
              <w:t>2.</w:t>
            </w:r>
            <w:r w:rsidRPr="00EB0CA5">
              <w:tab/>
              <w:t>Komisja jest uprawniona do przyjmowania aktów delegowanych zgodnie z art. 21 w celu zmiany tematów szczegółowych dotyczących rejestrów zawartych w załączniku III, tak aby odzwierciedlały one istotne zmiany techniczne i gospodarcze oraz nowe potrzeby użytkowników.</w:t>
            </w:r>
          </w:p>
        </w:tc>
        <w:tc>
          <w:tcPr>
            <w:tcW w:w="4876" w:type="dxa"/>
            <w:hideMark/>
          </w:tcPr>
          <w:p w14:paraId="61476AEB" w14:textId="77777777" w:rsidR="003605DA" w:rsidRPr="00EB0CA5" w:rsidRDefault="003605DA" w:rsidP="008A3424">
            <w:pPr>
              <w:pStyle w:val="Normal6"/>
              <w:rPr>
                <w:szCs w:val="24"/>
              </w:rPr>
            </w:pPr>
            <w:r w:rsidRPr="00EB0CA5">
              <w:t>2.</w:t>
            </w:r>
            <w:r w:rsidRPr="00EB0CA5">
              <w:tab/>
              <w:t>Komisja jest uprawniona do przyjmowania aktów delegowanych zgodnie z art. 21 w celu zmiany tematów szczegółowych dotyczących rejestrów zawartych w załączniku III, tak aby odzwierciedlały one istotne zmiany techniczne i gospodarcze oraz nowe potrzeby użytkowników</w:t>
            </w:r>
            <w:r w:rsidRPr="00EB0CA5">
              <w:rPr>
                <w:b/>
                <w:i/>
              </w:rPr>
              <w:t>, a także w celu dodania szczegółów opisowych dla każdego z tematów szczegółowych dotyczących rejestrów</w:t>
            </w:r>
            <w:r w:rsidRPr="00EB0CA5">
              <w:t>.</w:t>
            </w:r>
          </w:p>
        </w:tc>
      </w:tr>
    </w:tbl>
    <w:p w14:paraId="4ED56B3F" w14:textId="77777777" w:rsidR="003605DA" w:rsidRPr="00EB0CA5" w:rsidRDefault="003605DA" w:rsidP="003605DA">
      <w:pPr>
        <w:rPr>
          <w:szCs w:val="24"/>
        </w:rPr>
      </w:pPr>
      <w:r w:rsidRPr="00EB0CA5">
        <w:rPr>
          <w:rStyle w:val="HideTWBExt"/>
          <w:noProof w:val="0"/>
          <w:color w:val="auto"/>
        </w:rPr>
        <w:t>&lt;/Amend&gt;</w:t>
      </w:r>
    </w:p>
    <w:p w14:paraId="6F7C65CF" w14:textId="54A8E5B5"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31</w:t>
      </w:r>
      <w:r w:rsidRPr="00EB0CA5">
        <w:rPr>
          <w:rStyle w:val="HideTWBExt"/>
          <w:b w:val="0"/>
          <w:noProof w:val="0"/>
          <w:color w:val="auto"/>
        </w:rPr>
        <w:t>&lt;/NumAm&gt;</w:t>
      </w:r>
    </w:p>
    <w:p w14:paraId="125AA625"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AA49B4E" w14:textId="77777777" w:rsidR="008E0B4F" w:rsidRPr="00EB0CA5" w:rsidRDefault="008E0B4F" w:rsidP="008E0B4F">
      <w:pPr>
        <w:pStyle w:val="NormalBold"/>
      </w:pPr>
      <w:r w:rsidRPr="00EB0CA5">
        <w:rPr>
          <w:rStyle w:val="HideTWBExt"/>
          <w:b w:val="0"/>
          <w:noProof w:val="0"/>
          <w:color w:val="auto"/>
        </w:rPr>
        <w:t>&lt;Article&gt;</w:t>
      </w:r>
      <w:r w:rsidRPr="00EB0CA5">
        <w:t>Artykuł 9 – ustęp 4</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4C351B64" w14:textId="77777777" w:rsidTr="008E0B4F">
        <w:trPr>
          <w:jc w:val="center"/>
        </w:trPr>
        <w:tc>
          <w:tcPr>
            <w:tcW w:w="9752" w:type="dxa"/>
            <w:gridSpan w:val="2"/>
          </w:tcPr>
          <w:p w14:paraId="57E6CC36" w14:textId="77777777" w:rsidR="008E0B4F" w:rsidRPr="00EB0CA5" w:rsidRDefault="008E0B4F">
            <w:pPr>
              <w:keepNext/>
            </w:pPr>
          </w:p>
        </w:tc>
      </w:tr>
      <w:tr w:rsidR="00EB0CA5" w:rsidRPr="00EB0CA5" w14:paraId="3E9B2C9A" w14:textId="77777777" w:rsidTr="008E0B4F">
        <w:trPr>
          <w:jc w:val="center"/>
        </w:trPr>
        <w:tc>
          <w:tcPr>
            <w:tcW w:w="4876" w:type="dxa"/>
            <w:hideMark/>
          </w:tcPr>
          <w:p w14:paraId="2C68BB1F" w14:textId="77777777" w:rsidR="008E0B4F" w:rsidRPr="00EB0CA5" w:rsidRDefault="008E0B4F">
            <w:pPr>
              <w:pStyle w:val="ColumnHeading"/>
              <w:keepNext/>
            </w:pPr>
            <w:r w:rsidRPr="00EB0CA5">
              <w:t>Tekst proponowany przez Komisję</w:t>
            </w:r>
          </w:p>
        </w:tc>
        <w:tc>
          <w:tcPr>
            <w:tcW w:w="4876" w:type="dxa"/>
            <w:hideMark/>
          </w:tcPr>
          <w:p w14:paraId="48DF6E66" w14:textId="77777777" w:rsidR="008E0B4F" w:rsidRPr="00EB0CA5" w:rsidRDefault="008E0B4F">
            <w:pPr>
              <w:pStyle w:val="ColumnHeading"/>
              <w:keepNext/>
            </w:pPr>
            <w:r w:rsidRPr="00EB0CA5">
              <w:t>Poprawka</w:t>
            </w:r>
          </w:p>
        </w:tc>
      </w:tr>
      <w:tr w:rsidR="00EB0CA5" w:rsidRPr="00EB0CA5" w14:paraId="5ECD0566" w14:textId="77777777" w:rsidTr="008E0B4F">
        <w:trPr>
          <w:jc w:val="center"/>
        </w:trPr>
        <w:tc>
          <w:tcPr>
            <w:tcW w:w="4876" w:type="dxa"/>
            <w:hideMark/>
          </w:tcPr>
          <w:p w14:paraId="620AD8D9" w14:textId="77777777" w:rsidR="008E0B4F" w:rsidRPr="00EB0CA5" w:rsidRDefault="008E0B4F">
            <w:pPr>
              <w:pStyle w:val="Normal6"/>
            </w:pPr>
            <w:r w:rsidRPr="00EB0CA5">
              <w:rPr>
                <w:b/>
                <w:i/>
              </w:rPr>
              <w:t>4.</w:t>
            </w:r>
            <w:r w:rsidRPr="00EB0CA5">
              <w:rPr>
                <w:b/>
                <w:i/>
              </w:rPr>
              <w:tab/>
              <w:t xml:space="preserve">Komisja jest uprawniona do przyjmowania aktów wykonawczych zgodnie z procedurą sprawdzającą, o której mowa w art. 22 ust. 2, w celu </w:t>
            </w:r>
            <w:r w:rsidRPr="00EB0CA5">
              <w:rPr>
                <w:b/>
                <w:i/>
              </w:rPr>
              <w:lastRenderedPageBreak/>
              <w:t>doprecyzowania szczegółów opisowych dla każdego z tematów szczegółowych dotyczących rejestrów.</w:t>
            </w:r>
          </w:p>
        </w:tc>
        <w:tc>
          <w:tcPr>
            <w:tcW w:w="4876" w:type="dxa"/>
            <w:hideMark/>
          </w:tcPr>
          <w:p w14:paraId="552DF2EB" w14:textId="77777777" w:rsidR="008E0B4F" w:rsidRPr="00EB0CA5" w:rsidRDefault="008E0B4F">
            <w:pPr>
              <w:pStyle w:val="Normal6"/>
              <w:rPr>
                <w:szCs w:val="24"/>
              </w:rPr>
            </w:pPr>
            <w:r w:rsidRPr="00EB0CA5">
              <w:rPr>
                <w:b/>
                <w:i/>
              </w:rPr>
              <w:lastRenderedPageBreak/>
              <w:t>skreśla się</w:t>
            </w:r>
          </w:p>
        </w:tc>
      </w:tr>
    </w:tbl>
    <w:p w14:paraId="2AEEE967" w14:textId="77777777" w:rsidR="008E0B4F" w:rsidRPr="00EB0CA5" w:rsidRDefault="008E0B4F" w:rsidP="008E0B4F">
      <w:pPr>
        <w:rPr>
          <w:szCs w:val="24"/>
        </w:rPr>
      </w:pPr>
      <w:r w:rsidRPr="00EB0CA5">
        <w:rPr>
          <w:rStyle w:val="HideTWBExt"/>
          <w:noProof w:val="0"/>
          <w:color w:val="auto"/>
        </w:rPr>
        <w:t>&lt;/Amend&gt;</w:t>
      </w:r>
    </w:p>
    <w:p w14:paraId="5C3F16B0" w14:textId="14B25CE1"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32</w:t>
      </w:r>
      <w:r w:rsidRPr="00EB0CA5">
        <w:rPr>
          <w:rStyle w:val="HideTWBExt"/>
          <w:b w:val="0"/>
          <w:noProof w:val="0"/>
          <w:color w:val="auto"/>
        </w:rPr>
        <w:t>&lt;/NumAm&gt;</w:t>
      </w:r>
    </w:p>
    <w:p w14:paraId="7B563573"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54D82FA" w14:textId="77777777" w:rsidR="008E0B4F" w:rsidRPr="00EB0CA5" w:rsidRDefault="008E0B4F" w:rsidP="008E0B4F">
      <w:pPr>
        <w:pStyle w:val="NormalBold"/>
      </w:pPr>
      <w:r w:rsidRPr="00EB0CA5">
        <w:rPr>
          <w:rStyle w:val="HideTWBExt"/>
          <w:b w:val="0"/>
          <w:noProof w:val="0"/>
          <w:color w:val="auto"/>
        </w:rPr>
        <w:t>&lt;Article&gt;</w:t>
      </w:r>
      <w:r w:rsidRPr="00EB0CA5">
        <w:t>Artykuł 10 – ustęp 6 – akapit 2</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0139F413" w14:textId="77777777" w:rsidTr="008E0B4F">
        <w:trPr>
          <w:jc w:val="center"/>
        </w:trPr>
        <w:tc>
          <w:tcPr>
            <w:tcW w:w="9752" w:type="dxa"/>
            <w:gridSpan w:val="2"/>
          </w:tcPr>
          <w:p w14:paraId="79A67095" w14:textId="77777777" w:rsidR="008E0B4F" w:rsidRPr="00EB0CA5" w:rsidRDefault="008E0B4F">
            <w:pPr>
              <w:keepNext/>
            </w:pPr>
          </w:p>
        </w:tc>
      </w:tr>
      <w:tr w:rsidR="00EB0CA5" w:rsidRPr="00EB0CA5" w14:paraId="4E9D9C8B" w14:textId="77777777" w:rsidTr="008E0B4F">
        <w:trPr>
          <w:jc w:val="center"/>
        </w:trPr>
        <w:tc>
          <w:tcPr>
            <w:tcW w:w="4876" w:type="dxa"/>
            <w:hideMark/>
          </w:tcPr>
          <w:p w14:paraId="27553EC4" w14:textId="77777777" w:rsidR="008E0B4F" w:rsidRPr="00EB0CA5" w:rsidRDefault="008E0B4F">
            <w:pPr>
              <w:pStyle w:val="ColumnHeading"/>
              <w:keepNext/>
            </w:pPr>
            <w:r w:rsidRPr="00EB0CA5">
              <w:t>Tekst proponowany przez Komisję</w:t>
            </w:r>
          </w:p>
        </w:tc>
        <w:tc>
          <w:tcPr>
            <w:tcW w:w="4876" w:type="dxa"/>
            <w:hideMark/>
          </w:tcPr>
          <w:p w14:paraId="0C55B216" w14:textId="77777777" w:rsidR="008E0B4F" w:rsidRPr="00EB0CA5" w:rsidRDefault="008E0B4F">
            <w:pPr>
              <w:pStyle w:val="ColumnHeading"/>
              <w:keepNext/>
            </w:pPr>
            <w:r w:rsidRPr="00EB0CA5">
              <w:t>Poprawka</w:t>
            </w:r>
          </w:p>
        </w:tc>
      </w:tr>
      <w:tr w:rsidR="00EB0CA5" w:rsidRPr="00EB0CA5" w14:paraId="60A1D008" w14:textId="77777777" w:rsidTr="008E0B4F">
        <w:trPr>
          <w:jc w:val="center"/>
        </w:trPr>
        <w:tc>
          <w:tcPr>
            <w:tcW w:w="4876" w:type="dxa"/>
            <w:hideMark/>
          </w:tcPr>
          <w:p w14:paraId="0F8B5894" w14:textId="77777777" w:rsidR="008E0B4F" w:rsidRPr="00EB0CA5" w:rsidRDefault="008E0B4F">
            <w:pPr>
              <w:pStyle w:val="Normal6"/>
            </w:pPr>
            <w:r w:rsidRPr="00EB0CA5">
              <w:t>Przekazywanie poufnych danych między krajowymi urzędami statystycznymi a Komisją (Eurostatem) odbywa się w takim zakresie, w jakim takie przekazywanie jest niezbędne do tworzenia statystyki europejskiej. Każde dalsze przekazanie poza takim, które jest przewidziane w zdaniu poprzedzającym, wymaga wyraźnego zezwolenia organu krajowego, który zebrał dane.</w:t>
            </w:r>
          </w:p>
        </w:tc>
        <w:tc>
          <w:tcPr>
            <w:tcW w:w="4876" w:type="dxa"/>
            <w:hideMark/>
          </w:tcPr>
          <w:p w14:paraId="6FD1D9EA" w14:textId="77777777" w:rsidR="008E0B4F" w:rsidRPr="00EB0CA5" w:rsidRDefault="008E0B4F">
            <w:pPr>
              <w:pStyle w:val="Normal6"/>
              <w:rPr>
                <w:szCs w:val="24"/>
              </w:rPr>
            </w:pPr>
            <w:r w:rsidRPr="00EB0CA5">
              <w:t>Przekazywanie poufnych danych między krajowymi urzędami statystycznymi a Komisją (Eurostatem) odbywa się w takim zakresie, w jakim takie przekazywanie jest niezbędne do tworzenia statystyki europejskiej</w:t>
            </w:r>
            <w:r w:rsidRPr="00EB0CA5">
              <w:rPr>
                <w:b/>
                <w:i/>
              </w:rPr>
              <w:t xml:space="preserve"> wyłącznie do celów statystycznych</w:t>
            </w:r>
            <w:r w:rsidRPr="00EB0CA5">
              <w:t>. Każde dalsze przekazanie poza takim, które jest przewidziane w zdaniu poprzedzającym, wymaga wyraźnego zezwolenia organu krajowego, który zebrał dane.</w:t>
            </w:r>
          </w:p>
        </w:tc>
      </w:tr>
    </w:tbl>
    <w:p w14:paraId="0ACA9B83" w14:textId="77777777" w:rsidR="008E0B4F" w:rsidRPr="00EB0CA5" w:rsidRDefault="008E0B4F" w:rsidP="008E0B4F">
      <w:pPr>
        <w:rPr>
          <w:szCs w:val="24"/>
        </w:rPr>
      </w:pPr>
      <w:r w:rsidRPr="00EB0CA5">
        <w:rPr>
          <w:rStyle w:val="HideTWBExt"/>
          <w:noProof w:val="0"/>
          <w:color w:val="auto"/>
        </w:rPr>
        <w:t>&lt;/Amend&gt;</w:t>
      </w:r>
    </w:p>
    <w:p w14:paraId="19BC9887" w14:textId="19A1E77A"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33</w:t>
      </w:r>
      <w:r w:rsidRPr="00EB0CA5">
        <w:rPr>
          <w:rStyle w:val="HideTWBExt"/>
          <w:b w:val="0"/>
          <w:noProof w:val="0"/>
          <w:color w:val="auto"/>
        </w:rPr>
        <w:t>&lt;/NumAm&gt;</w:t>
      </w:r>
    </w:p>
    <w:p w14:paraId="733445C3"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765380F" w14:textId="77777777" w:rsidR="008E0B4F" w:rsidRPr="00EB0CA5" w:rsidRDefault="008E0B4F" w:rsidP="008E0B4F">
      <w:pPr>
        <w:pStyle w:val="NormalBold"/>
      </w:pPr>
      <w:r w:rsidRPr="00EB0CA5">
        <w:rPr>
          <w:rStyle w:val="HideTWBExt"/>
          <w:b w:val="0"/>
          <w:noProof w:val="0"/>
          <w:color w:val="auto"/>
        </w:rPr>
        <w:t>&lt;Article&gt;</w:t>
      </w:r>
      <w:r w:rsidRPr="00EB0CA5">
        <w:t>Artykuł 13 – ustęp 1 – akapit 3</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F3A68A0" w14:textId="77777777" w:rsidTr="008E0B4F">
        <w:trPr>
          <w:jc w:val="center"/>
        </w:trPr>
        <w:tc>
          <w:tcPr>
            <w:tcW w:w="9752" w:type="dxa"/>
            <w:gridSpan w:val="2"/>
          </w:tcPr>
          <w:p w14:paraId="412478C8" w14:textId="77777777" w:rsidR="008E0B4F" w:rsidRPr="00EB0CA5" w:rsidRDefault="008E0B4F">
            <w:pPr>
              <w:keepNext/>
            </w:pPr>
          </w:p>
        </w:tc>
      </w:tr>
      <w:tr w:rsidR="00EB0CA5" w:rsidRPr="00EB0CA5" w14:paraId="4DBDB303" w14:textId="77777777" w:rsidTr="008E0B4F">
        <w:trPr>
          <w:jc w:val="center"/>
        </w:trPr>
        <w:tc>
          <w:tcPr>
            <w:tcW w:w="4876" w:type="dxa"/>
            <w:hideMark/>
          </w:tcPr>
          <w:p w14:paraId="6ECC7F0A" w14:textId="77777777" w:rsidR="008E0B4F" w:rsidRPr="00EB0CA5" w:rsidRDefault="008E0B4F">
            <w:pPr>
              <w:pStyle w:val="ColumnHeading"/>
              <w:keepNext/>
            </w:pPr>
            <w:r w:rsidRPr="00EB0CA5">
              <w:t>Tekst proponowany przez Komisję</w:t>
            </w:r>
          </w:p>
        </w:tc>
        <w:tc>
          <w:tcPr>
            <w:tcW w:w="4876" w:type="dxa"/>
            <w:hideMark/>
          </w:tcPr>
          <w:p w14:paraId="36329653" w14:textId="77777777" w:rsidR="008E0B4F" w:rsidRPr="00EB0CA5" w:rsidRDefault="008E0B4F">
            <w:pPr>
              <w:pStyle w:val="ColumnHeading"/>
              <w:keepNext/>
            </w:pPr>
            <w:r w:rsidRPr="00EB0CA5">
              <w:t>Poprawka</w:t>
            </w:r>
          </w:p>
        </w:tc>
      </w:tr>
      <w:tr w:rsidR="00EB0CA5" w:rsidRPr="00EB0CA5" w14:paraId="4202DACA" w14:textId="77777777" w:rsidTr="008E0B4F">
        <w:trPr>
          <w:jc w:val="center"/>
        </w:trPr>
        <w:tc>
          <w:tcPr>
            <w:tcW w:w="4876" w:type="dxa"/>
            <w:hideMark/>
          </w:tcPr>
          <w:p w14:paraId="01895129" w14:textId="77777777" w:rsidR="008E0B4F" w:rsidRPr="00EB0CA5" w:rsidRDefault="008E0B4F">
            <w:pPr>
              <w:pStyle w:val="Normal6"/>
            </w:pPr>
            <w:r w:rsidRPr="00EB0CA5">
              <w:t xml:space="preserve">Komisja jest uprawniona do przyjmowania aktów </w:t>
            </w:r>
            <w:r w:rsidRPr="00EB0CA5">
              <w:rPr>
                <w:b/>
                <w:i/>
              </w:rPr>
              <w:t>wykonawczych</w:t>
            </w:r>
            <w:r w:rsidRPr="00EB0CA5">
              <w:t xml:space="preserve"> zgodnie z </w:t>
            </w:r>
            <w:r w:rsidRPr="00EB0CA5">
              <w:rPr>
                <w:b/>
                <w:i/>
              </w:rPr>
              <w:t xml:space="preserve">procedurą sprawdzającą, o której mowa w </w:t>
            </w:r>
            <w:r w:rsidRPr="00EB0CA5">
              <w:t>art. </w:t>
            </w:r>
            <w:r w:rsidRPr="00EB0CA5">
              <w:rPr>
                <w:b/>
                <w:i/>
              </w:rPr>
              <w:t>22 ust. 2,</w:t>
            </w:r>
            <w:r w:rsidRPr="00EB0CA5">
              <w:t xml:space="preserve"> w celu </w:t>
            </w:r>
            <w:r w:rsidRPr="00EB0CA5">
              <w:rPr>
                <w:b/>
                <w:i/>
              </w:rPr>
              <w:t>określenia</w:t>
            </w:r>
            <w:r w:rsidRPr="00EB0CA5">
              <w:t xml:space="preserve"> elementów danych statystycznych, o których mowa w lit. a)–i), oraz w celu </w:t>
            </w:r>
            <w:r w:rsidRPr="00EB0CA5">
              <w:rPr>
                <w:b/>
                <w:i/>
              </w:rPr>
              <w:t>określenia</w:t>
            </w:r>
            <w:r w:rsidRPr="00EB0CA5">
              <w:t xml:space="preserve"> wykazu elementów danych statystycznych stosowanych w odniesieniu do szczególnych towarów lub przepływów oraz danych zestawionych przy użyciu danych ze zgłoszeń celnych, o których mowa w art. 12 ust. 1 lit. b) i c).</w:t>
            </w:r>
          </w:p>
        </w:tc>
        <w:tc>
          <w:tcPr>
            <w:tcW w:w="4876" w:type="dxa"/>
            <w:hideMark/>
          </w:tcPr>
          <w:p w14:paraId="0BFB47EC" w14:textId="7339EE96" w:rsidR="008E0B4F" w:rsidRPr="00EB0CA5" w:rsidRDefault="008E0B4F" w:rsidP="00FA01C0">
            <w:pPr>
              <w:pStyle w:val="Normal6"/>
              <w:rPr>
                <w:szCs w:val="24"/>
              </w:rPr>
            </w:pPr>
            <w:r w:rsidRPr="00EB0CA5">
              <w:t xml:space="preserve">Komisja jest uprawniona do przyjmowania aktów </w:t>
            </w:r>
            <w:r w:rsidRPr="00EB0CA5">
              <w:rPr>
                <w:b/>
                <w:i/>
              </w:rPr>
              <w:t>delegowanych</w:t>
            </w:r>
            <w:r w:rsidRPr="00EB0CA5">
              <w:t xml:space="preserve"> zgodnie z art. </w:t>
            </w:r>
            <w:r w:rsidRPr="00EB0CA5">
              <w:rPr>
                <w:b/>
                <w:i/>
              </w:rPr>
              <w:t>21</w:t>
            </w:r>
            <w:r w:rsidRPr="00EB0CA5">
              <w:t xml:space="preserve"> w celu </w:t>
            </w:r>
            <w:r w:rsidRPr="00EB0CA5">
              <w:rPr>
                <w:b/>
                <w:i/>
              </w:rPr>
              <w:t>uzupełnienia</w:t>
            </w:r>
            <w:r w:rsidRPr="00EB0CA5">
              <w:t xml:space="preserve"> elementów danych statystycznych, o których mowa w lit. a)–i), oraz w celu </w:t>
            </w:r>
            <w:r w:rsidRPr="00EB0CA5">
              <w:rPr>
                <w:b/>
                <w:i/>
              </w:rPr>
              <w:t>uzupełnienia</w:t>
            </w:r>
            <w:r w:rsidRPr="00EB0CA5">
              <w:t xml:space="preserve"> wykazu elementów danych statystycznych stosowanych w odniesieniu do szczególnych towarów lub przepływów oraz danych zestawionych przy użyciu danych ze zgłoszeń celnych, o których mowa w art. 12 ust. 1 lit. b) i c).</w:t>
            </w:r>
          </w:p>
        </w:tc>
      </w:tr>
    </w:tbl>
    <w:p w14:paraId="34C6EBC6" w14:textId="77777777" w:rsidR="008A3424" w:rsidRPr="00EB0CA5" w:rsidRDefault="008E0B4F" w:rsidP="008A3424">
      <w:pPr>
        <w:rPr>
          <w:szCs w:val="24"/>
        </w:rPr>
      </w:pPr>
      <w:r w:rsidRPr="00EB0CA5">
        <w:rPr>
          <w:rStyle w:val="HideTWBExt"/>
          <w:noProof w:val="0"/>
          <w:color w:val="auto"/>
        </w:rPr>
        <w:t>&lt;/Amend&gt;</w:t>
      </w:r>
    </w:p>
    <w:p w14:paraId="6F00F2BE" w14:textId="44878A74" w:rsidR="00521383" w:rsidRPr="00EB0CA5" w:rsidRDefault="00521383" w:rsidP="00521383">
      <w:pPr>
        <w:pStyle w:val="AMNumberTabs"/>
        <w:keepNext/>
      </w:pPr>
      <w:r w:rsidRPr="00EB0CA5">
        <w:rPr>
          <w:rStyle w:val="HideTWBExt"/>
          <w:b w:val="0"/>
          <w:noProof w:val="0"/>
          <w:color w:val="auto"/>
        </w:rPr>
        <w:lastRenderedPageBreak/>
        <w:t>&lt;Amend&gt;</w:t>
      </w:r>
      <w:r w:rsidRPr="00EB0CA5">
        <w:t>Poprawka</w:t>
      </w:r>
      <w:r w:rsidRPr="00EB0CA5">
        <w:tab/>
      </w:r>
      <w:r w:rsidRPr="00EB0CA5">
        <w:tab/>
      </w:r>
      <w:r w:rsidRPr="00EB0CA5">
        <w:rPr>
          <w:rStyle w:val="HideTWBExt"/>
          <w:b w:val="0"/>
          <w:noProof w:val="0"/>
          <w:color w:val="auto"/>
        </w:rPr>
        <w:t>&lt;NumAm&gt;</w:t>
      </w:r>
      <w:r w:rsidRPr="00EB0CA5">
        <w:t>34</w:t>
      </w:r>
      <w:r w:rsidRPr="00EB0CA5">
        <w:rPr>
          <w:rStyle w:val="HideTWBExt"/>
          <w:b w:val="0"/>
          <w:noProof w:val="0"/>
          <w:color w:val="auto"/>
        </w:rPr>
        <w:t>&lt;/NumAm&gt;</w:t>
      </w:r>
    </w:p>
    <w:p w14:paraId="126D5657" w14:textId="77777777" w:rsidR="00521383" w:rsidRPr="00EB0CA5" w:rsidRDefault="00521383" w:rsidP="00521383">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07961011" w14:textId="77777777" w:rsidR="00521383" w:rsidRPr="00EB0CA5" w:rsidRDefault="00521383" w:rsidP="00521383">
      <w:pPr>
        <w:pStyle w:val="NormalBold"/>
      </w:pPr>
      <w:r w:rsidRPr="00EB0CA5">
        <w:rPr>
          <w:rStyle w:val="HideTWBExt"/>
          <w:b w:val="0"/>
          <w:noProof w:val="0"/>
          <w:color w:val="auto"/>
        </w:rPr>
        <w:t>&lt;Article&gt;</w:t>
      </w:r>
      <w:r w:rsidRPr="00EB0CA5">
        <w:t>Artykuł 16 – ustęp 3</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5FA402BF" w14:textId="77777777" w:rsidTr="008A3424">
        <w:trPr>
          <w:jc w:val="center"/>
        </w:trPr>
        <w:tc>
          <w:tcPr>
            <w:tcW w:w="9752" w:type="dxa"/>
            <w:gridSpan w:val="2"/>
          </w:tcPr>
          <w:p w14:paraId="22F30217" w14:textId="77777777" w:rsidR="00521383" w:rsidRPr="00EB0CA5" w:rsidRDefault="00521383" w:rsidP="008A3424">
            <w:pPr>
              <w:keepNext/>
            </w:pPr>
          </w:p>
        </w:tc>
      </w:tr>
      <w:tr w:rsidR="00EB0CA5" w:rsidRPr="00EB0CA5" w14:paraId="34B80140" w14:textId="77777777" w:rsidTr="008A3424">
        <w:trPr>
          <w:jc w:val="center"/>
        </w:trPr>
        <w:tc>
          <w:tcPr>
            <w:tcW w:w="4876" w:type="dxa"/>
            <w:hideMark/>
          </w:tcPr>
          <w:p w14:paraId="320A43C9" w14:textId="77777777" w:rsidR="00521383" w:rsidRPr="00EB0CA5" w:rsidRDefault="00521383" w:rsidP="008A3424">
            <w:pPr>
              <w:pStyle w:val="ColumnHeading"/>
              <w:keepNext/>
            </w:pPr>
            <w:r w:rsidRPr="00EB0CA5">
              <w:t>Tekst proponowany przez Komisję</w:t>
            </w:r>
          </w:p>
        </w:tc>
        <w:tc>
          <w:tcPr>
            <w:tcW w:w="4876" w:type="dxa"/>
            <w:hideMark/>
          </w:tcPr>
          <w:p w14:paraId="4ED74D29" w14:textId="77777777" w:rsidR="00521383" w:rsidRPr="00EB0CA5" w:rsidRDefault="00521383" w:rsidP="008A3424">
            <w:pPr>
              <w:pStyle w:val="ColumnHeading"/>
              <w:keepNext/>
            </w:pPr>
            <w:r w:rsidRPr="00EB0CA5">
              <w:t>Poprawka</w:t>
            </w:r>
          </w:p>
        </w:tc>
      </w:tr>
      <w:tr w:rsidR="00EB0CA5" w:rsidRPr="00EB0CA5" w14:paraId="3A1FBC06" w14:textId="77777777" w:rsidTr="008A3424">
        <w:trPr>
          <w:jc w:val="center"/>
        </w:trPr>
        <w:tc>
          <w:tcPr>
            <w:tcW w:w="4876" w:type="dxa"/>
            <w:hideMark/>
          </w:tcPr>
          <w:p w14:paraId="1214C88C" w14:textId="77777777" w:rsidR="00521383" w:rsidRPr="00EB0CA5" w:rsidRDefault="00521383" w:rsidP="008A3424">
            <w:pPr>
              <w:pStyle w:val="Normal6"/>
            </w:pPr>
            <w:r w:rsidRPr="00EB0CA5">
              <w:t>3.</w:t>
            </w:r>
            <w:r w:rsidRPr="00EB0CA5">
              <w:tab/>
              <w:t>Komisja (Eurostat) ocenia jakość przekazanych danych i metadanych.</w:t>
            </w:r>
          </w:p>
        </w:tc>
        <w:tc>
          <w:tcPr>
            <w:tcW w:w="4876" w:type="dxa"/>
            <w:hideMark/>
          </w:tcPr>
          <w:p w14:paraId="425E6399" w14:textId="087E63D4" w:rsidR="00521383" w:rsidRPr="00EB0CA5" w:rsidRDefault="00521383" w:rsidP="00FC1F6B">
            <w:pPr>
              <w:pStyle w:val="Normal6"/>
              <w:rPr>
                <w:szCs w:val="24"/>
              </w:rPr>
            </w:pPr>
            <w:r w:rsidRPr="00EB0CA5">
              <w:t>3.</w:t>
            </w:r>
            <w:r w:rsidRPr="00EB0CA5">
              <w:tab/>
              <w:t xml:space="preserve">Komisja (Eurostat) ocenia </w:t>
            </w:r>
            <w:r w:rsidRPr="00EB0CA5">
              <w:rPr>
                <w:b/>
                <w:i/>
              </w:rPr>
              <w:t xml:space="preserve">w przejrzysty sposób </w:t>
            </w:r>
            <w:r w:rsidRPr="00EB0CA5">
              <w:t>jakość przekazanych danych i metadanych.</w:t>
            </w:r>
          </w:p>
        </w:tc>
      </w:tr>
    </w:tbl>
    <w:p w14:paraId="6E7D0B0B" w14:textId="77777777" w:rsidR="00521383" w:rsidRPr="00EB0CA5" w:rsidRDefault="00521383" w:rsidP="00521383">
      <w:pPr>
        <w:rPr>
          <w:szCs w:val="24"/>
        </w:rPr>
      </w:pPr>
      <w:r w:rsidRPr="00EB0CA5">
        <w:rPr>
          <w:rStyle w:val="HideTWBExt"/>
          <w:noProof w:val="0"/>
          <w:color w:val="auto"/>
        </w:rPr>
        <w:t>&lt;/Amend&gt;</w:t>
      </w:r>
    </w:p>
    <w:p w14:paraId="14FAAB86" w14:textId="73C87269" w:rsidR="00521383" w:rsidRPr="00EB0CA5" w:rsidRDefault="00521383" w:rsidP="00521383">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35</w:t>
      </w:r>
      <w:r w:rsidRPr="00EB0CA5">
        <w:rPr>
          <w:rStyle w:val="HideTWBExt"/>
          <w:b w:val="0"/>
          <w:noProof w:val="0"/>
          <w:color w:val="auto"/>
        </w:rPr>
        <w:t>&lt;/NumAm&gt;</w:t>
      </w:r>
    </w:p>
    <w:p w14:paraId="6F92F29E" w14:textId="77777777" w:rsidR="00521383" w:rsidRPr="00EB0CA5" w:rsidRDefault="00521383" w:rsidP="00521383">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372876A" w14:textId="77777777" w:rsidR="00521383" w:rsidRPr="00EB0CA5" w:rsidRDefault="00521383" w:rsidP="00521383">
      <w:pPr>
        <w:pStyle w:val="NormalBold"/>
      </w:pPr>
      <w:r w:rsidRPr="00EB0CA5">
        <w:rPr>
          <w:rStyle w:val="HideTWBExt"/>
          <w:b w:val="0"/>
          <w:noProof w:val="0"/>
          <w:color w:val="auto"/>
        </w:rPr>
        <w:t>&lt;Article&gt;</w:t>
      </w:r>
      <w:r w:rsidRPr="00EB0CA5">
        <w:t>Artykuł 16 – ustęp 6</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739CE5A" w14:textId="77777777" w:rsidTr="008A3424">
        <w:trPr>
          <w:jc w:val="center"/>
        </w:trPr>
        <w:tc>
          <w:tcPr>
            <w:tcW w:w="9752" w:type="dxa"/>
            <w:gridSpan w:val="2"/>
          </w:tcPr>
          <w:p w14:paraId="0BC1DCA1" w14:textId="77777777" w:rsidR="00521383" w:rsidRPr="00EB0CA5" w:rsidRDefault="00521383" w:rsidP="008A3424">
            <w:pPr>
              <w:keepNext/>
            </w:pPr>
          </w:p>
        </w:tc>
      </w:tr>
      <w:tr w:rsidR="00EB0CA5" w:rsidRPr="00EB0CA5" w14:paraId="7E181A6D" w14:textId="77777777" w:rsidTr="008A3424">
        <w:trPr>
          <w:jc w:val="center"/>
        </w:trPr>
        <w:tc>
          <w:tcPr>
            <w:tcW w:w="4876" w:type="dxa"/>
            <w:hideMark/>
          </w:tcPr>
          <w:p w14:paraId="6FAE1F92" w14:textId="77777777" w:rsidR="00521383" w:rsidRPr="00EB0CA5" w:rsidRDefault="00521383" w:rsidP="008A3424">
            <w:pPr>
              <w:pStyle w:val="ColumnHeading"/>
              <w:keepNext/>
            </w:pPr>
            <w:r w:rsidRPr="00EB0CA5">
              <w:t>Tekst proponowany przez Komisję</w:t>
            </w:r>
          </w:p>
        </w:tc>
        <w:tc>
          <w:tcPr>
            <w:tcW w:w="4876" w:type="dxa"/>
            <w:hideMark/>
          </w:tcPr>
          <w:p w14:paraId="05FE0BD2" w14:textId="77777777" w:rsidR="00521383" w:rsidRPr="00EB0CA5" w:rsidRDefault="00521383" w:rsidP="008A3424">
            <w:pPr>
              <w:pStyle w:val="ColumnHeading"/>
              <w:keepNext/>
            </w:pPr>
            <w:r w:rsidRPr="00EB0CA5">
              <w:t>Poprawka</w:t>
            </w:r>
          </w:p>
        </w:tc>
      </w:tr>
      <w:tr w:rsidR="00EB0CA5" w:rsidRPr="00EB0CA5" w14:paraId="4E9EE54D" w14:textId="77777777" w:rsidTr="008A3424">
        <w:trPr>
          <w:jc w:val="center"/>
        </w:trPr>
        <w:tc>
          <w:tcPr>
            <w:tcW w:w="4876" w:type="dxa"/>
            <w:hideMark/>
          </w:tcPr>
          <w:p w14:paraId="7DBACF11" w14:textId="77777777" w:rsidR="00521383" w:rsidRPr="00EB0CA5" w:rsidRDefault="00521383" w:rsidP="008A3424">
            <w:pPr>
              <w:pStyle w:val="Normal6"/>
            </w:pPr>
            <w:r w:rsidRPr="00EB0CA5">
              <w:t>6.</w:t>
            </w:r>
            <w:r w:rsidRPr="00EB0CA5">
              <w:tab/>
              <w:t>Komisja jest uprawniona do przyjmowania aktów wykonawczych określających procedury, treść i terminy przekazywania raportów dotyczących metadanych i jakości. Te akty wykonawcze przyjmuje się zgodnie z procedurą sprawdzającą, o której mowa w art. 22 ust. 2.</w:t>
            </w:r>
          </w:p>
        </w:tc>
        <w:tc>
          <w:tcPr>
            <w:tcW w:w="4876" w:type="dxa"/>
            <w:hideMark/>
          </w:tcPr>
          <w:p w14:paraId="02A6A89B" w14:textId="5F33A72B" w:rsidR="00521383" w:rsidRPr="00EB0CA5" w:rsidRDefault="00521383" w:rsidP="00FA01C0">
            <w:pPr>
              <w:pStyle w:val="Normal6"/>
              <w:rPr>
                <w:szCs w:val="24"/>
              </w:rPr>
            </w:pPr>
            <w:r w:rsidRPr="00EB0CA5">
              <w:t>6.</w:t>
            </w:r>
            <w:r w:rsidRPr="00EB0CA5">
              <w:tab/>
              <w:t>Komisja jest uprawniona do przyjmowania aktów wykonawczych określających procedury, treść i terminy przekazywania raportów dotyczących metadanych i jakości. Te akty wykonawcze przyjmuje się zgodnie z procedurą sprawdzającą, o której mowa w art. 22 ust. 2.</w:t>
            </w:r>
            <w:r w:rsidRPr="00EB0CA5">
              <w:rPr>
                <w:b/>
                <w:i/>
              </w:rPr>
              <w:t xml:space="preserve"> </w:t>
            </w:r>
          </w:p>
        </w:tc>
      </w:tr>
      <w:tr w:rsidR="00EB0CA5" w:rsidRPr="00EB0CA5" w14:paraId="04005688" w14:textId="77777777" w:rsidTr="008A3424">
        <w:trPr>
          <w:jc w:val="center"/>
        </w:trPr>
        <w:tc>
          <w:tcPr>
            <w:tcW w:w="4876" w:type="dxa"/>
          </w:tcPr>
          <w:p w14:paraId="2EAA3473" w14:textId="77777777" w:rsidR="00FA01C0" w:rsidRPr="00EB0CA5" w:rsidRDefault="00FA01C0" w:rsidP="008A3424">
            <w:pPr>
              <w:pStyle w:val="Normal6"/>
            </w:pPr>
          </w:p>
        </w:tc>
        <w:tc>
          <w:tcPr>
            <w:tcW w:w="4876" w:type="dxa"/>
          </w:tcPr>
          <w:p w14:paraId="52AAF831" w14:textId="5BA0F7A8" w:rsidR="00FA01C0" w:rsidRPr="00EB0CA5" w:rsidRDefault="00FA01C0" w:rsidP="00FC1F6B">
            <w:pPr>
              <w:pStyle w:val="Normal6"/>
            </w:pPr>
            <w:r w:rsidRPr="00EB0CA5">
              <w:rPr>
                <w:b/>
                <w:i/>
              </w:rPr>
              <w:t>Przygotowując takie akty wykonawcze, bierze się pod uwagę ewentualne dodatkowe koszty i obciążenia administracyjne dla państw członkowskich lub respondentów, jak również przewidywany wzrost jakości statystycznej i wszelkie inne bezpośrednie lub pośrednie korzyści wynikające z dodatkowo proponowanych działań.</w:t>
            </w:r>
          </w:p>
        </w:tc>
      </w:tr>
    </w:tbl>
    <w:p w14:paraId="40CF8E25" w14:textId="77777777" w:rsidR="00521383" w:rsidRPr="00EB0CA5" w:rsidRDefault="00521383" w:rsidP="00521383">
      <w:pPr>
        <w:rPr>
          <w:szCs w:val="24"/>
        </w:rPr>
      </w:pPr>
      <w:r w:rsidRPr="00EB0CA5">
        <w:rPr>
          <w:rStyle w:val="HideTWBExt"/>
          <w:noProof w:val="0"/>
          <w:color w:val="auto"/>
        </w:rPr>
        <w:t>&lt;/Amend&gt;</w:t>
      </w:r>
    </w:p>
    <w:p w14:paraId="4807D4C1" w14:textId="319BCBC6"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36</w:t>
      </w:r>
      <w:r w:rsidRPr="00EB0CA5">
        <w:rPr>
          <w:rStyle w:val="HideTWBExt"/>
          <w:b w:val="0"/>
          <w:noProof w:val="0"/>
          <w:color w:val="auto"/>
        </w:rPr>
        <w:t>&lt;/NumAm&gt;</w:t>
      </w:r>
    </w:p>
    <w:p w14:paraId="6F79D21E"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F7EB938" w14:textId="77777777" w:rsidR="008E0B4F" w:rsidRPr="00EB0CA5" w:rsidRDefault="008E0B4F" w:rsidP="008E0B4F">
      <w:pPr>
        <w:pStyle w:val="NormalBold"/>
      </w:pPr>
      <w:r w:rsidRPr="00EB0CA5">
        <w:rPr>
          <w:rStyle w:val="HideTWBExt"/>
          <w:b w:val="0"/>
          <w:noProof w:val="0"/>
          <w:color w:val="auto"/>
        </w:rPr>
        <w:t>&lt;Article&gt;</w:t>
      </w:r>
      <w:r w:rsidRPr="00EB0CA5">
        <w:t>Artykuł 16 – ustęp 8</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74F1D356" w14:textId="77777777" w:rsidTr="008E0B4F">
        <w:trPr>
          <w:jc w:val="center"/>
        </w:trPr>
        <w:tc>
          <w:tcPr>
            <w:tcW w:w="9752" w:type="dxa"/>
            <w:gridSpan w:val="2"/>
          </w:tcPr>
          <w:p w14:paraId="2B94579C" w14:textId="77777777" w:rsidR="008E0B4F" w:rsidRPr="00EB0CA5" w:rsidRDefault="008E0B4F">
            <w:pPr>
              <w:keepNext/>
            </w:pPr>
          </w:p>
        </w:tc>
      </w:tr>
      <w:tr w:rsidR="00EB0CA5" w:rsidRPr="00EB0CA5" w14:paraId="4D0B8939" w14:textId="77777777" w:rsidTr="008E0B4F">
        <w:trPr>
          <w:jc w:val="center"/>
        </w:trPr>
        <w:tc>
          <w:tcPr>
            <w:tcW w:w="4876" w:type="dxa"/>
            <w:hideMark/>
          </w:tcPr>
          <w:p w14:paraId="7C457802" w14:textId="77777777" w:rsidR="008E0B4F" w:rsidRPr="00EB0CA5" w:rsidRDefault="008E0B4F">
            <w:pPr>
              <w:pStyle w:val="ColumnHeading"/>
              <w:keepNext/>
            </w:pPr>
            <w:r w:rsidRPr="00EB0CA5">
              <w:t>Tekst proponowany przez Komisję</w:t>
            </w:r>
          </w:p>
        </w:tc>
        <w:tc>
          <w:tcPr>
            <w:tcW w:w="4876" w:type="dxa"/>
            <w:hideMark/>
          </w:tcPr>
          <w:p w14:paraId="1019E8FA" w14:textId="77777777" w:rsidR="008E0B4F" w:rsidRPr="00EB0CA5" w:rsidRDefault="008E0B4F">
            <w:pPr>
              <w:pStyle w:val="ColumnHeading"/>
              <w:keepNext/>
            </w:pPr>
            <w:r w:rsidRPr="00EB0CA5">
              <w:t>Poprawka</w:t>
            </w:r>
          </w:p>
        </w:tc>
      </w:tr>
      <w:tr w:rsidR="00EB0CA5" w:rsidRPr="00EB0CA5" w14:paraId="7E8DB521" w14:textId="77777777" w:rsidTr="008E0B4F">
        <w:trPr>
          <w:jc w:val="center"/>
        </w:trPr>
        <w:tc>
          <w:tcPr>
            <w:tcW w:w="4876" w:type="dxa"/>
            <w:hideMark/>
          </w:tcPr>
          <w:p w14:paraId="4E9C37B5" w14:textId="40E53F26" w:rsidR="008E0B4F" w:rsidRPr="00EB0CA5" w:rsidRDefault="008E0B4F">
            <w:pPr>
              <w:pStyle w:val="Normal6"/>
            </w:pPr>
            <w:r w:rsidRPr="00EB0CA5">
              <w:t>8.</w:t>
            </w:r>
            <w:r w:rsidRPr="00EB0CA5">
              <w:tab/>
              <w:t xml:space="preserve">Na wniosek Komisji (Eurostatu) państwa członkowskie dostarczają jej dodatkowe informacje </w:t>
            </w:r>
            <w:r w:rsidRPr="00EB0CA5">
              <w:rPr>
                <w:b/>
                <w:i/>
              </w:rPr>
              <w:t>niezbędne</w:t>
            </w:r>
            <w:r w:rsidRPr="00EB0CA5">
              <w:t xml:space="preserve"> do oceny </w:t>
            </w:r>
            <w:r w:rsidRPr="00EB0CA5">
              <w:lastRenderedPageBreak/>
              <w:t>jakości informacji statystycznych.</w:t>
            </w:r>
          </w:p>
        </w:tc>
        <w:tc>
          <w:tcPr>
            <w:tcW w:w="4876" w:type="dxa"/>
            <w:hideMark/>
          </w:tcPr>
          <w:p w14:paraId="5A11F916" w14:textId="2DC8D03B" w:rsidR="008E0B4F" w:rsidRPr="00EB0CA5" w:rsidRDefault="008E0B4F" w:rsidP="00D71A19">
            <w:pPr>
              <w:pStyle w:val="Normal6"/>
              <w:rPr>
                <w:szCs w:val="24"/>
              </w:rPr>
            </w:pPr>
            <w:r w:rsidRPr="00EB0CA5">
              <w:lastRenderedPageBreak/>
              <w:t>8.</w:t>
            </w:r>
            <w:r w:rsidRPr="00EB0CA5">
              <w:tab/>
              <w:t xml:space="preserve">Na wniosek Komisji (Eurostatu) państwa członkowskie dostarczają jej dodatkowe informacje </w:t>
            </w:r>
            <w:r w:rsidRPr="00EB0CA5">
              <w:rPr>
                <w:b/>
                <w:i/>
              </w:rPr>
              <w:t>oraz wszelkie aktualizacje tych informacji potrzebne</w:t>
            </w:r>
            <w:r w:rsidRPr="00EB0CA5">
              <w:t xml:space="preserve"> do </w:t>
            </w:r>
            <w:r w:rsidRPr="00EB0CA5">
              <w:lastRenderedPageBreak/>
              <w:t>oceny jakości informacji statystycznych.</w:t>
            </w:r>
          </w:p>
        </w:tc>
      </w:tr>
    </w:tbl>
    <w:p w14:paraId="1EC88ED0" w14:textId="77777777" w:rsidR="008E0B4F" w:rsidRPr="00EB0CA5" w:rsidRDefault="008E0B4F" w:rsidP="008E0B4F">
      <w:pPr>
        <w:rPr>
          <w:szCs w:val="24"/>
        </w:rPr>
      </w:pPr>
      <w:r w:rsidRPr="00EB0CA5">
        <w:rPr>
          <w:rStyle w:val="HideTWBExt"/>
          <w:noProof w:val="0"/>
          <w:color w:val="auto"/>
        </w:rPr>
        <w:lastRenderedPageBreak/>
        <w:t>&lt;/Amend&gt;</w:t>
      </w:r>
    </w:p>
    <w:p w14:paraId="0F1B80CE" w14:textId="0BE94639"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37</w:t>
      </w:r>
      <w:r w:rsidRPr="00EB0CA5">
        <w:rPr>
          <w:rStyle w:val="HideTWBExt"/>
          <w:b w:val="0"/>
          <w:noProof w:val="0"/>
          <w:color w:val="auto"/>
        </w:rPr>
        <w:t>&lt;/NumAm&gt;</w:t>
      </w:r>
    </w:p>
    <w:p w14:paraId="2D291E01"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1D70C490" w14:textId="77777777" w:rsidR="008E0B4F" w:rsidRPr="00EB0CA5" w:rsidRDefault="008E0B4F" w:rsidP="008E0B4F">
      <w:pPr>
        <w:pStyle w:val="NormalBold"/>
      </w:pPr>
      <w:r w:rsidRPr="00EB0CA5">
        <w:rPr>
          <w:rStyle w:val="HideTWBExt"/>
          <w:b w:val="0"/>
          <w:noProof w:val="0"/>
          <w:color w:val="auto"/>
        </w:rPr>
        <w:t>&lt;Article&gt;</w:t>
      </w:r>
      <w:r w:rsidRPr="00EB0CA5">
        <w:t>Artykuł 17 – ustęp 3</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8B9F6CC" w14:textId="77777777" w:rsidTr="008E0B4F">
        <w:trPr>
          <w:jc w:val="center"/>
        </w:trPr>
        <w:tc>
          <w:tcPr>
            <w:tcW w:w="9752" w:type="dxa"/>
            <w:gridSpan w:val="2"/>
          </w:tcPr>
          <w:p w14:paraId="0A3184A2" w14:textId="77777777" w:rsidR="008E0B4F" w:rsidRPr="00EB0CA5" w:rsidRDefault="008E0B4F">
            <w:pPr>
              <w:keepNext/>
            </w:pPr>
          </w:p>
        </w:tc>
      </w:tr>
      <w:tr w:rsidR="00EB0CA5" w:rsidRPr="00EB0CA5" w14:paraId="37EBEA28" w14:textId="77777777" w:rsidTr="008E0B4F">
        <w:trPr>
          <w:jc w:val="center"/>
        </w:trPr>
        <w:tc>
          <w:tcPr>
            <w:tcW w:w="4876" w:type="dxa"/>
            <w:hideMark/>
          </w:tcPr>
          <w:p w14:paraId="013DAF94" w14:textId="77777777" w:rsidR="008E0B4F" w:rsidRPr="00EB0CA5" w:rsidRDefault="008E0B4F">
            <w:pPr>
              <w:pStyle w:val="ColumnHeading"/>
              <w:keepNext/>
            </w:pPr>
            <w:r w:rsidRPr="00EB0CA5">
              <w:t>Tekst proponowany przez Komisję</w:t>
            </w:r>
          </w:p>
        </w:tc>
        <w:tc>
          <w:tcPr>
            <w:tcW w:w="4876" w:type="dxa"/>
            <w:hideMark/>
          </w:tcPr>
          <w:p w14:paraId="36856E79" w14:textId="77777777" w:rsidR="008E0B4F" w:rsidRPr="00EB0CA5" w:rsidRDefault="008E0B4F">
            <w:pPr>
              <w:pStyle w:val="ColumnHeading"/>
              <w:keepNext/>
            </w:pPr>
            <w:r w:rsidRPr="00EB0CA5">
              <w:t>Poprawka</w:t>
            </w:r>
          </w:p>
        </w:tc>
      </w:tr>
      <w:tr w:rsidR="00EB0CA5" w:rsidRPr="00EB0CA5" w14:paraId="3581A92D" w14:textId="77777777" w:rsidTr="008E0B4F">
        <w:trPr>
          <w:jc w:val="center"/>
        </w:trPr>
        <w:tc>
          <w:tcPr>
            <w:tcW w:w="4876" w:type="dxa"/>
            <w:hideMark/>
          </w:tcPr>
          <w:p w14:paraId="7082C96F" w14:textId="77777777" w:rsidR="008E0B4F" w:rsidRPr="00EB0CA5" w:rsidRDefault="008E0B4F">
            <w:pPr>
              <w:pStyle w:val="Normal6"/>
            </w:pPr>
            <w:r w:rsidRPr="00EB0CA5">
              <w:t>3.</w:t>
            </w:r>
            <w:r w:rsidRPr="00EB0CA5">
              <w:tab/>
              <w:t>Państwa członkowskie przekazują Komisji (Eurostatowi) na jej żądanie wszystkie istotne informacje dotyczące wykonania niniejszego rozporządzenia w państwach członkowskich.</w:t>
            </w:r>
          </w:p>
        </w:tc>
        <w:tc>
          <w:tcPr>
            <w:tcW w:w="4876" w:type="dxa"/>
            <w:hideMark/>
          </w:tcPr>
          <w:p w14:paraId="64769D69" w14:textId="443D4933" w:rsidR="008E0B4F" w:rsidRPr="00EB0CA5" w:rsidRDefault="008E0B4F" w:rsidP="00FA01C0">
            <w:pPr>
              <w:pStyle w:val="Normal6"/>
              <w:rPr>
                <w:szCs w:val="24"/>
              </w:rPr>
            </w:pPr>
            <w:r w:rsidRPr="00EB0CA5">
              <w:t>3.</w:t>
            </w:r>
            <w:r w:rsidRPr="00EB0CA5">
              <w:tab/>
              <w:t xml:space="preserve">Państwa członkowskie przekazują Komisji (Eurostatowi) na jej żądanie wszystkie istotne informacje </w:t>
            </w:r>
            <w:r w:rsidRPr="00EB0CA5">
              <w:rPr>
                <w:b/>
                <w:i/>
              </w:rPr>
              <w:t xml:space="preserve">– oraz aktualizacje tych informacji – </w:t>
            </w:r>
            <w:r w:rsidRPr="00EB0CA5">
              <w:t xml:space="preserve">dotyczące wykonania niniejszego rozporządzenia w państwach członkowskich. </w:t>
            </w:r>
            <w:r w:rsidRPr="00EB0CA5">
              <w:rPr>
                <w:b/>
                <w:i/>
              </w:rPr>
              <w:t>Takie wnioski Komisji nie mogą nakładać znacznych dodatkowych obciążeń administracyjnych lub finansowych na państwa członkowskie.</w:t>
            </w:r>
          </w:p>
        </w:tc>
      </w:tr>
    </w:tbl>
    <w:p w14:paraId="2A66ADDD" w14:textId="77777777" w:rsidR="008E0B4F" w:rsidRPr="00EB0CA5" w:rsidRDefault="008E0B4F" w:rsidP="008E0B4F">
      <w:pPr>
        <w:rPr>
          <w:szCs w:val="24"/>
        </w:rPr>
      </w:pPr>
      <w:r w:rsidRPr="00EB0CA5">
        <w:rPr>
          <w:rStyle w:val="HideTWBExt"/>
          <w:noProof w:val="0"/>
          <w:color w:val="auto"/>
        </w:rPr>
        <w:t>&lt;/Amend&gt;</w:t>
      </w:r>
    </w:p>
    <w:p w14:paraId="6F005C99" w14:textId="7E2E0AA2" w:rsidR="00344655" w:rsidRPr="00EB0CA5" w:rsidRDefault="00344655" w:rsidP="00344655">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38</w:t>
      </w:r>
      <w:r w:rsidRPr="00EB0CA5">
        <w:rPr>
          <w:rStyle w:val="HideTWBExt"/>
          <w:b w:val="0"/>
          <w:noProof w:val="0"/>
          <w:color w:val="auto"/>
        </w:rPr>
        <w:t>&lt;/NumAm&gt;</w:t>
      </w:r>
    </w:p>
    <w:p w14:paraId="7BED49BF" w14:textId="77777777" w:rsidR="00344655" w:rsidRPr="00EB0CA5" w:rsidRDefault="00344655" w:rsidP="00344655">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9332171" w14:textId="77777777" w:rsidR="00344655" w:rsidRPr="00EB0CA5" w:rsidRDefault="00344655" w:rsidP="00344655">
      <w:pPr>
        <w:pStyle w:val="NormalBold"/>
      </w:pPr>
      <w:r w:rsidRPr="00EB0CA5">
        <w:rPr>
          <w:rStyle w:val="HideTWBExt"/>
          <w:b w:val="0"/>
          <w:noProof w:val="0"/>
          <w:color w:val="auto"/>
        </w:rPr>
        <w:t>&lt;Article&gt;</w:t>
      </w:r>
      <w:r w:rsidRPr="00EB0CA5">
        <w:t>Artykuł 19 – ustęp 3</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491E42E5" w14:textId="77777777" w:rsidTr="008A3424">
        <w:trPr>
          <w:jc w:val="center"/>
        </w:trPr>
        <w:tc>
          <w:tcPr>
            <w:tcW w:w="9752" w:type="dxa"/>
            <w:gridSpan w:val="2"/>
          </w:tcPr>
          <w:p w14:paraId="1996CC09" w14:textId="77777777" w:rsidR="00344655" w:rsidRPr="00EB0CA5" w:rsidRDefault="00344655" w:rsidP="008A3424">
            <w:pPr>
              <w:keepNext/>
            </w:pPr>
          </w:p>
        </w:tc>
      </w:tr>
      <w:tr w:rsidR="00EB0CA5" w:rsidRPr="00EB0CA5" w14:paraId="5C0F9618" w14:textId="77777777" w:rsidTr="008A3424">
        <w:trPr>
          <w:jc w:val="center"/>
        </w:trPr>
        <w:tc>
          <w:tcPr>
            <w:tcW w:w="4876" w:type="dxa"/>
            <w:hideMark/>
          </w:tcPr>
          <w:p w14:paraId="28F92BED" w14:textId="77777777" w:rsidR="00344655" w:rsidRPr="00EB0CA5" w:rsidRDefault="00344655" w:rsidP="008A3424">
            <w:pPr>
              <w:pStyle w:val="ColumnHeading"/>
              <w:keepNext/>
            </w:pPr>
            <w:r w:rsidRPr="00EB0CA5">
              <w:t>Tekst proponowany przez Komisję</w:t>
            </w:r>
          </w:p>
        </w:tc>
        <w:tc>
          <w:tcPr>
            <w:tcW w:w="4876" w:type="dxa"/>
            <w:hideMark/>
          </w:tcPr>
          <w:p w14:paraId="7A16E9AD" w14:textId="77777777" w:rsidR="00344655" w:rsidRPr="00EB0CA5" w:rsidRDefault="00344655" w:rsidP="008A3424">
            <w:pPr>
              <w:pStyle w:val="ColumnHeading"/>
              <w:keepNext/>
            </w:pPr>
            <w:r w:rsidRPr="00EB0CA5">
              <w:t>Poprawka</w:t>
            </w:r>
          </w:p>
        </w:tc>
      </w:tr>
      <w:tr w:rsidR="00EB0CA5" w:rsidRPr="00EB0CA5" w14:paraId="69AB92B1" w14:textId="77777777" w:rsidTr="008A3424">
        <w:trPr>
          <w:jc w:val="center"/>
        </w:trPr>
        <w:tc>
          <w:tcPr>
            <w:tcW w:w="4876" w:type="dxa"/>
            <w:hideMark/>
          </w:tcPr>
          <w:p w14:paraId="5CFE077C" w14:textId="77777777" w:rsidR="00344655" w:rsidRPr="00EB0CA5" w:rsidRDefault="00344655" w:rsidP="008A3424">
            <w:pPr>
              <w:pStyle w:val="Normal6"/>
            </w:pPr>
            <w:r w:rsidRPr="00EB0CA5">
              <w:rPr>
                <w:b/>
                <w:i/>
              </w:rPr>
              <w:t>3.</w:t>
            </w:r>
            <w:r w:rsidRPr="00EB0CA5">
              <w:rPr>
                <w:b/>
                <w:i/>
              </w:rPr>
              <w:tab/>
              <w:t>Pierwsze badania pilotażowe, które mają być zainicjowane, obejmują sposoby prowadzenia międzynarodowego handlu usługami i międzynarodowy handel usługami w podziale według cech przedsiębiorstwa.</w:t>
            </w:r>
          </w:p>
        </w:tc>
        <w:tc>
          <w:tcPr>
            <w:tcW w:w="4876" w:type="dxa"/>
            <w:hideMark/>
          </w:tcPr>
          <w:p w14:paraId="1872080D" w14:textId="77777777" w:rsidR="00344655" w:rsidRPr="00EB0CA5" w:rsidRDefault="00344655" w:rsidP="008A3424">
            <w:pPr>
              <w:pStyle w:val="Normal6"/>
              <w:rPr>
                <w:szCs w:val="24"/>
              </w:rPr>
            </w:pPr>
            <w:r w:rsidRPr="00EB0CA5">
              <w:rPr>
                <w:b/>
                <w:i/>
              </w:rPr>
              <w:t>skreśla się</w:t>
            </w:r>
          </w:p>
        </w:tc>
      </w:tr>
    </w:tbl>
    <w:p w14:paraId="76278470" w14:textId="77777777" w:rsidR="00344655" w:rsidRPr="00EB0CA5" w:rsidRDefault="00344655" w:rsidP="00344655">
      <w:pPr>
        <w:rPr>
          <w:szCs w:val="24"/>
        </w:rPr>
      </w:pPr>
      <w:r w:rsidRPr="00EB0CA5">
        <w:rPr>
          <w:rStyle w:val="HideTWBExt"/>
          <w:noProof w:val="0"/>
          <w:color w:val="auto"/>
        </w:rPr>
        <w:t>&lt;/Amend&gt;</w:t>
      </w:r>
    </w:p>
    <w:p w14:paraId="12A13607" w14:textId="475AD247"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39</w:t>
      </w:r>
      <w:r w:rsidRPr="00EB0CA5">
        <w:rPr>
          <w:rStyle w:val="HideTWBExt"/>
          <w:b w:val="0"/>
          <w:noProof w:val="0"/>
          <w:color w:val="auto"/>
        </w:rPr>
        <w:t>&lt;/NumAm&gt;</w:t>
      </w:r>
    </w:p>
    <w:p w14:paraId="4DA26702"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6A56A7F8" w14:textId="77777777" w:rsidR="008E0B4F" w:rsidRPr="00EB0CA5" w:rsidRDefault="008E0B4F" w:rsidP="008E0B4F">
      <w:pPr>
        <w:pStyle w:val="NormalBold"/>
      </w:pPr>
      <w:r w:rsidRPr="00EB0CA5">
        <w:rPr>
          <w:rStyle w:val="HideTWBExt"/>
          <w:b w:val="0"/>
          <w:noProof w:val="0"/>
          <w:color w:val="auto"/>
        </w:rPr>
        <w:t>&lt;Article&gt;</w:t>
      </w:r>
      <w:r w:rsidRPr="00EB0CA5">
        <w:t>Artykuł 20 – ustęp 1 – litera b a (nowa)</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79B19207" w14:textId="77777777" w:rsidTr="008E0B4F">
        <w:trPr>
          <w:jc w:val="center"/>
        </w:trPr>
        <w:tc>
          <w:tcPr>
            <w:tcW w:w="9752" w:type="dxa"/>
            <w:gridSpan w:val="2"/>
          </w:tcPr>
          <w:p w14:paraId="1976B2AF" w14:textId="77777777" w:rsidR="008E0B4F" w:rsidRPr="00EB0CA5" w:rsidRDefault="008E0B4F">
            <w:pPr>
              <w:keepNext/>
            </w:pPr>
          </w:p>
        </w:tc>
      </w:tr>
      <w:tr w:rsidR="00EB0CA5" w:rsidRPr="00EB0CA5" w14:paraId="33683924" w14:textId="77777777" w:rsidTr="008E0B4F">
        <w:trPr>
          <w:jc w:val="center"/>
        </w:trPr>
        <w:tc>
          <w:tcPr>
            <w:tcW w:w="4876" w:type="dxa"/>
            <w:hideMark/>
          </w:tcPr>
          <w:p w14:paraId="2C3C0810" w14:textId="77777777" w:rsidR="008E0B4F" w:rsidRPr="00EB0CA5" w:rsidRDefault="008E0B4F">
            <w:pPr>
              <w:pStyle w:val="ColumnHeading"/>
              <w:keepNext/>
            </w:pPr>
            <w:r w:rsidRPr="00EB0CA5">
              <w:t>Tekst proponowany przez Komisję</w:t>
            </w:r>
          </w:p>
        </w:tc>
        <w:tc>
          <w:tcPr>
            <w:tcW w:w="4876" w:type="dxa"/>
            <w:hideMark/>
          </w:tcPr>
          <w:p w14:paraId="160E087C" w14:textId="77777777" w:rsidR="008E0B4F" w:rsidRPr="00EB0CA5" w:rsidRDefault="008E0B4F">
            <w:pPr>
              <w:pStyle w:val="ColumnHeading"/>
              <w:keepNext/>
            </w:pPr>
            <w:r w:rsidRPr="00EB0CA5">
              <w:t>Poprawka</w:t>
            </w:r>
          </w:p>
        </w:tc>
      </w:tr>
      <w:tr w:rsidR="00EB0CA5" w:rsidRPr="00EB0CA5" w14:paraId="7ED8E588" w14:textId="77777777" w:rsidTr="008E0B4F">
        <w:trPr>
          <w:jc w:val="center"/>
        </w:trPr>
        <w:tc>
          <w:tcPr>
            <w:tcW w:w="4876" w:type="dxa"/>
          </w:tcPr>
          <w:p w14:paraId="4064E77B" w14:textId="77777777" w:rsidR="008E0B4F" w:rsidRPr="00EB0CA5" w:rsidRDefault="008E0B4F">
            <w:pPr>
              <w:pStyle w:val="Normal6"/>
            </w:pPr>
          </w:p>
        </w:tc>
        <w:tc>
          <w:tcPr>
            <w:tcW w:w="4876" w:type="dxa"/>
            <w:hideMark/>
          </w:tcPr>
          <w:p w14:paraId="7A112582" w14:textId="0337E521" w:rsidR="008E0B4F" w:rsidRPr="00EB0CA5" w:rsidRDefault="008E0B4F" w:rsidP="00FA01C0">
            <w:pPr>
              <w:pStyle w:val="Normal6"/>
              <w:rPr>
                <w:szCs w:val="24"/>
              </w:rPr>
            </w:pPr>
            <w:r w:rsidRPr="00EB0CA5">
              <w:rPr>
                <w:b/>
                <w:i/>
              </w:rPr>
              <w:t>ba)</w:t>
            </w:r>
            <w:r w:rsidRPr="00EB0CA5">
              <w:rPr>
                <w:b/>
                <w:i/>
              </w:rPr>
              <w:tab/>
              <w:t xml:space="preserve">opracowywania metod mających na celu zmniejszenie obciążeń administracyjnych i finansowych związanych z dostarczaniem wymaganych informacji przez jednostki sprawozdawcze, </w:t>
            </w:r>
            <w:r w:rsidRPr="00EB0CA5">
              <w:rPr>
                <w:b/>
                <w:i/>
              </w:rPr>
              <w:lastRenderedPageBreak/>
              <w:t>w szczególności MŚP.</w:t>
            </w:r>
          </w:p>
        </w:tc>
      </w:tr>
    </w:tbl>
    <w:p w14:paraId="7F7A373E" w14:textId="77777777" w:rsidR="008E0B4F" w:rsidRPr="00EB0CA5" w:rsidRDefault="008E0B4F" w:rsidP="008E0B4F">
      <w:pPr>
        <w:rPr>
          <w:szCs w:val="24"/>
        </w:rPr>
      </w:pPr>
      <w:r w:rsidRPr="00EB0CA5">
        <w:rPr>
          <w:rStyle w:val="HideTWBExt"/>
          <w:noProof w:val="0"/>
          <w:color w:val="auto"/>
        </w:rPr>
        <w:lastRenderedPageBreak/>
        <w:t>&lt;/Amend&gt;</w:t>
      </w:r>
    </w:p>
    <w:p w14:paraId="2F1A9F0A" w14:textId="125DDC29" w:rsidR="00D13D9A" w:rsidRPr="00EB0CA5" w:rsidRDefault="00D13D9A" w:rsidP="00D13D9A">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40</w:t>
      </w:r>
      <w:r w:rsidRPr="00EB0CA5">
        <w:rPr>
          <w:rStyle w:val="HideTWBExt"/>
          <w:b w:val="0"/>
          <w:noProof w:val="0"/>
          <w:color w:val="auto"/>
        </w:rPr>
        <w:t>&lt;/NumAm&gt;</w:t>
      </w:r>
    </w:p>
    <w:p w14:paraId="2B541CB3" w14:textId="77777777" w:rsidR="00D13D9A" w:rsidRPr="00EB0CA5" w:rsidRDefault="00D13D9A" w:rsidP="00D13D9A">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4DDBF3D" w14:textId="35D3DB14" w:rsidR="00D13D9A" w:rsidRPr="00EB0CA5" w:rsidRDefault="00D13D9A" w:rsidP="00D13D9A">
      <w:pPr>
        <w:pStyle w:val="NormalBold"/>
      </w:pPr>
      <w:r w:rsidRPr="00EB0CA5">
        <w:rPr>
          <w:rStyle w:val="HideTWBExt"/>
          <w:b w:val="0"/>
          <w:noProof w:val="0"/>
          <w:color w:val="auto"/>
        </w:rPr>
        <w:t>&lt;Article&gt;</w:t>
      </w:r>
      <w:r w:rsidRPr="00EB0CA5">
        <w:t>Artykuł 20 – ustęp 1 – litera b b (nowa)</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12B04293" w14:textId="77777777" w:rsidTr="00D5541D">
        <w:trPr>
          <w:jc w:val="center"/>
        </w:trPr>
        <w:tc>
          <w:tcPr>
            <w:tcW w:w="9752" w:type="dxa"/>
            <w:gridSpan w:val="2"/>
          </w:tcPr>
          <w:p w14:paraId="59FE7A8C" w14:textId="77777777" w:rsidR="00D13D9A" w:rsidRPr="00EB0CA5" w:rsidRDefault="00D13D9A" w:rsidP="00D5541D">
            <w:pPr>
              <w:keepNext/>
            </w:pPr>
          </w:p>
        </w:tc>
      </w:tr>
      <w:tr w:rsidR="00EB0CA5" w:rsidRPr="00EB0CA5" w14:paraId="66476086" w14:textId="77777777" w:rsidTr="00D5541D">
        <w:trPr>
          <w:jc w:val="center"/>
        </w:trPr>
        <w:tc>
          <w:tcPr>
            <w:tcW w:w="4876" w:type="dxa"/>
          </w:tcPr>
          <w:p w14:paraId="0EF6C298" w14:textId="77777777" w:rsidR="00D13D9A" w:rsidRPr="00EB0CA5" w:rsidRDefault="00D13D9A" w:rsidP="00D5541D">
            <w:pPr>
              <w:pStyle w:val="ColumnHeading"/>
              <w:keepNext/>
            </w:pPr>
            <w:r w:rsidRPr="00EB0CA5">
              <w:t>Tekst proponowany przez Komisję</w:t>
            </w:r>
          </w:p>
        </w:tc>
        <w:tc>
          <w:tcPr>
            <w:tcW w:w="4876" w:type="dxa"/>
          </w:tcPr>
          <w:p w14:paraId="2B93F5BF" w14:textId="77777777" w:rsidR="00D13D9A" w:rsidRPr="00EB0CA5" w:rsidRDefault="00D13D9A" w:rsidP="00D5541D">
            <w:pPr>
              <w:pStyle w:val="ColumnHeading"/>
              <w:keepNext/>
            </w:pPr>
            <w:r w:rsidRPr="00EB0CA5">
              <w:t>Poprawka</w:t>
            </w:r>
          </w:p>
        </w:tc>
      </w:tr>
      <w:tr w:rsidR="00EB0CA5" w:rsidRPr="00EB0CA5" w14:paraId="379E792F" w14:textId="77777777" w:rsidTr="00D5541D">
        <w:trPr>
          <w:jc w:val="center"/>
        </w:trPr>
        <w:tc>
          <w:tcPr>
            <w:tcW w:w="4876" w:type="dxa"/>
          </w:tcPr>
          <w:p w14:paraId="5B4EE119" w14:textId="77777777" w:rsidR="00D13D9A" w:rsidRPr="00EB0CA5" w:rsidRDefault="00D13D9A" w:rsidP="00D5541D">
            <w:pPr>
              <w:pStyle w:val="Normal6"/>
            </w:pPr>
          </w:p>
        </w:tc>
        <w:tc>
          <w:tcPr>
            <w:tcW w:w="4876" w:type="dxa"/>
          </w:tcPr>
          <w:p w14:paraId="7C1E75E9" w14:textId="57BEABA1" w:rsidR="00D13D9A" w:rsidRPr="00EB0CA5" w:rsidRDefault="00D13D9A" w:rsidP="00FA01C0">
            <w:pPr>
              <w:pStyle w:val="Normal6"/>
              <w:rPr>
                <w:szCs w:val="24"/>
              </w:rPr>
            </w:pPr>
            <w:r w:rsidRPr="00EB0CA5">
              <w:rPr>
                <w:b/>
                <w:i/>
              </w:rPr>
              <w:t>bb)</w:t>
            </w:r>
            <w:r w:rsidRPr="00EB0CA5">
              <w:rPr>
                <w:b/>
                <w:i/>
              </w:rPr>
              <w:tab/>
              <w:t>opracowywania lub ulepszania procesów, systemów informatycznych i podobnych funkcji pomocniczych z myślą o tworzeniu statystyk lepszej jakości lub o zmniejszeniu obciążeń administracyjnych i finansowych.</w:t>
            </w:r>
          </w:p>
        </w:tc>
      </w:tr>
    </w:tbl>
    <w:p w14:paraId="559BDE8F" w14:textId="77777777" w:rsidR="00D13D9A" w:rsidRPr="00EB0CA5" w:rsidRDefault="00D13D9A" w:rsidP="00D13D9A">
      <w:r w:rsidRPr="00EB0CA5">
        <w:rPr>
          <w:rStyle w:val="HideTWBExt"/>
          <w:noProof w:val="0"/>
          <w:color w:val="auto"/>
        </w:rPr>
        <w:t>&lt;/Amend&gt;</w:t>
      </w:r>
    </w:p>
    <w:p w14:paraId="0EA640DC" w14:textId="48CB3354"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41</w:t>
      </w:r>
      <w:r w:rsidRPr="00EB0CA5">
        <w:rPr>
          <w:rStyle w:val="HideTWBExt"/>
          <w:b w:val="0"/>
          <w:noProof w:val="0"/>
          <w:color w:val="auto"/>
        </w:rPr>
        <w:t>&lt;/NumAm&gt;</w:t>
      </w:r>
    </w:p>
    <w:p w14:paraId="1B12EACD"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FC67AC3" w14:textId="77777777" w:rsidR="008E0B4F" w:rsidRPr="00EB0CA5" w:rsidRDefault="008E0B4F" w:rsidP="008E0B4F">
      <w:pPr>
        <w:pStyle w:val="NormalBold"/>
      </w:pPr>
      <w:r w:rsidRPr="00EB0CA5">
        <w:rPr>
          <w:rStyle w:val="HideTWBExt"/>
          <w:b w:val="0"/>
          <w:noProof w:val="0"/>
          <w:color w:val="auto"/>
        </w:rPr>
        <w:t>&lt;Article&gt;</w:t>
      </w:r>
      <w:r w:rsidRPr="00EB0CA5">
        <w:t>Artykuł 21 – ustęp 2</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582302F8" w14:textId="77777777" w:rsidTr="008E0B4F">
        <w:trPr>
          <w:jc w:val="center"/>
        </w:trPr>
        <w:tc>
          <w:tcPr>
            <w:tcW w:w="9752" w:type="dxa"/>
            <w:gridSpan w:val="2"/>
          </w:tcPr>
          <w:p w14:paraId="3C605ED6" w14:textId="77777777" w:rsidR="008E0B4F" w:rsidRPr="00EB0CA5" w:rsidRDefault="008E0B4F">
            <w:pPr>
              <w:keepNext/>
            </w:pPr>
          </w:p>
        </w:tc>
      </w:tr>
      <w:tr w:rsidR="00EB0CA5" w:rsidRPr="00EB0CA5" w14:paraId="6B46E3F8" w14:textId="77777777" w:rsidTr="008E0B4F">
        <w:trPr>
          <w:jc w:val="center"/>
        </w:trPr>
        <w:tc>
          <w:tcPr>
            <w:tcW w:w="4876" w:type="dxa"/>
            <w:hideMark/>
          </w:tcPr>
          <w:p w14:paraId="5235CC05" w14:textId="77777777" w:rsidR="008E0B4F" w:rsidRPr="00EB0CA5" w:rsidRDefault="008E0B4F">
            <w:pPr>
              <w:pStyle w:val="ColumnHeading"/>
              <w:keepNext/>
            </w:pPr>
            <w:r w:rsidRPr="00EB0CA5">
              <w:t>Tekst proponowany przez Komisję</w:t>
            </w:r>
          </w:p>
        </w:tc>
        <w:tc>
          <w:tcPr>
            <w:tcW w:w="4876" w:type="dxa"/>
            <w:hideMark/>
          </w:tcPr>
          <w:p w14:paraId="74E0B32E" w14:textId="77777777" w:rsidR="008E0B4F" w:rsidRPr="00EB0CA5" w:rsidRDefault="008E0B4F">
            <w:pPr>
              <w:pStyle w:val="ColumnHeading"/>
              <w:keepNext/>
            </w:pPr>
            <w:r w:rsidRPr="00EB0CA5">
              <w:t>Poprawka</w:t>
            </w:r>
          </w:p>
        </w:tc>
      </w:tr>
      <w:tr w:rsidR="00EB0CA5" w:rsidRPr="00EB0CA5" w14:paraId="516CBB70" w14:textId="77777777" w:rsidTr="008E0B4F">
        <w:trPr>
          <w:jc w:val="center"/>
        </w:trPr>
        <w:tc>
          <w:tcPr>
            <w:tcW w:w="4876" w:type="dxa"/>
            <w:hideMark/>
          </w:tcPr>
          <w:p w14:paraId="19A48F77" w14:textId="367CF050" w:rsidR="008E0B4F" w:rsidRPr="00EB0CA5" w:rsidRDefault="008E0B4F" w:rsidP="006D100F">
            <w:pPr>
              <w:pStyle w:val="Normal6"/>
            </w:pPr>
            <w:r w:rsidRPr="00EB0CA5">
              <w:t>2.</w:t>
            </w:r>
            <w:r w:rsidRPr="00EB0CA5">
              <w:tab/>
              <w:t>Uprawnienia do przyjmowania aktów delegowanych, o</w:t>
            </w:r>
            <w:r w:rsidRPr="00EB0CA5">
              <w:rPr>
                <w:b/>
                <w:i/>
              </w:rPr>
              <w:t xml:space="preserve"> </w:t>
            </w:r>
            <w:r w:rsidRPr="00EB0CA5">
              <w:t>których mowa w</w:t>
            </w:r>
            <w:r w:rsidRPr="00EB0CA5">
              <w:rPr>
                <w:b/>
                <w:i/>
              </w:rPr>
              <w:t xml:space="preserve"> </w:t>
            </w:r>
            <w:r w:rsidRPr="00EB0CA5">
              <w:t>art. 5, 6, 9</w:t>
            </w:r>
            <w:r w:rsidRPr="00EB0CA5">
              <w:rPr>
                <w:b/>
                <w:i/>
              </w:rPr>
              <w:t xml:space="preserve"> i</w:t>
            </w:r>
            <w:r w:rsidRPr="00EB0CA5">
              <w:t xml:space="preserve"> 12, powierza się Komisji na </w:t>
            </w:r>
            <w:r w:rsidRPr="00EB0CA5">
              <w:rPr>
                <w:b/>
                <w:i/>
              </w:rPr>
              <w:t>czas nieokreślony</w:t>
            </w:r>
            <w:r w:rsidRPr="00EB0CA5">
              <w:t>.</w:t>
            </w:r>
          </w:p>
        </w:tc>
        <w:tc>
          <w:tcPr>
            <w:tcW w:w="4876" w:type="dxa"/>
            <w:hideMark/>
          </w:tcPr>
          <w:p w14:paraId="59209122" w14:textId="15B3A82E" w:rsidR="008E0B4F" w:rsidRPr="00EB0CA5" w:rsidRDefault="008E0B4F" w:rsidP="008A3424">
            <w:pPr>
              <w:pStyle w:val="Normal6"/>
              <w:rPr>
                <w:szCs w:val="24"/>
              </w:rPr>
            </w:pPr>
            <w:r w:rsidRPr="00EB0CA5">
              <w:t>2.</w:t>
            </w:r>
            <w:r w:rsidRPr="00EB0CA5">
              <w:tab/>
              <w:t>Uprawnienia do przyjmowania aktów delegowanych, o</w:t>
            </w:r>
            <w:r w:rsidRPr="00EB0CA5">
              <w:rPr>
                <w:b/>
                <w:i/>
              </w:rPr>
              <w:t> </w:t>
            </w:r>
            <w:r w:rsidRPr="00EB0CA5">
              <w:t>których mowa w</w:t>
            </w:r>
            <w:r w:rsidRPr="00EB0CA5">
              <w:rPr>
                <w:b/>
                <w:i/>
              </w:rPr>
              <w:t> </w:t>
            </w:r>
            <w:r w:rsidRPr="00EB0CA5">
              <w:t>art. 5, 6, 9</w:t>
            </w:r>
            <w:r w:rsidRPr="00EB0CA5">
              <w:rPr>
                <w:b/>
                <w:i/>
              </w:rPr>
              <w:t>,</w:t>
            </w:r>
            <w:r w:rsidRPr="00EB0CA5">
              <w:t xml:space="preserve"> 12</w:t>
            </w:r>
            <w:r w:rsidRPr="00EB0CA5">
              <w:rPr>
                <w:b/>
                <w:i/>
              </w:rPr>
              <w:t>, 13 i 24</w:t>
            </w:r>
            <w:r w:rsidRPr="00EB0CA5">
              <w:t xml:space="preserve">, powierza się Komisji na </w:t>
            </w:r>
            <w:r w:rsidRPr="00EB0CA5">
              <w:rPr>
                <w:b/>
                <w:i/>
              </w:rPr>
              <w:t>okres pięciu lat.</w:t>
            </w:r>
            <w:r w:rsidRPr="00EB0CA5">
              <w:t xml:space="preserve"> </w:t>
            </w:r>
            <w:r w:rsidRPr="00EB0CA5">
              <w:rPr>
                <w:b/>
                <w:i/>
              </w:rPr>
              <w:t>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tc>
      </w:tr>
    </w:tbl>
    <w:p w14:paraId="15E5A821" w14:textId="77777777" w:rsidR="008E0B4F" w:rsidRPr="00EB0CA5" w:rsidRDefault="008E0B4F" w:rsidP="008E0B4F">
      <w:pPr>
        <w:rPr>
          <w:szCs w:val="24"/>
        </w:rPr>
      </w:pPr>
      <w:r w:rsidRPr="00EB0CA5">
        <w:rPr>
          <w:rStyle w:val="HideTWBExt"/>
          <w:noProof w:val="0"/>
          <w:color w:val="auto"/>
        </w:rPr>
        <w:t>&lt;/Amend&gt;</w:t>
      </w:r>
    </w:p>
    <w:p w14:paraId="266FBC01" w14:textId="2847A116"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42</w:t>
      </w:r>
      <w:r w:rsidRPr="00EB0CA5">
        <w:rPr>
          <w:rStyle w:val="HideTWBExt"/>
          <w:b w:val="0"/>
          <w:noProof w:val="0"/>
          <w:color w:val="auto"/>
        </w:rPr>
        <w:t>&lt;/NumAm&gt;</w:t>
      </w:r>
    </w:p>
    <w:p w14:paraId="278C26D1"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46B9D919" w14:textId="77777777" w:rsidR="008E0B4F" w:rsidRPr="00EB0CA5" w:rsidRDefault="008E0B4F" w:rsidP="008E0B4F">
      <w:pPr>
        <w:pStyle w:val="NormalBold"/>
      </w:pPr>
      <w:r w:rsidRPr="00EB0CA5">
        <w:rPr>
          <w:rStyle w:val="HideTWBExt"/>
          <w:b w:val="0"/>
          <w:noProof w:val="0"/>
          <w:color w:val="auto"/>
        </w:rPr>
        <w:t>&lt;Article&gt;</w:t>
      </w:r>
      <w:r w:rsidRPr="00EB0CA5">
        <w:t>Artykuł 21 – ustęp 3</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088F0370" w14:textId="77777777" w:rsidTr="008E0B4F">
        <w:trPr>
          <w:jc w:val="center"/>
        </w:trPr>
        <w:tc>
          <w:tcPr>
            <w:tcW w:w="9752" w:type="dxa"/>
            <w:gridSpan w:val="2"/>
          </w:tcPr>
          <w:p w14:paraId="62CA5E42" w14:textId="77777777" w:rsidR="008E0B4F" w:rsidRPr="00EB0CA5" w:rsidRDefault="008E0B4F">
            <w:pPr>
              <w:keepNext/>
            </w:pPr>
          </w:p>
        </w:tc>
      </w:tr>
      <w:tr w:rsidR="00EB0CA5" w:rsidRPr="00EB0CA5" w14:paraId="24022C54" w14:textId="77777777" w:rsidTr="008E0B4F">
        <w:trPr>
          <w:jc w:val="center"/>
        </w:trPr>
        <w:tc>
          <w:tcPr>
            <w:tcW w:w="4876" w:type="dxa"/>
            <w:hideMark/>
          </w:tcPr>
          <w:p w14:paraId="7183A405" w14:textId="77777777" w:rsidR="008E0B4F" w:rsidRPr="00EB0CA5" w:rsidRDefault="008E0B4F">
            <w:pPr>
              <w:pStyle w:val="ColumnHeading"/>
              <w:keepNext/>
            </w:pPr>
            <w:r w:rsidRPr="00EB0CA5">
              <w:t>Tekst proponowany przez Komisję</w:t>
            </w:r>
          </w:p>
        </w:tc>
        <w:tc>
          <w:tcPr>
            <w:tcW w:w="4876" w:type="dxa"/>
            <w:hideMark/>
          </w:tcPr>
          <w:p w14:paraId="623846D4" w14:textId="77777777" w:rsidR="008E0B4F" w:rsidRPr="00EB0CA5" w:rsidRDefault="008E0B4F">
            <w:pPr>
              <w:pStyle w:val="ColumnHeading"/>
              <w:keepNext/>
            </w:pPr>
            <w:r w:rsidRPr="00EB0CA5">
              <w:t>Poprawka</w:t>
            </w:r>
          </w:p>
        </w:tc>
      </w:tr>
      <w:tr w:rsidR="00EB0CA5" w:rsidRPr="00EB0CA5" w14:paraId="69F7290A" w14:textId="77777777" w:rsidTr="008E0B4F">
        <w:trPr>
          <w:jc w:val="center"/>
        </w:trPr>
        <w:tc>
          <w:tcPr>
            <w:tcW w:w="4876" w:type="dxa"/>
            <w:hideMark/>
          </w:tcPr>
          <w:p w14:paraId="026B48EB" w14:textId="5EFBA18E" w:rsidR="008E0B4F" w:rsidRPr="00EB0CA5" w:rsidRDefault="008E0B4F" w:rsidP="003E76B7">
            <w:pPr>
              <w:pStyle w:val="Normal6"/>
            </w:pPr>
            <w:r w:rsidRPr="00EB0CA5">
              <w:t>3.</w:t>
            </w:r>
            <w:r w:rsidRPr="00EB0CA5">
              <w:tab/>
              <w:t>Przekazanie uprawnień, o</w:t>
            </w:r>
            <w:r w:rsidRPr="00EB0CA5">
              <w:rPr>
                <w:b/>
                <w:i/>
              </w:rPr>
              <w:t> </w:t>
            </w:r>
            <w:r w:rsidRPr="00EB0CA5">
              <w:t>którym mowa w</w:t>
            </w:r>
            <w:r w:rsidRPr="00EB0CA5">
              <w:rPr>
                <w:b/>
                <w:i/>
              </w:rPr>
              <w:t> </w:t>
            </w:r>
            <w:r w:rsidRPr="00EB0CA5">
              <w:t xml:space="preserve">art. 5, 6, 9 i </w:t>
            </w:r>
            <w:r w:rsidRPr="00EB0CA5">
              <w:rPr>
                <w:b/>
                <w:i/>
              </w:rPr>
              <w:t>12</w:t>
            </w:r>
            <w:r w:rsidRPr="00EB0CA5">
              <w:t xml:space="preserve">, może zostać </w:t>
            </w:r>
            <w:r w:rsidRPr="00EB0CA5">
              <w:lastRenderedPageBreak/>
              <w:t>w</w:t>
            </w:r>
            <w:r w:rsidRPr="00EB0CA5">
              <w:rPr>
                <w:b/>
                <w:i/>
              </w:rPr>
              <w:t> </w:t>
            </w:r>
            <w:r w:rsidRPr="00EB0CA5">
              <w:t xml:space="preserve">dowolnym momencie odwołane przez Parlament Europejski lub przez Radę. Decyzja o odwołaniu kończy przekazanie określonych w niej uprawnień. Decyzja </w:t>
            </w:r>
            <w:r w:rsidRPr="00EB0CA5">
              <w:rPr>
                <w:b/>
                <w:i/>
              </w:rPr>
              <w:t>ta</w:t>
            </w:r>
            <w:r w:rsidRPr="00EB0CA5">
              <w:t xml:space="preserve"> staje się skuteczna</w:t>
            </w:r>
            <w:r w:rsidRPr="00EB0CA5">
              <w:rPr>
                <w:b/>
                <w:i/>
              </w:rPr>
              <w:t xml:space="preserve"> od</w:t>
            </w:r>
            <w:r w:rsidRPr="00EB0CA5">
              <w:t xml:space="preserve"> następnego dnia po jej opublikowaniu w Dzienniku Urzędowym Unii Europejskiej lub w określonym w tej decyzji</w:t>
            </w:r>
            <w:r w:rsidRPr="00EB0CA5">
              <w:rPr>
                <w:b/>
                <w:i/>
              </w:rPr>
              <w:t xml:space="preserve"> późniejszym terminie</w:t>
            </w:r>
            <w:r w:rsidRPr="00EB0CA5">
              <w:t>. Nie wpływa ona na ważność jakichkolwiek już obowiązujących aktów delegowanych.</w:t>
            </w:r>
          </w:p>
        </w:tc>
        <w:tc>
          <w:tcPr>
            <w:tcW w:w="4876" w:type="dxa"/>
            <w:hideMark/>
          </w:tcPr>
          <w:p w14:paraId="68D90DE6" w14:textId="36B9A452" w:rsidR="008E0B4F" w:rsidRPr="00EB0CA5" w:rsidRDefault="008E0B4F">
            <w:pPr>
              <w:pStyle w:val="Normal6"/>
              <w:rPr>
                <w:szCs w:val="24"/>
              </w:rPr>
            </w:pPr>
            <w:r w:rsidRPr="00EB0CA5">
              <w:lastRenderedPageBreak/>
              <w:t>3.</w:t>
            </w:r>
            <w:r w:rsidRPr="00EB0CA5">
              <w:tab/>
              <w:t>Przekazanie uprawnień, o</w:t>
            </w:r>
            <w:r w:rsidRPr="00EB0CA5">
              <w:rPr>
                <w:b/>
                <w:i/>
              </w:rPr>
              <w:t xml:space="preserve"> </w:t>
            </w:r>
            <w:r w:rsidRPr="00EB0CA5">
              <w:t>którym mowa w</w:t>
            </w:r>
            <w:r w:rsidRPr="00EB0CA5">
              <w:rPr>
                <w:b/>
                <w:i/>
              </w:rPr>
              <w:t xml:space="preserve"> </w:t>
            </w:r>
            <w:r w:rsidRPr="00EB0CA5">
              <w:t>art. 5, 6, 9</w:t>
            </w:r>
            <w:r w:rsidRPr="00EB0CA5">
              <w:rPr>
                <w:b/>
                <w:i/>
              </w:rPr>
              <w:t>, 12, 13</w:t>
            </w:r>
            <w:r w:rsidRPr="00EB0CA5">
              <w:t xml:space="preserve"> i </w:t>
            </w:r>
            <w:r w:rsidRPr="00EB0CA5">
              <w:rPr>
                <w:b/>
                <w:i/>
              </w:rPr>
              <w:t>24</w:t>
            </w:r>
            <w:r w:rsidRPr="00EB0CA5">
              <w:t xml:space="preserve">, może </w:t>
            </w:r>
            <w:r w:rsidRPr="00EB0CA5">
              <w:lastRenderedPageBreak/>
              <w:t>zostać w</w:t>
            </w:r>
            <w:r w:rsidRPr="00EB0CA5">
              <w:rPr>
                <w:b/>
                <w:i/>
              </w:rPr>
              <w:t xml:space="preserve"> </w:t>
            </w:r>
            <w:r w:rsidRPr="00EB0CA5">
              <w:t xml:space="preserve">dowolnym momencie odwołane przez Parlament Europejski lub przez Radę. Decyzja o odwołaniu kończy przekazanie określonych w niej uprawnień. Decyzja </w:t>
            </w:r>
            <w:r w:rsidRPr="00EB0CA5">
              <w:rPr>
                <w:b/>
                <w:i/>
              </w:rPr>
              <w:t>o odwołaniu</w:t>
            </w:r>
            <w:r w:rsidRPr="00EB0CA5">
              <w:t xml:space="preserve"> staje się skuteczna następnego dnia po jej opublikowaniu w </w:t>
            </w:r>
            <w:r w:rsidRPr="00EB0CA5">
              <w:rPr>
                <w:i/>
              </w:rPr>
              <w:t>Dzienniku Urzędowym Unii Europejskiej</w:t>
            </w:r>
            <w:r w:rsidRPr="00EB0CA5">
              <w:t xml:space="preserve"> lub w </w:t>
            </w:r>
            <w:r w:rsidRPr="00EB0CA5">
              <w:rPr>
                <w:b/>
                <w:i/>
              </w:rPr>
              <w:t xml:space="preserve">późniejszym terminie </w:t>
            </w:r>
            <w:r w:rsidRPr="00EB0CA5">
              <w:t>określonym w tej decyzji. Nie wpływa ona na ważność jakichkolwiek już obowiązujących aktów delegowanych.</w:t>
            </w:r>
          </w:p>
        </w:tc>
      </w:tr>
    </w:tbl>
    <w:p w14:paraId="57C4ECC0" w14:textId="77777777" w:rsidR="008E0B4F" w:rsidRPr="00EB0CA5" w:rsidRDefault="008E0B4F" w:rsidP="008E0B4F">
      <w:pPr>
        <w:rPr>
          <w:szCs w:val="24"/>
        </w:rPr>
      </w:pPr>
      <w:r w:rsidRPr="00EB0CA5">
        <w:rPr>
          <w:rStyle w:val="HideTWBExt"/>
          <w:noProof w:val="0"/>
          <w:color w:val="auto"/>
        </w:rPr>
        <w:lastRenderedPageBreak/>
        <w:t>&lt;/Amend&gt;</w:t>
      </w:r>
    </w:p>
    <w:p w14:paraId="38BB76F0" w14:textId="0AE1AECA"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43</w:t>
      </w:r>
      <w:r w:rsidRPr="00EB0CA5">
        <w:rPr>
          <w:rStyle w:val="HideTWBExt"/>
          <w:b w:val="0"/>
          <w:noProof w:val="0"/>
          <w:color w:val="auto"/>
        </w:rPr>
        <w:t>&lt;/NumAm&gt;</w:t>
      </w:r>
    </w:p>
    <w:p w14:paraId="0ACEB254"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69BEB86" w14:textId="77777777" w:rsidR="008E0B4F" w:rsidRPr="00EB0CA5" w:rsidRDefault="008E0B4F" w:rsidP="008E0B4F">
      <w:pPr>
        <w:pStyle w:val="NormalBold"/>
      </w:pPr>
      <w:r w:rsidRPr="00EB0CA5">
        <w:rPr>
          <w:rStyle w:val="HideTWBExt"/>
          <w:b w:val="0"/>
          <w:noProof w:val="0"/>
          <w:color w:val="auto"/>
        </w:rPr>
        <w:t>&lt;Article&gt;</w:t>
      </w:r>
      <w:r w:rsidRPr="00EB0CA5">
        <w:t>Artykuł 21 – ustęp 6</w:t>
      </w:r>
      <w:r w:rsidRPr="00EB0CA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2CD6E7A9" w14:textId="77777777" w:rsidTr="008E0B4F">
        <w:trPr>
          <w:jc w:val="center"/>
        </w:trPr>
        <w:tc>
          <w:tcPr>
            <w:tcW w:w="9752" w:type="dxa"/>
            <w:gridSpan w:val="2"/>
          </w:tcPr>
          <w:p w14:paraId="16A75790" w14:textId="77777777" w:rsidR="008E0B4F" w:rsidRPr="00EB0CA5" w:rsidRDefault="008E0B4F">
            <w:pPr>
              <w:keepNext/>
            </w:pPr>
          </w:p>
        </w:tc>
      </w:tr>
      <w:tr w:rsidR="00EB0CA5" w:rsidRPr="00EB0CA5" w14:paraId="526BD6B9" w14:textId="77777777" w:rsidTr="008E0B4F">
        <w:trPr>
          <w:jc w:val="center"/>
        </w:trPr>
        <w:tc>
          <w:tcPr>
            <w:tcW w:w="4876" w:type="dxa"/>
            <w:hideMark/>
          </w:tcPr>
          <w:p w14:paraId="4B8208A6" w14:textId="77777777" w:rsidR="008E0B4F" w:rsidRPr="00EB0CA5" w:rsidRDefault="008E0B4F">
            <w:pPr>
              <w:pStyle w:val="ColumnHeading"/>
              <w:keepNext/>
            </w:pPr>
            <w:r w:rsidRPr="00EB0CA5">
              <w:t>Tekst proponowany przez Komisję</w:t>
            </w:r>
          </w:p>
        </w:tc>
        <w:tc>
          <w:tcPr>
            <w:tcW w:w="4876" w:type="dxa"/>
            <w:hideMark/>
          </w:tcPr>
          <w:p w14:paraId="5692A25E" w14:textId="77777777" w:rsidR="008E0B4F" w:rsidRPr="00EB0CA5" w:rsidRDefault="008E0B4F">
            <w:pPr>
              <w:pStyle w:val="ColumnHeading"/>
              <w:keepNext/>
            </w:pPr>
            <w:r w:rsidRPr="00EB0CA5">
              <w:t>Poprawka</w:t>
            </w:r>
          </w:p>
        </w:tc>
      </w:tr>
      <w:tr w:rsidR="00EB0CA5" w:rsidRPr="00EB0CA5" w14:paraId="304A1803" w14:textId="77777777" w:rsidTr="008E0B4F">
        <w:trPr>
          <w:jc w:val="center"/>
        </w:trPr>
        <w:tc>
          <w:tcPr>
            <w:tcW w:w="4876" w:type="dxa"/>
            <w:hideMark/>
          </w:tcPr>
          <w:p w14:paraId="0E196A9A" w14:textId="0EFB3C6D" w:rsidR="008E0B4F" w:rsidRPr="00EB0CA5" w:rsidRDefault="008E0B4F">
            <w:pPr>
              <w:pStyle w:val="Normal6"/>
            </w:pPr>
            <w:r w:rsidRPr="00EB0CA5">
              <w:t>6.</w:t>
            </w:r>
            <w:r w:rsidRPr="00EB0CA5">
              <w:tab/>
              <w:t xml:space="preserve">Akt delegowany przyjęty na podstawie art. 5, 6, 9 i </w:t>
            </w:r>
            <w:r w:rsidRPr="00EB0CA5">
              <w:rPr>
                <w:b/>
                <w:i/>
              </w:rPr>
              <w:t>12</w:t>
            </w:r>
            <w:r w:rsidRPr="00EB0CA5">
              <w:t xml:space="preserve">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tc>
        <w:tc>
          <w:tcPr>
            <w:tcW w:w="4876" w:type="dxa"/>
            <w:hideMark/>
          </w:tcPr>
          <w:p w14:paraId="001B3EEF" w14:textId="21F9BA9A" w:rsidR="008E0B4F" w:rsidRPr="00EB0CA5" w:rsidRDefault="008E0B4F" w:rsidP="000B2345">
            <w:pPr>
              <w:pStyle w:val="Normal6"/>
              <w:rPr>
                <w:szCs w:val="24"/>
              </w:rPr>
            </w:pPr>
            <w:r w:rsidRPr="00EB0CA5">
              <w:t>6.</w:t>
            </w:r>
            <w:r w:rsidRPr="00EB0CA5">
              <w:tab/>
              <w:t>Akt delegowany przyjęty na podstawie art. 5, 6, 9</w:t>
            </w:r>
            <w:r w:rsidRPr="00EB0CA5">
              <w:rPr>
                <w:b/>
                <w:i/>
              </w:rPr>
              <w:t>, 12, 13</w:t>
            </w:r>
            <w:r w:rsidRPr="00EB0CA5">
              <w:t xml:space="preserve"> i </w:t>
            </w:r>
            <w:r w:rsidRPr="00EB0CA5">
              <w:rPr>
                <w:b/>
                <w:i/>
              </w:rPr>
              <w:t>24</w:t>
            </w:r>
            <w:r w:rsidRPr="00EB0CA5">
              <w:t xml:space="preserve"> wchodzi w życie tylko wówczas, gdy ani Parlament Europejski, ani Rada nie wyraziły sprzeciwu w terminie dwóch miesięcy od przekazania tego aktu Parlamentowi Europejskiemu i Radzie</w:t>
            </w:r>
            <w:r w:rsidRPr="00EB0CA5">
              <w:rPr>
                <w:b/>
                <w:i/>
              </w:rPr>
              <w:t>,</w:t>
            </w:r>
            <w:r w:rsidRPr="00EB0CA5">
              <w:t xml:space="preserve"> lub gdy, przed upływem tego terminu, zarówno Parlament Europejski, jak i Rada poinformowały Komisję, że nie wniosą sprzeciwu. Termin ten przedłuża się o dwa miesiące z inicjatywy Parlamentu Europejskiego lub Rady.</w:t>
            </w:r>
          </w:p>
        </w:tc>
      </w:tr>
    </w:tbl>
    <w:p w14:paraId="6E5A3CB5" w14:textId="77777777" w:rsidR="008E0B4F" w:rsidRPr="00EB0CA5" w:rsidRDefault="008E0B4F" w:rsidP="008E0B4F">
      <w:pPr>
        <w:rPr>
          <w:szCs w:val="24"/>
        </w:rPr>
      </w:pPr>
      <w:r w:rsidRPr="00EB0CA5">
        <w:rPr>
          <w:rStyle w:val="HideTWBExt"/>
          <w:noProof w:val="0"/>
          <w:color w:val="auto"/>
        </w:rPr>
        <w:t>&lt;/Amend&gt;</w:t>
      </w:r>
    </w:p>
    <w:p w14:paraId="16D7D362" w14:textId="04785A19" w:rsidR="008E0B4F" w:rsidRPr="00EB0CA5" w:rsidRDefault="008E0B4F" w:rsidP="008E0B4F">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44</w:t>
      </w:r>
      <w:r w:rsidRPr="00EB0CA5">
        <w:rPr>
          <w:rStyle w:val="HideTWBExt"/>
          <w:b w:val="0"/>
          <w:noProof w:val="0"/>
          <w:color w:val="auto"/>
        </w:rPr>
        <w:t>&lt;/NumAm&gt;</w:t>
      </w:r>
    </w:p>
    <w:p w14:paraId="70D5122B" w14:textId="77777777" w:rsidR="008E0B4F" w:rsidRPr="00EB0CA5" w:rsidRDefault="008E0B4F" w:rsidP="008E0B4F">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926E4F9" w14:textId="77777777" w:rsidR="008E0B4F" w:rsidRPr="00EB0CA5" w:rsidRDefault="008E0B4F" w:rsidP="008E0B4F">
      <w:pPr>
        <w:pStyle w:val="NormalBold"/>
      </w:pPr>
      <w:r w:rsidRPr="00EB0CA5">
        <w:rPr>
          <w:rStyle w:val="HideTWBExt"/>
          <w:b w:val="0"/>
          <w:noProof w:val="0"/>
          <w:color w:val="auto"/>
        </w:rPr>
        <w:t>&lt;Article&gt;</w:t>
      </w:r>
      <w:r w:rsidRPr="00EB0CA5">
        <w:t>Artykuł 24 – ustęp 1</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1CE9A3A2" w14:textId="77777777" w:rsidTr="008F2999">
        <w:trPr>
          <w:jc w:val="center"/>
        </w:trPr>
        <w:tc>
          <w:tcPr>
            <w:tcW w:w="9752" w:type="dxa"/>
            <w:gridSpan w:val="2"/>
          </w:tcPr>
          <w:p w14:paraId="242AE6EC" w14:textId="77777777" w:rsidR="008E0B4F" w:rsidRPr="00EB0CA5" w:rsidRDefault="008E0B4F">
            <w:pPr>
              <w:keepNext/>
            </w:pPr>
          </w:p>
        </w:tc>
      </w:tr>
      <w:tr w:rsidR="00EB0CA5" w:rsidRPr="00EB0CA5" w14:paraId="6F38039E" w14:textId="77777777" w:rsidTr="008F2999">
        <w:trPr>
          <w:jc w:val="center"/>
        </w:trPr>
        <w:tc>
          <w:tcPr>
            <w:tcW w:w="4876" w:type="dxa"/>
            <w:hideMark/>
          </w:tcPr>
          <w:p w14:paraId="4A3744A9" w14:textId="77777777" w:rsidR="008E0B4F" w:rsidRPr="00EB0CA5" w:rsidRDefault="008E0B4F">
            <w:pPr>
              <w:pStyle w:val="ColumnHeading"/>
              <w:keepNext/>
            </w:pPr>
            <w:r w:rsidRPr="00EB0CA5">
              <w:t>Tekst proponowany przez Komisję</w:t>
            </w:r>
          </w:p>
        </w:tc>
        <w:tc>
          <w:tcPr>
            <w:tcW w:w="4876" w:type="dxa"/>
            <w:hideMark/>
          </w:tcPr>
          <w:p w14:paraId="4551D3D2" w14:textId="77777777" w:rsidR="008E0B4F" w:rsidRPr="00EB0CA5" w:rsidRDefault="008E0B4F">
            <w:pPr>
              <w:pStyle w:val="ColumnHeading"/>
              <w:keepNext/>
            </w:pPr>
            <w:r w:rsidRPr="00EB0CA5">
              <w:t>Poprawka</w:t>
            </w:r>
          </w:p>
        </w:tc>
      </w:tr>
      <w:tr w:rsidR="00EB0CA5" w:rsidRPr="00EB0CA5" w14:paraId="6CDB7D5F" w14:textId="77777777" w:rsidTr="008F2999">
        <w:trPr>
          <w:jc w:val="center"/>
        </w:trPr>
        <w:tc>
          <w:tcPr>
            <w:tcW w:w="4876" w:type="dxa"/>
            <w:hideMark/>
          </w:tcPr>
          <w:p w14:paraId="52EFA68E" w14:textId="0D592269" w:rsidR="008F2999" w:rsidRPr="00EB0CA5" w:rsidRDefault="008F2999" w:rsidP="008F2999">
            <w:pPr>
              <w:pStyle w:val="Normal6"/>
            </w:pPr>
            <w:r w:rsidRPr="00EB0CA5">
              <w:t>1.</w:t>
            </w:r>
            <w:r w:rsidRPr="00EB0CA5">
              <w:tab/>
              <w:t xml:space="preserve">Jeżeli stosowanie niniejszego rozporządzenia w krajowym systemie statystycznym państwa członkowskiego wymaga znacznych dostosowań, Komisja </w:t>
            </w:r>
            <w:r w:rsidRPr="00EB0CA5">
              <w:rPr>
                <w:b/>
                <w:i/>
              </w:rPr>
              <w:t>może udzielić – w drodze</w:t>
            </w:r>
            <w:r w:rsidRPr="00EB0CA5">
              <w:t xml:space="preserve"> aktów </w:t>
            </w:r>
            <w:r w:rsidRPr="00EB0CA5">
              <w:rPr>
                <w:b/>
                <w:i/>
              </w:rPr>
              <w:t>wykonawczych –</w:t>
            </w:r>
            <w:r w:rsidRPr="00EB0CA5">
              <w:t xml:space="preserve"> odstępstw od jego stosowania na maksymalny okres trzech </w:t>
            </w:r>
            <w:r w:rsidRPr="00EB0CA5">
              <w:lastRenderedPageBreak/>
              <w:t>lat</w:t>
            </w:r>
            <w:r w:rsidRPr="00EB0CA5">
              <w:rPr>
                <w:b/>
                <w:i/>
              </w:rPr>
              <w:t>, pod warunkiem że odstępstwa te nie zmniejszają porównywalności danych państw członkowskich ani nie utrudniają obliczania wymaganych aktualnych i reprezentatywnych agregatów europejskich</w:t>
            </w:r>
            <w:r w:rsidRPr="00EB0CA5">
              <w:t>.</w:t>
            </w:r>
          </w:p>
        </w:tc>
        <w:tc>
          <w:tcPr>
            <w:tcW w:w="4876" w:type="dxa"/>
            <w:hideMark/>
          </w:tcPr>
          <w:p w14:paraId="4ED56DA0" w14:textId="54162C89" w:rsidR="008F2999" w:rsidRPr="00EB0CA5" w:rsidRDefault="008F2999" w:rsidP="00FA01C0">
            <w:pPr>
              <w:pStyle w:val="Normal6"/>
              <w:rPr>
                <w:szCs w:val="24"/>
              </w:rPr>
            </w:pPr>
            <w:r w:rsidRPr="00EB0CA5">
              <w:lastRenderedPageBreak/>
              <w:t>1.</w:t>
            </w:r>
            <w:r w:rsidRPr="00EB0CA5">
              <w:tab/>
              <w:t xml:space="preserve">Jeżeli stosowanie niniejszego rozporządzenia w krajowym systemie statystycznym państwa członkowskiego wymaga znacznych dostosowań, Komisja </w:t>
            </w:r>
            <w:r w:rsidRPr="00EB0CA5">
              <w:rPr>
                <w:b/>
                <w:i/>
              </w:rPr>
              <w:t>jest uprawniona do przyjmowania</w:t>
            </w:r>
            <w:r w:rsidRPr="00EB0CA5">
              <w:t xml:space="preserve"> aktów </w:t>
            </w:r>
            <w:r w:rsidRPr="00EB0CA5">
              <w:rPr>
                <w:b/>
                <w:i/>
              </w:rPr>
              <w:t>delegowanych,</w:t>
            </w:r>
            <w:r w:rsidRPr="00EB0CA5">
              <w:t xml:space="preserve"> odstępstw od jego stosowania na maksymalny okres trzech </w:t>
            </w:r>
            <w:r w:rsidRPr="00EB0CA5">
              <w:lastRenderedPageBreak/>
              <w:t>lat.</w:t>
            </w:r>
          </w:p>
        </w:tc>
      </w:tr>
    </w:tbl>
    <w:p w14:paraId="43150BF0" w14:textId="77777777" w:rsidR="0086662F" w:rsidRPr="00EB0CA5" w:rsidRDefault="0086662F" w:rsidP="0086662F">
      <w:pPr>
        <w:rPr>
          <w:szCs w:val="24"/>
        </w:rPr>
      </w:pPr>
      <w:r w:rsidRPr="00EB0CA5">
        <w:rPr>
          <w:rStyle w:val="HideTWBExt"/>
          <w:noProof w:val="0"/>
          <w:color w:val="auto"/>
        </w:rPr>
        <w:lastRenderedPageBreak/>
        <w:t>&lt;/Amend&gt;</w:t>
      </w:r>
    </w:p>
    <w:p w14:paraId="7C212738" w14:textId="5C0B4C09" w:rsidR="008F2999" w:rsidRPr="00EB0CA5" w:rsidRDefault="008F2999" w:rsidP="008F2999">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45</w:t>
      </w:r>
      <w:r w:rsidRPr="00EB0CA5">
        <w:rPr>
          <w:rStyle w:val="HideTWBExt"/>
          <w:b w:val="0"/>
          <w:noProof w:val="0"/>
          <w:color w:val="auto"/>
        </w:rPr>
        <w:t>&lt;/NumAm&gt;</w:t>
      </w:r>
    </w:p>
    <w:p w14:paraId="1EEA7ADE" w14:textId="77777777" w:rsidR="008F2999" w:rsidRPr="00EB0CA5" w:rsidRDefault="008F2999" w:rsidP="008F2999">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478634D" w14:textId="77777777" w:rsidR="008F2999" w:rsidRPr="00EB0CA5" w:rsidRDefault="008F2999" w:rsidP="008F2999">
      <w:pPr>
        <w:pStyle w:val="NormalBold"/>
      </w:pPr>
      <w:r w:rsidRPr="00EB0CA5">
        <w:rPr>
          <w:rStyle w:val="HideTWBExt"/>
          <w:b w:val="0"/>
          <w:noProof w:val="0"/>
          <w:color w:val="auto"/>
        </w:rPr>
        <w:t>&lt;Article&gt;</w:t>
      </w:r>
      <w:r w:rsidRPr="00EB0CA5">
        <w:t>Artykuł 24 – ustęp 2</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0CA5" w:rsidRPr="00EB0CA5" w14:paraId="714B5B42" w14:textId="77777777" w:rsidTr="008A3424">
        <w:trPr>
          <w:jc w:val="center"/>
        </w:trPr>
        <w:tc>
          <w:tcPr>
            <w:tcW w:w="9752" w:type="dxa"/>
            <w:gridSpan w:val="2"/>
          </w:tcPr>
          <w:p w14:paraId="398653D8" w14:textId="77777777" w:rsidR="008F2999" w:rsidRPr="00EB0CA5" w:rsidRDefault="008F2999" w:rsidP="008A3424">
            <w:pPr>
              <w:keepNext/>
            </w:pPr>
          </w:p>
        </w:tc>
      </w:tr>
      <w:tr w:rsidR="00EB0CA5" w:rsidRPr="00EB0CA5" w14:paraId="7F1FE544" w14:textId="77777777" w:rsidTr="008A3424">
        <w:trPr>
          <w:jc w:val="center"/>
        </w:trPr>
        <w:tc>
          <w:tcPr>
            <w:tcW w:w="4876" w:type="dxa"/>
            <w:hideMark/>
          </w:tcPr>
          <w:p w14:paraId="72F8F25A" w14:textId="77777777" w:rsidR="008F2999" w:rsidRPr="00EB0CA5" w:rsidRDefault="008F2999" w:rsidP="008A3424">
            <w:pPr>
              <w:pStyle w:val="ColumnHeading"/>
              <w:keepNext/>
            </w:pPr>
            <w:r w:rsidRPr="00EB0CA5">
              <w:t>Tekst proponowany przez Komisję</w:t>
            </w:r>
          </w:p>
        </w:tc>
        <w:tc>
          <w:tcPr>
            <w:tcW w:w="4876" w:type="dxa"/>
            <w:hideMark/>
          </w:tcPr>
          <w:p w14:paraId="53765ECE" w14:textId="77777777" w:rsidR="008F2999" w:rsidRPr="00EB0CA5" w:rsidRDefault="008F2999" w:rsidP="008A3424">
            <w:pPr>
              <w:pStyle w:val="ColumnHeading"/>
              <w:keepNext/>
            </w:pPr>
            <w:r w:rsidRPr="00EB0CA5">
              <w:t>Poprawka</w:t>
            </w:r>
          </w:p>
        </w:tc>
      </w:tr>
      <w:tr w:rsidR="00EB0CA5" w:rsidRPr="00EB0CA5" w14:paraId="7E9C0E8F" w14:textId="77777777" w:rsidTr="008A3424">
        <w:trPr>
          <w:jc w:val="center"/>
        </w:trPr>
        <w:tc>
          <w:tcPr>
            <w:tcW w:w="4876" w:type="dxa"/>
            <w:hideMark/>
          </w:tcPr>
          <w:p w14:paraId="05AB5925" w14:textId="77777777" w:rsidR="008F2999" w:rsidRPr="00EB0CA5" w:rsidRDefault="008F2999" w:rsidP="008A3424">
            <w:pPr>
              <w:pStyle w:val="Normal6"/>
            </w:pPr>
            <w:r w:rsidRPr="00EB0CA5">
              <w:t>2.</w:t>
            </w:r>
            <w:r w:rsidRPr="00EB0CA5">
              <w:tab/>
              <w:t xml:space="preserve">Komisja przyjmuje te akty </w:t>
            </w:r>
            <w:r w:rsidRPr="00EB0CA5">
              <w:rPr>
                <w:b/>
                <w:i/>
              </w:rPr>
              <w:t>wykonawcze</w:t>
            </w:r>
            <w:r w:rsidRPr="00EB0CA5">
              <w:t xml:space="preserve"> zgodnie z </w:t>
            </w:r>
            <w:r w:rsidRPr="00EB0CA5">
              <w:rPr>
                <w:b/>
                <w:i/>
              </w:rPr>
              <w:t>procedurą sprawdzającą, o której mowa w </w:t>
            </w:r>
            <w:r w:rsidRPr="00EB0CA5">
              <w:t>art.</w:t>
            </w:r>
            <w:r w:rsidRPr="00EB0CA5">
              <w:rPr>
                <w:b/>
                <w:i/>
              </w:rPr>
              <w:t xml:space="preserve"> 22 ust. 2</w:t>
            </w:r>
            <w:r w:rsidRPr="00EB0CA5">
              <w:t>.</w:t>
            </w:r>
          </w:p>
        </w:tc>
        <w:tc>
          <w:tcPr>
            <w:tcW w:w="4876" w:type="dxa"/>
            <w:hideMark/>
          </w:tcPr>
          <w:p w14:paraId="1987823D" w14:textId="77777777" w:rsidR="008F2999" w:rsidRPr="00EB0CA5" w:rsidRDefault="008F2999" w:rsidP="008A3424">
            <w:pPr>
              <w:pStyle w:val="Normal6"/>
              <w:rPr>
                <w:szCs w:val="24"/>
              </w:rPr>
            </w:pPr>
            <w:r w:rsidRPr="00EB0CA5">
              <w:t>2.</w:t>
            </w:r>
            <w:r w:rsidRPr="00EB0CA5">
              <w:tab/>
              <w:t xml:space="preserve">Komisja przyjmuje te akty </w:t>
            </w:r>
            <w:r w:rsidRPr="00EB0CA5">
              <w:rPr>
                <w:b/>
                <w:i/>
              </w:rPr>
              <w:t>delegowane</w:t>
            </w:r>
            <w:r w:rsidRPr="00EB0CA5">
              <w:t xml:space="preserve"> zgodnie z art.</w:t>
            </w:r>
            <w:r w:rsidRPr="00EB0CA5">
              <w:rPr>
                <w:b/>
                <w:i/>
              </w:rPr>
              <w:t> 21</w:t>
            </w:r>
            <w:r w:rsidRPr="00EB0CA5">
              <w:t>.</w:t>
            </w:r>
          </w:p>
        </w:tc>
      </w:tr>
    </w:tbl>
    <w:p w14:paraId="43E79130" w14:textId="77777777" w:rsidR="008F2999" w:rsidRPr="00EB0CA5" w:rsidRDefault="008F2999" w:rsidP="008F2999">
      <w:pPr>
        <w:rPr>
          <w:szCs w:val="24"/>
        </w:rPr>
      </w:pPr>
      <w:r w:rsidRPr="00EB0CA5">
        <w:rPr>
          <w:rStyle w:val="HideTWBExt"/>
          <w:noProof w:val="0"/>
          <w:color w:val="auto"/>
        </w:rPr>
        <w:t>&lt;/Amend&gt;</w:t>
      </w:r>
    </w:p>
    <w:p w14:paraId="5207FAFB" w14:textId="71B75630" w:rsidR="008A34A7" w:rsidRPr="00EB0CA5" w:rsidRDefault="008A34A7" w:rsidP="008A34A7">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46</w:t>
      </w:r>
      <w:r w:rsidRPr="00EB0CA5">
        <w:rPr>
          <w:rStyle w:val="HideTWBExt"/>
          <w:b w:val="0"/>
          <w:noProof w:val="0"/>
          <w:color w:val="auto"/>
        </w:rPr>
        <w:t>&lt;/NumAm&gt;</w:t>
      </w:r>
    </w:p>
    <w:p w14:paraId="173456AA" w14:textId="77777777" w:rsidR="008A34A7" w:rsidRPr="00EB0CA5" w:rsidRDefault="008A34A7" w:rsidP="008A34A7">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4DED6550" w14:textId="77777777" w:rsidR="008A34A7" w:rsidRPr="00EB0CA5" w:rsidRDefault="008A34A7" w:rsidP="008A34A7">
      <w:pPr>
        <w:pStyle w:val="NormalBold"/>
      </w:pPr>
      <w:r w:rsidRPr="00EB0CA5">
        <w:rPr>
          <w:rStyle w:val="HideTWBExt"/>
          <w:b w:val="0"/>
          <w:noProof w:val="0"/>
          <w:color w:val="auto"/>
        </w:rPr>
        <w:t>&lt;Article&gt;</w:t>
      </w:r>
      <w:r w:rsidRPr="00EB0CA5">
        <w:t>Artykuł 27 – ustęp 2</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73725D9E" w14:textId="77777777" w:rsidTr="00D5541D">
        <w:trPr>
          <w:jc w:val="center"/>
        </w:trPr>
        <w:tc>
          <w:tcPr>
            <w:tcW w:w="9752" w:type="dxa"/>
            <w:gridSpan w:val="2"/>
          </w:tcPr>
          <w:p w14:paraId="275498B0" w14:textId="77777777" w:rsidR="008A34A7" w:rsidRPr="00EB0CA5" w:rsidRDefault="008A34A7" w:rsidP="00D5541D">
            <w:pPr>
              <w:keepNext/>
            </w:pPr>
          </w:p>
        </w:tc>
      </w:tr>
      <w:tr w:rsidR="00EB0CA5" w:rsidRPr="00EB0CA5" w14:paraId="242485D1" w14:textId="77777777" w:rsidTr="00D5541D">
        <w:trPr>
          <w:jc w:val="center"/>
        </w:trPr>
        <w:tc>
          <w:tcPr>
            <w:tcW w:w="4876" w:type="dxa"/>
          </w:tcPr>
          <w:p w14:paraId="057E73C2" w14:textId="77777777" w:rsidR="008A34A7" w:rsidRPr="00EB0CA5" w:rsidRDefault="008A34A7" w:rsidP="00D5541D">
            <w:pPr>
              <w:pStyle w:val="ColumnHeading"/>
              <w:keepNext/>
            </w:pPr>
            <w:r w:rsidRPr="00EB0CA5">
              <w:t>Tekst proponowany przez Komisję</w:t>
            </w:r>
          </w:p>
        </w:tc>
        <w:tc>
          <w:tcPr>
            <w:tcW w:w="4876" w:type="dxa"/>
          </w:tcPr>
          <w:p w14:paraId="5F2B889B" w14:textId="77777777" w:rsidR="008A34A7" w:rsidRPr="00EB0CA5" w:rsidRDefault="008A34A7" w:rsidP="00D5541D">
            <w:pPr>
              <w:pStyle w:val="ColumnHeading"/>
              <w:keepNext/>
            </w:pPr>
            <w:r w:rsidRPr="00EB0CA5">
              <w:t>Poprawka</w:t>
            </w:r>
          </w:p>
        </w:tc>
      </w:tr>
      <w:tr w:rsidR="00EB0CA5" w:rsidRPr="00EB0CA5" w14:paraId="50A7C280" w14:textId="77777777" w:rsidTr="00D5541D">
        <w:trPr>
          <w:jc w:val="center"/>
        </w:trPr>
        <w:tc>
          <w:tcPr>
            <w:tcW w:w="4876" w:type="dxa"/>
          </w:tcPr>
          <w:p w14:paraId="282E5ECC" w14:textId="77777777" w:rsidR="008A34A7" w:rsidRPr="00EB0CA5" w:rsidRDefault="008A34A7" w:rsidP="00D5541D">
            <w:pPr>
              <w:pStyle w:val="Normal6"/>
            </w:pPr>
            <w:r w:rsidRPr="00EB0CA5">
              <w:t>2.</w:t>
            </w:r>
            <w:r w:rsidRPr="00EB0CA5">
              <w:tab/>
              <w:t xml:space="preserve">Niniejsze rozporządzenie stosuje się od dnia </w:t>
            </w:r>
            <w:r w:rsidRPr="00EB0CA5">
              <w:rPr>
                <w:b/>
                <w:i/>
              </w:rPr>
              <w:t>1 stycznia 2019 r</w:t>
            </w:r>
            <w:r w:rsidRPr="00EB0CA5">
              <w:t>.</w:t>
            </w:r>
          </w:p>
        </w:tc>
        <w:tc>
          <w:tcPr>
            <w:tcW w:w="4876" w:type="dxa"/>
          </w:tcPr>
          <w:p w14:paraId="15F7709C" w14:textId="21726826" w:rsidR="008A34A7" w:rsidRPr="00EB0CA5" w:rsidRDefault="008A34A7" w:rsidP="00FA01C0">
            <w:pPr>
              <w:pStyle w:val="Normal6"/>
              <w:rPr>
                <w:szCs w:val="24"/>
              </w:rPr>
            </w:pPr>
            <w:r w:rsidRPr="00EB0CA5">
              <w:t>2.</w:t>
            </w:r>
            <w:r w:rsidRPr="00EB0CA5">
              <w:tab/>
              <w:t xml:space="preserve">Niniejsze rozporządzenie stosuje się od dnia </w:t>
            </w:r>
            <w:r w:rsidRPr="00EB0CA5">
              <w:rPr>
                <w:b/>
                <w:i/>
              </w:rPr>
              <w:t>[dzień przypadający rok po wejściu w życie niniejszego rozporządzenia]</w:t>
            </w:r>
            <w:r w:rsidRPr="00EB0CA5">
              <w:t>.</w:t>
            </w:r>
          </w:p>
        </w:tc>
      </w:tr>
    </w:tbl>
    <w:p w14:paraId="4EDD7A52" w14:textId="77777777" w:rsidR="008A34A7" w:rsidRPr="00EB0CA5" w:rsidRDefault="008A34A7" w:rsidP="008A34A7">
      <w:r w:rsidRPr="00EB0CA5">
        <w:rPr>
          <w:rStyle w:val="HideTWBExt"/>
          <w:noProof w:val="0"/>
          <w:color w:val="auto"/>
        </w:rPr>
        <w:t>&lt;/Amend&gt;</w:t>
      </w:r>
    </w:p>
    <w:p w14:paraId="7D385785" w14:textId="3D124542" w:rsidR="008A34A7" w:rsidRPr="00EB0CA5" w:rsidRDefault="008A34A7" w:rsidP="008A34A7">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47</w:t>
      </w:r>
      <w:r w:rsidRPr="00EB0CA5">
        <w:rPr>
          <w:rStyle w:val="HideTWBExt"/>
          <w:b w:val="0"/>
          <w:noProof w:val="0"/>
          <w:color w:val="auto"/>
        </w:rPr>
        <w:t>&lt;/NumAm&gt;</w:t>
      </w:r>
    </w:p>
    <w:p w14:paraId="758274D6" w14:textId="77777777" w:rsidR="008A34A7" w:rsidRPr="00EB0CA5" w:rsidRDefault="008A34A7" w:rsidP="008A34A7">
      <w:pPr>
        <w:pStyle w:val="NormalBold12b"/>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8C928C2" w14:textId="77777777" w:rsidR="008A34A7" w:rsidRPr="00EB0CA5" w:rsidRDefault="008A34A7" w:rsidP="008A34A7">
      <w:pPr>
        <w:pStyle w:val="NormalBold"/>
      </w:pPr>
      <w:r w:rsidRPr="00EB0CA5">
        <w:rPr>
          <w:rStyle w:val="HideTWBExt"/>
          <w:b w:val="0"/>
          <w:noProof w:val="0"/>
          <w:color w:val="auto"/>
        </w:rPr>
        <w:t>&lt;Article&gt;</w:t>
      </w:r>
      <w:r w:rsidRPr="00EB0CA5">
        <w:t>Artykuł 27 – ustęp 3</w:t>
      </w:r>
      <w:r w:rsidRPr="00EB0CA5">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B0CA5" w:rsidRPr="00EB0CA5" w14:paraId="11CBA500" w14:textId="77777777" w:rsidTr="00D5541D">
        <w:trPr>
          <w:jc w:val="center"/>
        </w:trPr>
        <w:tc>
          <w:tcPr>
            <w:tcW w:w="9752" w:type="dxa"/>
            <w:gridSpan w:val="2"/>
          </w:tcPr>
          <w:p w14:paraId="482D6D6C" w14:textId="77777777" w:rsidR="008A34A7" w:rsidRPr="00EB0CA5" w:rsidRDefault="008A34A7" w:rsidP="00D5541D">
            <w:pPr>
              <w:keepNext/>
            </w:pPr>
          </w:p>
        </w:tc>
      </w:tr>
      <w:tr w:rsidR="00EB0CA5" w:rsidRPr="00EB0CA5" w14:paraId="400F75E1" w14:textId="77777777" w:rsidTr="00D5541D">
        <w:trPr>
          <w:jc w:val="center"/>
        </w:trPr>
        <w:tc>
          <w:tcPr>
            <w:tcW w:w="4876" w:type="dxa"/>
          </w:tcPr>
          <w:p w14:paraId="4C859F88" w14:textId="77777777" w:rsidR="008A34A7" w:rsidRPr="00EB0CA5" w:rsidRDefault="008A34A7" w:rsidP="00D5541D">
            <w:pPr>
              <w:pStyle w:val="ColumnHeading"/>
              <w:keepNext/>
            </w:pPr>
            <w:r w:rsidRPr="00EB0CA5">
              <w:t>Tekst proponowany przez Komisję</w:t>
            </w:r>
          </w:p>
        </w:tc>
        <w:tc>
          <w:tcPr>
            <w:tcW w:w="4876" w:type="dxa"/>
          </w:tcPr>
          <w:p w14:paraId="3D45F687" w14:textId="77777777" w:rsidR="008A34A7" w:rsidRPr="00EB0CA5" w:rsidRDefault="008A34A7" w:rsidP="00D5541D">
            <w:pPr>
              <w:pStyle w:val="ColumnHeading"/>
              <w:keepNext/>
            </w:pPr>
            <w:r w:rsidRPr="00EB0CA5">
              <w:t>Poprawka</w:t>
            </w:r>
          </w:p>
        </w:tc>
      </w:tr>
      <w:tr w:rsidR="00EB0CA5" w:rsidRPr="00EB0CA5" w14:paraId="746D921F" w14:textId="77777777" w:rsidTr="00D5541D">
        <w:trPr>
          <w:jc w:val="center"/>
        </w:trPr>
        <w:tc>
          <w:tcPr>
            <w:tcW w:w="4876" w:type="dxa"/>
          </w:tcPr>
          <w:p w14:paraId="2C2A149A" w14:textId="77777777" w:rsidR="008A34A7" w:rsidRPr="00EB0CA5" w:rsidRDefault="008A34A7" w:rsidP="00D5541D">
            <w:pPr>
              <w:pStyle w:val="Normal6"/>
            </w:pPr>
            <w:r w:rsidRPr="00EB0CA5">
              <w:t>3.</w:t>
            </w:r>
            <w:r w:rsidRPr="00EB0CA5">
              <w:tab/>
              <w:t>Art.</w:t>
            </w:r>
            <w:r w:rsidRPr="00EB0CA5">
              <w:rPr>
                <w:b/>
                <w:i/>
              </w:rPr>
              <w:t> </w:t>
            </w:r>
            <w:r w:rsidRPr="00EB0CA5">
              <w:t xml:space="preserve">11–15 stosuje się jednak od dnia </w:t>
            </w:r>
            <w:r w:rsidRPr="00EB0CA5">
              <w:rPr>
                <w:b/>
                <w:i/>
              </w:rPr>
              <w:t>1 stycznia 2020 r</w:t>
            </w:r>
            <w:r w:rsidRPr="00EB0CA5">
              <w:t>.</w:t>
            </w:r>
          </w:p>
        </w:tc>
        <w:tc>
          <w:tcPr>
            <w:tcW w:w="4876" w:type="dxa"/>
          </w:tcPr>
          <w:p w14:paraId="656525F2" w14:textId="00F7CB73" w:rsidR="008A34A7" w:rsidRPr="00EB0CA5" w:rsidRDefault="008A34A7" w:rsidP="00FA01C0">
            <w:pPr>
              <w:pStyle w:val="Normal6"/>
              <w:rPr>
                <w:szCs w:val="24"/>
              </w:rPr>
            </w:pPr>
            <w:r w:rsidRPr="00EB0CA5">
              <w:t>3.</w:t>
            </w:r>
            <w:r w:rsidRPr="00EB0CA5">
              <w:tab/>
              <w:t>Art.</w:t>
            </w:r>
            <w:r w:rsidRPr="00EB0CA5">
              <w:rPr>
                <w:b/>
                <w:i/>
              </w:rPr>
              <w:t xml:space="preserve"> </w:t>
            </w:r>
            <w:r w:rsidRPr="00EB0CA5">
              <w:t xml:space="preserve">11–15 stosuje się jednak od dnia </w:t>
            </w:r>
            <w:r w:rsidRPr="00EB0CA5">
              <w:rPr>
                <w:b/>
                <w:i/>
              </w:rPr>
              <w:t>[dzień przypadający dwa lata po wejściu w życie niniejszego rozporządzenia]</w:t>
            </w:r>
            <w:r w:rsidRPr="00EB0CA5">
              <w:t>.</w:t>
            </w:r>
          </w:p>
        </w:tc>
      </w:tr>
    </w:tbl>
    <w:p w14:paraId="2A8BADF8" w14:textId="77777777" w:rsidR="008A34A7" w:rsidRPr="00EB0CA5" w:rsidRDefault="008A34A7" w:rsidP="008A34A7">
      <w:r w:rsidRPr="00EB0CA5">
        <w:rPr>
          <w:rStyle w:val="HideTWBExt"/>
          <w:noProof w:val="0"/>
          <w:color w:val="auto"/>
        </w:rPr>
        <w:t>&lt;/Amend&gt;</w:t>
      </w:r>
    </w:p>
    <w:p w14:paraId="2D746F71" w14:textId="0509A441" w:rsidR="004A4B31" w:rsidRPr="00EB0CA5" w:rsidRDefault="004A4B31" w:rsidP="004A4B31">
      <w:pPr>
        <w:pStyle w:val="AMNumberTabs"/>
        <w:keepNext/>
      </w:pPr>
      <w:r w:rsidRPr="00EB0CA5">
        <w:rPr>
          <w:rStyle w:val="HideTWBExt"/>
          <w:b w:val="0"/>
          <w:noProof w:val="0"/>
          <w:color w:val="auto"/>
        </w:rPr>
        <w:lastRenderedPageBreak/>
        <w:t>&lt;Amend&gt;</w:t>
      </w:r>
      <w:r w:rsidRPr="00EB0CA5">
        <w:t>Poprawka</w:t>
      </w:r>
      <w:r w:rsidRPr="00EB0CA5">
        <w:tab/>
      </w:r>
      <w:r w:rsidRPr="00EB0CA5">
        <w:tab/>
      </w:r>
      <w:r w:rsidRPr="00EB0CA5">
        <w:rPr>
          <w:rStyle w:val="HideTWBExt"/>
          <w:b w:val="0"/>
          <w:noProof w:val="0"/>
          <w:color w:val="auto"/>
        </w:rPr>
        <w:t>&lt;NumAm&gt;</w:t>
      </w:r>
      <w:r w:rsidRPr="00EB0CA5">
        <w:t>48</w:t>
      </w:r>
      <w:bookmarkStart w:id="3" w:name="_GoBack"/>
      <w:bookmarkEnd w:id="3"/>
      <w:r w:rsidRPr="00EB0CA5">
        <w:rPr>
          <w:rStyle w:val="HideTWBExt"/>
          <w:b w:val="0"/>
          <w:noProof w:val="0"/>
          <w:color w:val="auto"/>
        </w:rPr>
        <w:t>&lt;/NumAm&gt;</w:t>
      </w:r>
    </w:p>
    <w:p w14:paraId="66E41286" w14:textId="77777777" w:rsidR="004A4B31" w:rsidRPr="00EB0CA5" w:rsidRDefault="004A4B31" w:rsidP="004A4B31">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6A77BAA" w14:textId="77777777" w:rsidR="004A4B31" w:rsidRPr="00EB0CA5" w:rsidRDefault="004A4B31" w:rsidP="004A4B31">
      <w:pPr>
        <w:pStyle w:val="NormalBold"/>
      </w:pPr>
      <w:r w:rsidRPr="00EB0CA5">
        <w:rPr>
          <w:rStyle w:val="HideTWBExt"/>
          <w:b w:val="0"/>
          <w:noProof w:val="0"/>
          <w:color w:val="auto"/>
        </w:rPr>
        <w:t>&lt;Article&gt;</w:t>
      </w:r>
      <w:r w:rsidRPr="00EB0CA5">
        <w:t>Załącznik I – dziedzina 2 – wiersz 5 a (nowy)</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2977"/>
        <w:gridCol w:w="6775"/>
      </w:tblGrid>
      <w:tr w:rsidR="00EB0CA5" w:rsidRPr="00EB0CA5" w14:paraId="3F6F25F6" w14:textId="77777777" w:rsidTr="00055CE3">
        <w:trPr>
          <w:jc w:val="center"/>
        </w:trPr>
        <w:tc>
          <w:tcPr>
            <w:tcW w:w="9752" w:type="dxa"/>
            <w:gridSpan w:val="2"/>
          </w:tcPr>
          <w:p w14:paraId="77BA417C" w14:textId="77777777" w:rsidR="000F2C78" w:rsidRPr="00EB0CA5" w:rsidRDefault="000F2C78" w:rsidP="00055CE3">
            <w:pPr>
              <w:keepNext/>
            </w:pPr>
          </w:p>
        </w:tc>
      </w:tr>
      <w:tr w:rsidR="00EB0CA5" w:rsidRPr="00EB0CA5" w14:paraId="54E34AED" w14:textId="77777777" w:rsidTr="00055CE3">
        <w:trPr>
          <w:jc w:val="center"/>
        </w:trPr>
        <w:tc>
          <w:tcPr>
            <w:tcW w:w="9752" w:type="dxa"/>
            <w:gridSpan w:val="2"/>
            <w:tcBorders>
              <w:bottom w:val="single" w:sz="4" w:space="0" w:color="000000"/>
            </w:tcBorders>
          </w:tcPr>
          <w:p w14:paraId="26102835" w14:textId="77777777" w:rsidR="000F2C78" w:rsidRPr="00EB0CA5" w:rsidRDefault="000F2C78" w:rsidP="00055CE3">
            <w:pPr>
              <w:pStyle w:val="ColumnHeading"/>
              <w:keepNext/>
            </w:pPr>
            <w:r w:rsidRPr="00EB0CA5">
              <w:t>Tekst proponowany przez Komisję</w:t>
            </w:r>
          </w:p>
        </w:tc>
      </w:tr>
      <w:tr w:rsidR="00EB0CA5" w:rsidRPr="00EB0CA5" w14:paraId="4CD274F8" w14:textId="77777777" w:rsidTr="00055CE3">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EBE3F7D" w14:textId="77777777" w:rsidR="000F2C78" w:rsidRPr="00EB0CA5" w:rsidRDefault="000F2C78" w:rsidP="005707BD">
            <w:pPr>
              <w:pStyle w:val="Normal6"/>
            </w:pPr>
            <w:r w:rsidRPr="00EB0CA5">
              <w:t>Tematy</w:t>
            </w:r>
          </w:p>
        </w:tc>
        <w:tc>
          <w:tcPr>
            <w:tcW w:w="677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53966CA2" w14:textId="77777777" w:rsidR="000F2C78" w:rsidRPr="00EB0CA5" w:rsidRDefault="000F2C78" w:rsidP="005707BD">
            <w:pPr>
              <w:pStyle w:val="Normal6"/>
            </w:pPr>
            <w:r w:rsidRPr="00EB0CA5">
              <w:t>Tematy szczegółowe</w:t>
            </w:r>
          </w:p>
        </w:tc>
      </w:tr>
      <w:tr w:rsidR="00EB0CA5" w:rsidRPr="00EB0CA5" w14:paraId="239B056C" w14:textId="77777777" w:rsidTr="00055CE3">
        <w:trPr>
          <w:jc w:val="center"/>
        </w:trPr>
        <w:tc>
          <w:tcPr>
            <w:tcW w:w="9752" w:type="dxa"/>
            <w:gridSpan w:val="2"/>
            <w:tcBorders>
              <w:top w:val="single" w:sz="4" w:space="0" w:color="000000"/>
            </w:tcBorders>
          </w:tcPr>
          <w:p w14:paraId="40DE1A12" w14:textId="77777777" w:rsidR="000F2C78" w:rsidRPr="00EB0CA5" w:rsidRDefault="000F2C78" w:rsidP="00055CE3">
            <w:pPr>
              <w:pStyle w:val="ColumnHeading"/>
              <w:keepNext/>
              <w:jc w:val="left"/>
            </w:pPr>
          </w:p>
        </w:tc>
      </w:tr>
      <w:tr w:rsidR="00EB0CA5" w:rsidRPr="00EB0CA5" w14:paraId="658DC5C1" w14:textId="77777777" w:rsidTr="00055CE3">
        <w:trPr>
          <w:jc w:val="center"/>
        </w:trPr>
        <w:tc>
          <w:tcPr>
            <w:tcW w:w="9752" w:type="dxa"/>
            <w:gridSpan w:val="2"/>
            <w:tcBorders>
              <w:bottom w:val="single" w:sz="4" w:space="0" w:color="000000"/>
            </w:tcBorders>
            <w:hideMark/>
          </w:tcPr>
          <w:p w14:paraId="0D2BD4C2" w14:textId="77777777" w:rsidR="000F2C78" w:rsidRPr="00EB0CA5" w:rsidRDefault="000F2C78" w:rsidP="00055CE3">
            <w:pPr>
              <w:pStyle w:val="ColumnHeading"/>
              <w:keepNext/>
            </w:pPr>
            <w:r w:rsidRPr="00EB0CA5">
              <w:t>Poprawka</w:t>
            </w:r>
          </w:p>
        </w:tc>
      </w:tr>
      <w:tr w:rsidR="00EB0CA5" w:rsidRPr="00EB0CA5" w14:paraId="43234203" w14:textId="77777777" w:rsidTr="00055CE3">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AE86E8F" w14:textId="77777777" w:rsidR="000F2C78" w:rsidRPr="00EB0CA5" w:rsidRDefault="000F2C78" w:rsidP="005707BD">
            <w:pPr>
              <w:pStyle w:val="Normal6"/>
            </w:pPr>
            <w:r w:rsidRPr="00EB0CA5">
              <w:t>Tematy</w:t>
            </w:r>
          </w:p>
        </w:tc>
        <w:tc>
          <w:tcPr>
            <w:tcW w:w="677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1E61794" w14:textId="77777777" w:rsidR="000F2C78" w:rsidRPr="00EB0CA5" w:rsidRDefault="000F2C78" w:rsidP="005707BD">
            <w:pPr>
              <w:pStyle w:val="Normal6"/>
            </w:pPr>
            <w:r w:rsidRPr="00EB0CA5">
              <w:t>Tematy szczegółowe</w:t>
            </w:r>
          </w:p>
        </w:tc>
      </w:tr>
      <w:tr w:rsidR="00EB0CA5" w:rsidRPr="00EB0CA5" w14:paraId="39FBF86D" w14:textId="77777777" w:rsidTr="00055CE3">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14:paraId="3AA83E3D" w14:textId="77777777" w:rsidR="000F2C78" w:rsidRPr="00EB0CA5" w:rsidRDefault="000F2C78" w:rsidP="005707BD">
            <w:pPr>
              <w:pStyle w:val="Normal6"/>
            </w:pPr>
            <w:r w:rsidRPr="00EB0CA5">
              <w:rPr>
                <w:b/>
                <w:i/>
              </w:rPr>
              <w:t>Działalność finansowa</w:t>
            </w:r>
          </w:p>
        </w:tc>
        <w:tc>
          <w:tcPr>
            <w:tcW w:w="6775" w:type="dxa"/>
            <w:tcBorders>
              <w:top w:val="single" w:sz="4" w:space="0" w:color="000000"/>
              <w:left w:val="single" w:sz="4" w:space="0" w:color="auto"/>
              <w:bottom w:val="single" w:sz="4" w:space="0" w:color="000000"/>
              <w:right w:val="single" w:sz="4" w:space="0" w:color="auto"/>
            </w:tcBorders>
            <w:shd w:val="clear" w:color="auto" w:fill="auto"/>
          </w:tcPr>
          <w:p w14:paraId="63687922" w14:textId="77777777" w:rsidR="000F2C78" w:rsidRPr="00EB0CA5" w:rsidRDefault="000F2C78" w:rsidP="005707BD">
            <w:pPr>
              <w:pStyle w:val="Normal6"/>
            </w:pPr>
            <w:r w:rsidRPr="00EB0CA5">
              <w:rPr>
                <w:b/>
                <w:bCs/>
                <w:i/>
                <w:iCs/>
              </w:rPr>
              <w:t>Zysk netto przypisany akcjonariuszom</w:t>
            </w:r>
          </w:p>
        </w:tc>
      </w:tr>
      <w:tr w:rsidR="00EB0CA5" w:rsidRPr="00EB0CA5" w14:paraId="14AA1632" w14:textId="77777777" w:rsidTr="00055CE3">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14:paraId="127636BB" w14:textId="77777777" w:rsidR="000F2C78" w:rsidRPr="00EB0CA5" w:rsidRDefault="000F2C78" w:rsidP="00055CE3">
            <w:pPr>
              <w:pStyle w:val="Normal6"/>
              <w:ind w:left="-56"/>
            </w:pPr>
          </w:p>
        </w:tc>
        <w:tc>
          <w:tcPr>
            <w:tcW w:w="6775" w:type="dxa"/>
            <w:tcBorders>
              <w:top w:val="single" w:sz="4" w:space="0" w:color="000000"/>
              <w:left w:val="single" w:sz="4" w:space="0" w:color="auto"/>
              <w:bottom w:val="single" w:sz="4" w:space="0" w:color="000000"/>
              <w:right w:val="single" w:sz="4" w:space="0" w:color="auto"/>
            </w:tcBorders>
            <w:shd w:val="clear" w:color="auto" w:fill="auto"/>
          </w:tcPr>
          <w:p w14:paraId="5C1E6233" w14:textId="77777777" w:rsidR="000F2C78" w:rsidRPr="00EB0CA5" w:rsidRDefault="000F2C78" w:rsidP="005707BD">
            <w:pPr>
              <w:pStyle w:val="Normal6"/>
            </w:pPr>
            <w:r w:rsidRPr="00EB0CA5">
              <w:rPr>
                <w:b/>
                <w:bCs/>
                <w:i/>
                <w:iCs/>
              </w:rPr>
              <w:t>Zysk na jedną akcję</w:t>
            </w:r>
          </w:p>
        </w:tc>
      </w:tr>
      <w:tr w:rsidR="00EB0CA5" w:rsidRPr="00EB0CA5" w14:paraId="3E5E0F8E" w14:textId="77777777" w:rsidTr="00055CE3">
        <w:trPr>
          <w:jc w:val="center"/>
        </w:trPr>
        <w:tc>
          <w:tcPr>
            <w:tcW w:w="2977" w:type="dxa"/>
            <w:tcBorders>
              <w:top w:val="single" w:sz="4" w:space="0" w:color="000000"/>
              <w:left w:val="single" w:sz="4" w:space="0" w:color="auto"/>
              <w:bottom w:val="single" w:sz="4" w:space="0" w:color="000000"/>
              <w:right w:val="single" w:sz="4" w:space="0" w:color="auto"/>
            </w:tcBorders>
            <w:shd w:val="clear" w:color="auto" w:fill="auto"/>
          </w:tcPr>
          <w:p w14:paraId="5C224392" w14:textId="77777777" w:rsidR="000F2C78" w:rsidRPr="00EB0CA5" w:rsidRDefault="000F2C78" w:rsidP="00055CE3">
            <w:pPr>
              <w:pStyle w:val="Normal6"/>
              <w:ind w:left="-56"/>
            </w:pPr>
          </w:p>
        </w:tc>
        <w:tc>
          <w:tcPr>
            <w:tcW w:w="6775" w:type="dxa"/>
            <w:tcBorders>
              <w:top w:val="single" w:sz="4" w:space="0" w:color="000000"/>
              <w:left w:val="single" w:sz="4" w:space="0" w:color="auto"/>
              <w:bottom w:val="single" w:sz="4" w:space="0" w:color="000000"/>
              <w:right w:val="single" w:sz="4" w:space="0" w:color="auto"/>
            </w:tcBorders>
            <w:shd w:val="clear" w:color="auto" w:fill="auto"/>
          </w:tcPr>
          <w:p w14:paraId="298715DA" w14:textId="77777777" w:rsidR="000F2C78" w:rsidRPr="00EB0CA5" w:rsidRDefault="000F2C78" w:rsidP="005707BD">
            <w:pPr>
              <w:pStyle w:val="Normal6"/>
            </w:pPr>
            <w:r w:rsidRPr="00EB0CA5">
              <w:rPr>
                <w:b/>
                <w:bCs/>
                <w:i/>
                <w:iCs/>
              </w:rPr>
              <w:t>Stopa zwrotu z kapitału własnego</w:t>
            </w:r>
          </w:p>
        </w:tc>
      </w:tr>
    </w:tbl>
    <w:p w14:paraId="73C6C383" w14:textId="77777777" w:rsidR="00055CE3" w:rsidRPr="00EB0CA5" w:rsidRDefault="00055CE3" w:rsidP="00055CE3">
      <w:pPr>
        <w:rPr>
          <w:szCs w:val="24"/>
        </w:rPr>
      </w:pPr>
      <w:r w:rsidRPr="00EB0CA5">
        <w:rPr>
          <w:rStyle w:val="HideTWBExt"/>
          <w:noProof w:val="0"/>
          <w:color w:val="auto"/>
        </w:rPr>
        <w:t>&lt;/Amend&gt;</w:t>
      </w:r>
    </w:p>
    <w:p w14:paraId="2A3E334D" w14:textId="5A5654EA" w:rsidR="00892E99" w:rsidRPr="00EB0CA5" w:rsidRDefault="00892E99" w:rsidP="00892E99">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49</w:t>
      </w:r>
      <w:r w:rsidRPr="00EB0CA5">
        <w:rPr>
          <w:rStyle w:val="HideTWBExt"/>
          <w:b w:val="0"/>
          <w:noProof w:val="0"/>
          <w:color w:val="auto"/>
        </w:rPr>
        <w:t>&lt;/NumAm&gt;</w:t>
      </w:r>
    </w:p>
    <w:p w14:paraId="04A65118" w14:textId="77777777" w:rsidR="005607D3" w:rsidRPr="00EB0CA5" w:rsidRDefault="005607D3" w:rsidP="005607D3">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B81C87A" w14:textId="565C1AAE" w:rsidR="005607D3" w:rsidRPr="00EB0CA5" w:rsidRDefault="005607D3" w:rsidP="005607D3">
      <w:pPr>
        <w:pStyle w:val="NormalBold"/>
      </w:pPr>
      <w:r w:rsidRPr="00EB0CA5">
        <w:rPr>
          <w:rStyle w:val="HideTWBExt"/>
          <w:b w:val="0"/>
          <w:noProof w:val="0"/>
          <w:color w:val="auto"/>
        </w:rPr>
        <w:t>&lt;Article&gt;</w:t>
      </w:r>
      <w:r w:rsidRPr="00EB0CA5">
        <w:t>Załącznik I – dziedzina 2 – wiersz 8 a (nowy)</w:t>
      </w:r>
      <w:r w:rsidRPr="00EB0CA5">
        <w:rPr>
          <w:rStyle w:val="HideTWBExt"/>
          <w:b w:val="0"/>
          <w:noProof w:val="0"/>
          <w:color w:val="auto"/>
        </w:rPr>
        <w:t>&lt;/Article&gt;</w:t>
      </w:r>
    </w:p>
    <w:tbl>
      <w:tblPr>
        <w:tblW w:w="9614" w:type="dxa"/>
        <w:jc w:val="center"/>
        <w:tblLayout w:type="fixed"/>
        <w:tblCellMar>
          <w:left w:w="340" w:type="dxa"/>
          <w:right w:w="340" w:type="dxa"/>
        </w:tblCellMar>
        <w:tblLook w:val="04A0" w:firstRow="1" w:lastRow="0" w:firstColumn="1" w:lastColumn="0" w:noHBand="0" w:noVBand="1"/>
      </w:tblPr>
      <w:tblGrid>
        <w:gridCol w:w="48"/>
        <w:gridCol w:w="2879"/>
        <w:gridCol w:w="24"/>
        <w:gridCol w:w="6609"/>
        <w:gridCol w:w="29"/>
        <w:gridCol w:w="25"/>
      </w:tblGrid>
      <w:tr w:rsidR="00EB0CA5" w:rsidRPr="00EB0CA5" w14:paraId="69BC5CA0" w14:textId="77777777" w:rsidTr="00C27E5E">
        <w:trPr>
          <w:gridAfter w:val="2"/>
          <w:wAfter w:w="54" w:type="dxa"/>
          <w:jc w:val="center"/>
        </w:trPr>
        <w:tc>
          <w:tcPr>
            <w:tcW w:w="9560" w:type="dxa"/>
            <w:gridSpan w:val="4"/>
          </w:tcPr>
          <w:p w14:paraId="65222398" w14:textId="77777777" w:rsidR="00895F0C" w:rsidRPr="00EB0CA5" w:rsidRDefault="00895F0C" w:rsidP="008A3424">
            <w:pPr>
              <w:keepNext/>
            </w:pPr>
          </w:p>
        </w:tc>
      </w:tr>
      <w:tr w:rsidR="00EB0CA5" w:rsidRPr="00EB0CA5" w14:paraId="2CB0FEFC" w14:textId="77777777" w:rsidTr="00C27E5E">
        <w:trPr>
          <w:gridAfter w:val="2"/>
          <w:wAfter w:w="54" w:type="dxa"/>
          <w:jc w:val="center"/>
        </w:trPr>
        <w:tc>
          <w:tcPr>
            <w:tcW w:w="9560" w:type="dxa"/>
            <w:gridSpan w:val="4"/>
            <w:tcBorders>
              <w:bottom w:val="single" w:sz="4" w:space="0" w:color="auto"/>
            </w:tcBorders>
            <w:hideMark/>
          </w:tcPr>
          <w:p w14:paraId="7A3A613B" w14:textId="77777777" w:rsidR="00895F0C" w:rsidRPr="00EB0CA5" w:rsidRDefault="00895F0C" w:rsidP="008A3424">
            <w:pPr>
              <w:pStyle w:val="ColumnHeading"/>
              <w:keepNext/>
            </w:pPr>
            <w:r w:rsidRPr="00EB0CA5">
              <w:t>Tekst proponowany przez Komisję</w:t>
            </w:r>
          </w:p>
        </w:tc>
      </w:tr>
      <w:tr w:rsidR="00EB0CA5" w:rsidRPr="00EB0CA5" w14:paraId="578143F7" w14:textId="77777777" w:rsidTr="00C27E5E">
        <w:tblPrEx>
          <w:jc w:val="left"/>
          <w:tblCellMar>
            <w:left w:w="108" w:type="dxa"/>
            <w:right w:w="108" w:type="dxa"/>
          </w:tblCellMar>
        </w:tblPrEx>
        <w:trPr>
          <w:gridAfter w:val="1"/>
          <w:wAfter w:w="25" w:type="dxa"/>
        </w:trPr>
        <w:tc>
          <w:tcPr>
            <w:tcW w:w="292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32C86A" w14:textId="77777777" w:rsidR="00895F0C" w:rsidRPr="00EB0CA5" w:rsidRDefault="00895F0C" w:rsidP="005707BD">
            <w:pPr>
              <w:pStyle w:val="Normal6"/>
            </w:pPr>
            <w:r w:rsidRPr="00EB0CA5">
              <w:t>Tematy</w:t>
            </w:r>
          </w:p>
        </w:tc>
        <w:tc>
          <w:tcPr>
            <w:tcW w:w="6662" w:type="dxa"/>
            <w:gridSpan w:val="3"/>
            <w:tcBorders>
              <w:top w:val="single" w:sz="4" w:space="0" w:color="auto"/>
              <w:left w:val="nil"/>
              <w:bottom w:val="single" w:sz="4" w:space="0" w:color="auto"/>
              <w:right w:val="single" w:sz="4" w:space="0" w:color="auto"/>
            </w:tcBorders>
            <w:shd w:val="clear" w:color="auto" w:fill="D9D9D9"/>
            <w:hideMark/>
          </w:tcPr>
          <w:p w14:paraId="403F4D32" w14:textId="77777777" w:rsidR="00895F0C" w:rsidRPr="00EB0CA5" w:rsidRDefault="00895F0C" w:rsidP="008A3424">
            <w:pPr>
              <w:pStyle w:val="Normal6"/>
            </w:pPr>
            <w:r w:rsidRPr="00EB0CA5">
              <w:t>Tematy szczegółowe</w:t>
            </w:r>
          </w:p>
        </w:tc>
      </w:tr>
      <w:tr w:rsidR="00EB0CA5" w:rsidRPr="00EB0CA5" w14:paraId="040DEAB0" w14:textId="77777777" w:rsidTr="00C27E5E">
        <w:trPr>
          <w:gridAfter w:val="2"/>
          <w:wAfter w:w="54" w:type="dxa"/>
          <w:jc w:val="center"/>
        </w:trPr>
        <w:tc>
          <w:tcPr>
            <w:tcW w:w="9560" w:type="dxa"/>
            <w:gridSpan w:val="4"/>
          </w:tcPr>
          <w:p w14:paraId="15193B8A" w14:textId="77777777" w:rsidR="00895F0C" w:rsidRPr="00EB0CA5" w:rsidRDefault="00895F0C" w:rsidP="008A3424">
            <w:pPr>
              <w:keepNext/>
            </w:pPr>
          </w:p>
        </w:tc>
      </w:tr>
      <w:tr w:rsidR="00EB0CA5" w:rsidRPr="00EB0CA5" w14:paraId="4FCC754F" w14:textId="77777777" w:rsidTr="00C27E5E">
        <w:trPr>
          <w:gridAfter w:val="2"/>
          <w:wAfter w:w="54" w:type="dxa"/>
          <w:jc w:val="center"/>
        </w:trPr>
        <w:tc>
          <w:tcPr>
            <w:tcW w:w="9560" w:type="dxa"/>
            <w:gridSpan w:val="4"/>
            <w:hideMark/>
          </w:tcPr>
          <w:p w14:paraId="24F11557" w14:textId="77777777" w:rsidR="00895F0C" w:rsidRPr="00EB0CA5" w:rsidRDefault="00895F0C" w:rsidP="008A3424">
            <w:pPr>
              <w:pStyle w:val="ColumnHeading"/>
              <w:keepNext/>
            </w:pPr>
            <w:r w:rsidRPr="00EB0CA5">
              <w:t>Poprawka</w:t>
            </w:r>
          </w:p>
        </w:tc>
      </w:tr>
      <w:tr w:rsidR="00EB0CA5" w:rsidRPr="00EB0CA5" w14:paraId="146398F2" w14:textId="77777777" w:rsidTr="00C27E5E">
        <w:tblPrEx>
          <w:jc w:val="left"/>
          <w:tblCellMar>
            <w:left w:w="108" w:type="dxa"/>
            <w:right w:w="108" w:type="dxa"/>
          </w:tblCellMar>
        </w:tblPrEx>
        <w:trPr>
          <w:gridBefore w:val="1"/>
          <w:wBefore w:w="48" w:type="dxa"/>
        </w:trPr>
        <w:tc>
          <w:tcPr>
            <w:tcW w:w="290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BD3535" w14:textId="77777777" w:rsidR="00895F0C" w:rsidRPr="00EB0CA5" w:rsidRDefault="00895F0C" w:rsidP="005707BD">
            <w:pPr>
              <w:pStyle w:val="Normal6"/>
            </w:pPr>
            <w:r w:rsidRPr="00EB0CA5">
              <w:t>Tematy</w:t>
            </w:r>
          </w:p>
        </w:tc>
        <w:tc>
          <w:tcPr>
            <w:tcW w:w="6663" w:type="dxa"/>
            <w:gridSpan w:val="3"/>
            <w:tcBorders>
              <w:top w:val="single" w:sz="4" w:space="0" w:color="auto"/>
              <w:left w:val="nil"/>
              <w:bottom w:val="single" w:sz="4" w:space="0" w:color="auto"/>
              <w:right w:val="single" w:sz="4" w:space="0" w:color="auto"/>
            </w:tcBorders>
            <w:shd w:val="clear" w:color="auto" w:fill="D9D9D9"/>
            <w:hideMark/>
          </w:tcPr>
          <w:p w14:paraId="02AF2679" w14:textId="77777777" w:rsidR="00895F0C" w:rsidRPr="00EB0CA5" w:rsidRDefault="00895F0C" w:rsidP="008A3424">
            <w:pPr>
              <w:pStyle w:val="Normal6"/>
            </w:pPr>
            <w:r w:rsidRPr="00EB0CA5">
              <w:t>Tematy szczegółowe</w:t>
            </w:r>
          </w:p>
        </w:tc>
      </w:tr>
      <w:tr w:rsidR="00EB0CA5" w:rsidRPr="00EB0CA5" w14:paraId="3201C0AE" w14:textId="77777777" w:rsidTr="00C27E5E">
        <w:tblPrEx>
          <w:jc w:val="left"/>
          <w:tblCellMar>
            <w:left w:w="108" w:type="dxa"/>
            <w:right w:w="108" w:type="dxa"/>
          </w:tblCellMar>
        </w:tblPrEx>
        <w:trPr>
          <w:gridBefore w:val="1"/>
          <w:wBefore w:w="48" w:type="dxa"/>
        </w:trPr>
        <w:tc>
          <w:tcPr>
            <w:tcW w:w="2903" w:type="dxa"/>
            <w:gridSpan w:val="2"/>
            <w:tcBorders>
              <w:top w:val="single" w:sz="4" w:space="0" w:color="auto"/>
              <w:left w:val="single" w:sz="4" w:space="0" w:color="auto"/>
              <w:bottom w:val="single" w:sz="4" w:space="0" w:color="auto"/>
              <w:right w:val="single" w:sz="4" w:space="0" w:color="auto"/>
            </w:tcBorders>
            <w:hideMark/>
          </w:tcPr>
          <w:p w14:paraId="4BEF3D1B" w14:textId="77777777" w:rsidR="00895F0C" w:rsidRPr="00EB0CA5" w:rsidRDefault="00895F0C" w:rsidP="005707BD">
            <w:pPr>
              <w:pStyle w:val="Normal6"/>
              <w:rPr>
                <w:b/>
                <w:bCs/>
                <w:i/>
                <w:iCs/>
              </w:rPr>
            </w:pPr>
            <w:r w:rsidRPr="00EB0CA5">
              <w:rPr>
                <w:b/>
                <w:bCs/>
                <w:i/>
                <w:iCs/>
              </w:rPr>
              <w:t>Ochrona środowiska i klimat</w:t>
            </w:r>
          </w:p>
        </w:tc>
        <w:tc>
          <w:tcPr>
            <w:tcW w:w="6663" w:type="dxa"/>
            <w:gridSpan w:val="3"/>
            <w:tcBorders>
              <w:top w:val="single" w:sz="4" w:space="0" w:color="auto"/>
              <w:left w:val="nil"/>
              <w:bottom w:val="single" w:sz="4" w:space="0" w:color="auto"/>
              <w:right w:val="single" w:sz="4" w:space="0" w:color="auto"/>
            </w:tcBorders>
            <w:hideMark/>
          </w:tcPr>
          <w:p w14:paraId="34080056" w14:textId="77777777" w:rsidR="00895F0C" w:rsidRPr="00EB0CA5" w:rsidRDefault="00895F0C" w:rsidP="008A3424">
            <w:pPr>
              <w:pStyle w:val="Normal6"/>
              <w:rPr>
                <w:b/>
                <w:bCs/>
                <w:i/>
                <w:iCs/>
              </w:rPr>
            </w:pPr>
            <w:r w:rsidRPr="00EB0CA5">
              <w:rPr>
                <w:b/>
                <w:bCs/>
                <w:i/>
                <w:iCs/>
              </w:rPr>
              <w:t>Otrzymane/sprzedane uprawnienia do emisji CO</w:t>
            </w:r>
            <w:r w:rsidRPr="00EB0CA5">
              <w:rPr>
                <w:b/>
                <w:bCs/>
                <w:i/>
                <w:iCs/>
                <w:vertAlign w:val="subscript"/>
              </w:rPr>
              <w:t>2</w:t>
            </w:r>
          </w:p>
        </w:tc>
      </w:tr>
    </w:tbl>
    <w:p w14:paraId="02E6C614" w14:textId="77777777" w:rsidR="00895F0C" w:rsidRPr="00EB0CA5" w:rsidRDefault="00895F0C" w:rsidP="00895F0C">
      <w:pPr>
        <w:rPr>
          <w:szCs w:val="24"/>
        </w:rPr>
      </w:pPr>
      <w:r w:rsidRPr="00EB0CA5">
        <w:rPr>
          <w:rStyle w:val="HideTWBExt"/>
          <w:noProof w:val="0"/>
          <w:color w:val="auto"/>
        </w:rPr>
        <w:t>&lt;/Amend&gt;</w:t>
      </w:r>
    </w:p>
    <w:p w14:paraId="5E4F1FC4" w14:textId="02D97B22" w:rsidR="0076058A" w:rsidRPr="00EB0CA5" w:rsidRDefault="0076058A" w:rsidP="0076058A">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50</w:t>
      </w:r>
      <w:r w:rsidRPr="00EB0CA5">
        <w:rPr>
          <w:rStyle w:val="HideTWBExt"/>
          <w:b w:val="0"/>
          <w:noProof w:val="0"/>
          <w:color w:val="auto"/>
        </w:rPr>
        <w:t>&lt;/NumAm&gt;</w:t>
      </w:r>
    </w:p>
    <w:p w14:paraId="1C828483" w14:textId="77777777" w:rsidR="0076058A" w:rsidRPr="00EB0CA5" w:rsidRDefault="0076058A" w:rsidP="0076058A">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622550E" w14:textId="3FA60D81" w:rsidR="0076058A" w:rsidRPr="00EB0CA5" w:rsidRDefault="0076058A" w:rsidP="0076058A">
      <w:pPr>
        <w:pStyle w:val="NormalBold"/>
      </w:pPr>
      <w:r w:rsidRPr="00EB0CA5">
        <w:rPr>
          <w:rStyle w:val="HideTWBExt"/>
          <w:b w:val="0"/>
          <w:noProof w:val="0"/>
          <w:color w:val="auto"/>
        </w:rPr>
        <w:t>&lt;Article&gt;</w:t>
      </w:r>
      <w:r w:rsidRPr="00EB0CA5">
        <w:t>Załącznik II – dziedzina 1 – wiersz 4</w:t>
      </w:r>
      <w:r w:rsidRPr="00EB0CA5">
        <w:rPr>
          <w:rStyle w:val="HideTWBExt"/>
          <w:b w:val="0"/>
          <w:noProof w:val="0"/>
          <w:color w:val="auto"/>
        </w:rPr>
        <w:t>&lt;/Article&gt;</w:t>
      </w:r>
    </w:p>
    <w:tbl>
      <w:tblPr>
        <w:tblW w:w="9781" w:type="dxa"/>
        <w:jc w:val="center"/>
        <w:tblLayout w:type="fixed"/>
        <w:tblCellMar>
          <w:left w:w="340" w:type="dxa"/>
          <w:right w:w="340" w:type="dxa"/>
        </w:tblCellMar>
        <w:tblLook w:val="04A0" w:firstRow="1" w:lastRow="0" w:firstColumn="1" w:lastColumn="0" w:noHBand="0" w:noVBand="1"/>
      </w:tblPr>
      <w:tblGrid>
        <w:gridCol w:w="3143"/>
        <w:gridCol w:w="33"/>
        <w:gridCol w:w="6576"/>
        <w:gridCol w:w="29"/>
      </w:tblGrid>
      <w:tr w:rsidR="00EB0CA5" w:rsidRPr="00EB0CA5" w14:paraId="0B62A6BB" w14:textId="77777777" w:rsidTr="005707BD">
        <w:trPr>
          <w:gridAfter w:val="1"/>
          <w:wAfter w:w="29" w:type="dxa"/>
          <w:jc w:val="center"/>
        </w:trPr>
        <w:tc>
          <w:tcPr>
            <w:tcW w:w="9752" w:type="dxa"/>
            <w:gridSpan w:val="3"/>
          </w:tcPr>
          <w:p w14:paraId="7E25CE27" w14:textId="77777777" w:rsidR="0076058A" w:rsidRPr="00EB0CA5" w:rsidRDefault="0076058A" w:rsidP="008A3424">
            <w:pPr>
              <w:keepNext/>
            </w:pPr>
          </w:p>
        </w:tc>
      </w:tr>
      <w:tr w:rsidR="00EB0CA5" w:rsidRPr="00EB0CA5" w14:paraId="24E1477D" w14:textId="77777777" w:rsidTr="005707BD">
        <w:trPr>
          <w:gridAfter w:val="1"/>
          <w:wAfter w:w="29" w:type="dxa"/>
          <w:jc w:val="center"/>
        </w:trPr>
        <w:tc>
          <w:tcPr>
            <w:tcW w:w="9752" w:type="dxa"/>
            <w:gridSpan w:val="3"/>
            <w:tcBorders>
              <w:bottom w:val="single" w:sz="4" w:space="0" w:color="auto"/>
            </w:tcBorders>
            <w:hideMark/>
          </w:tcPr>
          <w:p w14:paraId="62A31173" w14:textId="77777777" w:rsidR="0076058A" w:rsidRPr="00EB0CA5" w:rsidRDefault="0076058A" w:rsidP="008A3424">
            <w:pPr>
              <w:pStyle w:val="ColumnHeading"/>
              <w:keepNext/>
            </w:pPr>
            <w:r w:rsidRPr="00EB0CA5">
              <w:t>Tekst proponowany przez Komisję</w:t>
            </w:r>
          </w:p>
        </w:tc>
      </w:tr>
      <w:tr w:rsidR="00EB0CA5" w:rsidRPr="00EB0CA5" w14:paraId="31395604" w14:textId="77777777" w:rsidTr="005707BD">
        <w:trPr>
          <w:jc w:val="center"/>
        </w:trPr>
        <w:tc>
          <w:tcPr>
            <w:tcW w:w="3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050A9" w14:textId="77777777" w:rsidR="0076058A" w:rsidRPr="00EB0CA5" w:rsidRDefault="0076058A" w:rsidP="005707BD">
            <w:pPr>
              <w:pStyle w:val="Normal6"/>
            </w:pPr>
            <w:r w:rsidRPr="00EB0CA5">
              <w:t>Tematy</w:t>
            </w:r>
          </w:p>
        </w:tc>
        <w:tc>
          <w:tcPr>
            <w:tcW w:w="66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363D2" w14:textId="77777777" w:rsidR="0076058A" w:rsidRPr="00EB0CA5" w:rsidRDefault="0076058A" w:rsidP="005707BD">
            <w:pPr>
              <w:pStyle w:val="Normal6"/>
            </w:pPr>
            <w:r w:rsidRPr="00EB0CA5">
              <w:t>Częstotliwość</w:t>
            </w:r>
          </w:p>
        </w:tc>
      </w:tr>
      <w:tr w:rsidR="00EB0CA5" w:rsidRPr="00EB0CA5" w14:paraId="16E65433" w14:textId="77777777" w:rsidTr="005707BD">
        <w:trPr>
          <w:jc w:val="center"/>
        </w:trPr>
        <w:tc>
          <w:tcPr>
            <w:tcW w:w="3143" w:type="dxa"/>
            <w:tcBorders>
              <w:top w:val="single" w:sz="4" w:space="0" w:color="auto"/>
              <w:left w:val="single" w:sz="4" w:space="0" w:color="auto"/>
              <w:bottom w:val="single" w:sz="4" w:space="0" w:color="auto"/>
              <w:right w:val="single" w:sz="4" w:space="0" w:color="auto"/>
            </w:tcBorders>
          </w:tcPr>
          <w:p w14:paraId="7FA5B26A" w14:textId="77777777" w:rsidR="0076058A" w:rsidRPr="00EB0CA5" w:rsidRDefault="0076058A" w:rsidP="005707BD">
            <w:pPr>
              <w:pStyle w:val="Normal6"/>
            </w:pPr>
            <w:r w:rsidRPr="00EB0CA5">
              <w:t>Produkcja i wyniki działalności</w:t>
            </w:r>
          </w:p>
        </w:tc>
        <w:tc>
          <w:tcPr>
            <w:tcW w:w="6638" w:type="dxa"/>
            <w:gridSpan w:val="3"/>
            <w:tcBorders>
              <w:top w:val="single" w:sz="4" w:space="0" w:color="auto"/>
              <w:left w:val="single" w:sz="4" w:space="0" w:color="auto"/>
              <w:bottom w:val="single" w:sz="4" w:space="0" w:color="auto"/>
              <w:right w:val="single" w:sz="4" w:space="0" w:color="auto"/>
            </w:tcBorders>
          </w:tcPr>
          <w:p w14:paraId="12BA79FB" w14:textId="77777777" w:rsidR="0076058A" w:rsidRPr="00EB0CA5" w:rsidRDefault="0076058A" w:rsidP="005707BD">
            <w:pPr>
              <w:pStyle w:val="Normal6"/>
            </w:pPr>
            <w:r w:rsidRPr="00EB0CA5">
              <w:t>miesięcznie; kwartalnie w przypadku małych krajów, dla sekcji F klasyfikacji NACE</w:t>
            </w:r>
          </w:p>
        </w:tc>
      </w:tr>
      <w:tr w:rsidR="00EB0CA5" w:rsidRPr="00EB0CA5" w14:paraId="2982425B" w14:textId="77777777" w:rsidTr="005707BD">
        <w:trPr>
          <w:gridAfter w:val="1"/>
          <w:wAfter w:w="29" w:type="dxa"/>
          <w:jc w:val="center"/>
        </w:trPr>
        <w:tc>
          <w:tcPr>
            <w:tcW w:w="9752" w:type="dxa"/>
            <w:gridSpan w:val="3"/>
            <w:tcBorders>
              <w:top w:val="single" w:sz="4" w:space="0" w:color="auto"/>
            </w:tcBorders>
          </w:tcPr>
          <w:p w14:paraId="1D38DCFB" w14:textId="77777777" w:rsidR="0076058A" w:rsidRPr="00EB0CA5" w:rsidRDefault="0076058A" w:rsidP="008A3424">
            <w:pPr>
              <w:keepNext/>
            </w:pPr>
          </w:p>
        </w:tc>
      </w:tr>
      <w:tr w:rsidR="00EB0CA5" w:rsidRPr="00EB0CA5" w14:paraId="5FDD6241" w14:textId="77777777" w:rsidTr="005707BD">
        <w:trPr>
          <w:gridAfter w:val="1"/>
          <w:wAfter w:w="29" w:type="dxa"/>
          <w:jc w:val="center"/>
        </w:trPr>
        <w:tc>
          <w:tcPr>
            <w:tcW w:w="9752" w:type="dxa"/>
            <w:gridSpan w:val="3"/>
            <w:tcBorders>
              <w:bottom w:val="single" w:sz="4" w:space="0" w:color="auto"/>
            </w:tcBorders>
            <w:hideMark/>
          </w:tcPr>
          <w:p w14:paraId="0538673E" w14:textId="77777777" w:rsidR="0076058A" w:rsidRPr="00EB0CA5" w:rsidRDefault="0076058A" w:rsidP="008A3424">
            <w:pPr>
              <w:pStyle w:val="ColumnHeading"/>
              <w:keepNext/>
            </w:pPr>
            <w:r w:rsidRPr="00EB0CA5">
              <w:t>Poprawka</w:t>
            </w:r>
          </w:p>
        </w:tc>
      </w:tr>
      <w:tr w:rsidR="00EB0CA5" w:rsidRPr="00EB0CA5" w14:paraId="11B4165B" w14:textId="77777777" w:rsidTr="005707BD">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F4250" w14:textId="77777777" w:rsidR="0076058A" w:rsidRPr="00EB0CA5" w:rsidRDefault="0076058A"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FC3B7" w14:textId="77777777" w:rsidR="0076058A" w:rsidRPr="00EB0CA5" w:rsidRDefault="0076058A" w:rsidP="005707BD">
            <w:pPr>
              <w:pStyle w:val="Normal6"/>
            </w:pPr>
            <w:r w:rsidRPr="00EB0CA5">
              <w:t>Częstotliwość</w:t>
            </w:r>
          </w:p>
        </w:tc>
      </w:tr>
      <w:tr w:rsidR="00EB0CA5" w:rsidRPr="00EB0CA5" w14:paraId="3576BB58" w14:textId="77777777" w:rsidTr="005707BD">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tcPr>
          <w:p w14:paraId="44CA507D" w14:textId="77777777" w:rsidR="0076058A" w:rsidRPr="00EB0CA5" w:rsidRDefault="0076058A" w:rsidP="005707BD">
            <w:pPr>
              <w:pStyle w:val="Normal6"/>
            </w:pPr>
            <w:r w:rsidRPr="00EB0CA5">
              <w:t>Produkcja i wyniki działalności</w:t>
            </w:r>
          </w:p>
        </w:tc>
        <w:tc>
          <w:tcPr>
            <w:tcW w:w="6576" w:type="dxa"/>
            <w:tcBorders>
              <w:top w:val="single" w:sz="4" w:space="0" w:color="auto"/>
              <w:left w:val="single" w:sz="4" w:space="0" w:color="auto"/>
              <w:bottom w:val="single" w:sz="4" w:space="0" w:color="auto"/>
              <w:right w:val="single" w:sz="4" w:space="0" w:color="auto"/>
            </w:tcBorders>
          </w:tcPr>
          <w:p w14:paraId="207EA46D" w14:textId="77777777" w:rsidR="0076058A" w:rsidRPr="00EB0CA5" w:rsidRDefault="0076058A" w:rsidP="005707BD">
            <w:pPr>
              <w:pStyle w:val="Normal6"/>
            </w:pPr>
            <w:r w:rsidRPr="00EB0CA5">
              <w:t>miesięcznie; kwartalnie w przypadku małych</w:t>
            </w:r>
            <w:r w:rsidRPr="00EB0CA5">
              <w:rPr>
                <w:i/>
              </w:rPr>
              <w:t>*</w:t>
            </w:r>
            <w:r w:rsidRPr="00EB0CA5">
              <w:t xml:space="preserve"> krajów, dla sekcji F klasyfikacji NACE</w:t>
            </w:r>
          </w:p>
        </w:tc>
      </w:tr>
      <w:tr w:rsidR="00EB0CA5" w:rsidRPr="00EB0CA5" w14:paraId="1B4CB6E4" w14:textId="77777777" w:rsidTr="005707BD">
        <w:trPr>
          <w:gridAfter w:val="1"/>
          <w:wAfter w:w="29" w:type="dxa"/>
          <w:jc w:val="center"/>
        </w:trPr>
        <w:tc>
          <w:tcPr>
            <w:tcW w:w="3176" w:type="dxa"/>
            <w:gridSpan w:val="2"/>
            <w:tcBorders>
              <w:top w:val="single" w:sz="4" w:space="0" w:color="auto"/>
              <w:left w:val="single" w:sz="4" w:space="0" w:color="auto"/>
              <w:bottom w:val="single" w:sz="4" w:space="0" w:color="auto"/>
              <w:right w:val="single" w:sz="4" w:space="0" w:color="auto"/>
            </w:tcBorders>
          </w:tcPr>
          <w:p w14:paraId="26FDFF54" w14:textId="77777777" w:rsidR="0076058A" w:rsidRPr="00EB0CA5" w:rsidRDefault="0076058A" w:rsidP="00C27E5E">
            <w:pPr>
              <w:pStyle w:val="Normal6"/>
              <w:ind w:left="-198"/>
            </w:pPr>
          </w:p>
        </w:tc>
        <w:tc>
          <w:tcPr>
            <w:tcW w:w="6576" w:type="dxa"/>
            <w:tcBorders>
              <w:top w:val="single" w:sz="4" w:space="0" w:color="auto"/>
              <w:left w:val="single" w:sz="4" w:space="0" w:color="auto"/>
              <w:bottom w:val="single" w:sz="4" w:space="0" w:color="auto"/>
              <w:right w:val="single" w:sz="4" w:space="0" w:color="auto"/>
            </w:tcBorders>
          </w:tcPr>
          <w:p w14:paraId="7939039E" w14:textId="11090663" w:rsidR="0076058A" w:rsidRPr="00EB0CA5" w:rsidRDefault="0076058A" w:rsidP="00FA01C0">
            <w:pPr>
              <w:pStyle w:val="Normal6"/>
              <w:rPr>
                <w:b/>
                <w:bCs/>
                <w:i/>
                <w:iCs/>
              </w:rPr>
            </w:pPr>
            <w:r w:rsidRPr="00EB0CA5">
              <w:rPr>
                <w:b/>
                <w:bCs/>
                <w:i/>
                <w:iCs/>
              </w:rPr>
              <w:t>* Jak określono w aktach wykonawczych, o których mowa w art. 7 ust. 1.</w:t>
            </w:r>
          </w:p>
        </w:tc>
      </w:tr>
    </w:tbl>
    <w:p w14:paraId="69111148" w14:textId="77777777" w:rsidR="0076058A" w:rsidRPr="00EB0CA5" w:rsidRDefault="0076058A" w:rsidP="0076058A">
      <w:pPr>
        <w:rPr>
          <w:szCs w:val="24"/>
        </w:rPr>
      </w:pPr>
      <w:r w:rsidRPr="00EB0CA5">
        <w:rPr>
          <w:rStyle w:val="HideTWBExt"/>
          <w:noProof w:val="0"/>
          <w:color w:val="auto"/>
        </w:rPr>
        <w:t>&lt;/Amend&gt;</w:t>
      </w:r>
    </w:p>
    <w:p w14:paraId="65BDDFC4" w14:textId="41DD1284" w:rsidR="0076058A" w:rsidRPr="00EB0CA5" w:rsidRDefault="0076058A" w:rsidP="0076058A">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51</w:t>
      </w:r>
      <w:r w:rsidRPr="00EB0CA5">
        <w:rPr>
          <w:rStyle w:val="HideTWBExt"/>
          <w:b w:val="0"/>
          <w:noProof w:val="0"/>
          <w:color w:val="auto"/>
        </w:rPr>
        <w:t>&lt;/NumAm&gt;</w:t>
      </w:r>
    </w:p>
    <w:p w14:paraId="403E4974" w14:textId="77777777" w:rsidR="0076058A" w:rsidRPr="00EB0CA5" w:rsidRDefault="0076058A" w:rsidP="0076058A">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3094CC85" w14:textId="779EA1BD" w:rsidR="0076058A" w:rsidRPr="00EB0CA5" w:rsidRDefault="0076058A" w:rsidP="0076058A">
      <w:pPr>
        <w:pStyle w:val="NormalBold"/>
      </w:pPr>
      <w:r w:rsidRPr="00EB0CA5">
        <w:rPr>
          <w:rStyle w:val="HideTWBExt"/>
          <w:b w:val="0"/>
          <w:noProof w:val="0"/>
          <w:color w:val="auto"/>
        </w:rPr>
        <w:t>&lt;Article&gt;</w:t>
      </w:r>
      <w:r w:rsidRPr="00EB0CA5">
        <w:t>Załącznik II – dziedzina 2 – wiersz 3</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EB0CA5" w:rsidRPr="00EB0CA5" w14:paraId="05BA141D" w14:textId="77777777" w:rsidTr="008A3424">
        <w:trPr>
          <w:jc w:val="center"/>
        </w:trPr>
        <w:tc>
          <w:tcPr>
            <w:tcW w:w="9752" w:type="dxa"/>
            <w:gridSpan w:val="2"/>
          </w:tcPr>
          <w:p w14:paraId="5776DAF0" w14:textId="77777777" w:rsidR="0076058A" w:rsidRPr="00EB0CA5" w:rsidRDefault="0076058A" w:rsidP="008A3424">
            <w:pPr>
              <w:keepNext/>
            </w:pPr>
          </w:p>
        </w:tc>
      </w:tr>
      <w:tr w:rsidR="00EB0CA5" w:rsidRPr="00EB0CA5" w14:paraId="450C6771" w14:textId="77777777" w:rsidTr="008A3424">
        <w:trPr>
          <w:jc w:val="center"/>
        </w:trPr>
        <w:tc>
          <w:tcPr>
            <w:tcW w:w="9752" w:type="dxa"/>
            <w:gridSpan w:val="2"/>
            <w:tcBorders>
              <w:bottom w:val="single" w:sz="4" w:space="0" w:color="auto"/>
            </w:tcBorders>
            <w:hideMark/>
          </w:tcPr>
          <w:p w14:paraId="4EA257BA" w14:textId="77777777" w:rsidR="0076058A" w:rsidRPr="00EB0CA5" w:rsidRDefault="0076058A" w:rsidP="008A3424">
            <w:pPr>
              <w:pStyle w:val="ColumnHeading"/>
              <w:keepNext/>
            </w:pPr>
            <w:r w:rsidRPr="00EB0CA5">
              <w:t>Tekst proponowany przez Komisję</w:t>
            </w:r>
          </w:p>
        </w:tc>
      </w:tr>
      <w:tr w:rsidR="00EB0CA5" w:rsidRPr="00EB0CA5" w14:paraId="159F7D28"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930F9" w14:textId="77777777" w:rsidR="0076058A" w:rsidRPr="00EB0CA5" w:rsidRDefault="0076058A"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688C" w14:textId="77777777" w:rsidR="0076058A" w:rsidRPr="00EB0CA5" w:rsidRDefault="0076058A" w:rsidP="005707BD">
            <w:pPr>
              <w:pStyle w:val="Normal6"/>
            </w:pPr>
            <w:r w:rsidRPr="00EB0CA5">
              <w:t>Częstotliwość</w:t>
            </w:r>
          </w:p>
        </w:tc>
      </w:tr>
      <w:tr w:rsidR="00EB0CA5" w:rsidRPr="00EB0CA5" w14:paraId="13C03DBC"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22912726" w14:textId="77777777" w:rsidR="0076058A" w:rsidRPr="00EB0CA5" w:rsidRDefault="0076058A" w:rsidP="005707BD">
            <w:pPr>
              <w:pStyle w:val="Normal6"/>
            </w:pPr>
            <w:r w:rsidRPr="00EB0CA5">
              <w:t>Nakłady na działalność badawczą i rozwojową</w:t>
            </w:r>
          </w:p>
        </w:tc>
        <w:tc>
          <w:tcPr>
            <w:tcW w:w="6576" w:type="dxa"/>
            <w:tcBorders>
              <w:top w:val="single" w:sz="4" w:space="0" w:color="auto"/>
              <w:left w:val="single" w:sz="4" w:space="0" w:color="auto"/>
              <w:bottom w:val="single" w:sz="4" w:space="0" w:color="auto"/>
              <w:right w:val="single" w:sz="4" w:space="0" w:color="auto"/>
            </w:tcBorders>
          </w:tcPr>
          <w:p w14:paraId="35979873" w14:textId="77777777" w:rsidR="0076058A" w:rsidRPr="00EB0CA5" w:rsidRDefault="0076058A" w:rsidP="005707BD">
            <w:pPr>
              <w:pStyle w:val="Normal6"/>
            </w:pPr>
            <w:r w:rsidRPr="00EB0CA5">
              <w:rPr>
                <w:b/>
                <w:bCs/>
                <w:i/>
                <w:iCs/>
              </w:rPr>
              <w:t>co dwa lata; co roku nakłady wewnętrzne na działalność B+R, personel B+R i liczba pracowników naukowo-badawczych według sektorów wykonawczych oraz środki asygnowane i wydatkowane przez rząd (GBAORD) i krajowe środki publiczne na koordynowane transgranicznie działania badawcze i rozwojowe</w:t>
            </w:r>
          </w:p>
        </w:tc>
      </w:tr>
      <w:tr w:rsidR="00EB0CA5" w:rsidRPr="00EB0CA5" w14:paraId="7DB1731B" w14:textId="77777777" w:rsidTr="008A3424">
        <w:trPr>
          <w:jc w:val="center"/>
        </w:trPr>
        <w:tc>
          <w:tcPr>
            <w:tcW w:w="9752" w:type="dxa"/>
            <w:gridSpan w:val="2"/>
            <w:tcBorders>
              <w:top w:val="single" w:sz="4" w:space="0" w:color="auto"/>
            </w:tcBorders>
          </w:tcPr>
          <w:p w14:paraId="510D137D" w14:textId="77777777" w:rsidR="0076058A" w:rsidRPr="00EB0CA5" w:rsidRDefault="0076058A" w:rsidP="008A3424">
            <w:pPr>
              <w:keepNext/>
            </w:pPr>
          </w:p>
        </w:tc>
      </w:tr>
      <w:tr w:rsidR="00EB0CA5" w:rsidRPr="00EB0CA5" w14:paraId="751BE476" w14:textId="77777777" w:rsidTr="008A3424">
        <w:trPr>
          <w:jc w:val="center"/>
        </w:trPr>
        <w:tc>
          <w:tcPr>
            <w:tcW w:w="9752" w:type="dxa"/>
            <w:gridSpan w:val="2"/>
            <w:tcBorders>
              <w:bottom w:val="single" w:sz="4" w:space="0" w:color="auto"/>
            </w:tcBorders>
            <w:hideMark/>
          </w:tcPr>
          <w:p w14:paraId="1B99C4B4" w14:textId="77777777" w:rsidR="0076058A" w:rsidRPr="00EB0CA5" w:rsidRDefault="0076058A" w:rsidP="008A3424">
            <w:pPr>
              <w:pStyle w:val="ColumnHeading"/>
              <w:keepNext/>
            </w:pPr>
            <w:r w:rsidRPr="00EB0CA5">
              <w:t>Poprawka</w:t>
            </w:r>
          </w:p>
        </w:tc>
      </w:tr>
      <w:tr w:rsidR="00EB0CA5" w:rsidRPr="00EB0CA5" w14:paraId="44B4D969"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8701D" w14:textId="77777777" w:rsidR="0076058A" w:rsidRPr="00EB0CA5" w:rsidRDefault="0076058A"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1DC15" w14:textId="77777777" w:rsidR="0076058A" w:rsidRPr="00EB0CA5" w:rsidRDefault="0076058A" w:rsidP="005707BD">
            <w:pPr>
              <w:pStyle w:val="Normal6"/>
            </w:pPr>
            <w:r w:rsidRPr="00EB0CA5">
              <w:t>Częstotliwość</w:t>
            </w:r>
          </w:p>
        </w:tc>
      </w:tr>
      <w:tr w:rsidR="00EB0CA5" w:rsidRPr="00EB0CA5" w14:paraId="1EBC1414"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69056B6E" w14:textId="77777777" w:rsidR="0076058A" w:rsidRPr="00EB0CA5" w:rsidRDefault="0076058A" w:rsidP="005707BD">
            <w:pPr>
              <w:pStyle w:val="Normal6"/>
            </w:pPr>
            <w:r w:rsidRPr="00EB0CA5">
              <w:t>Nakłady na działalność badawczą i rozwojową</w:t>
            </w:r>
          </w:p>
        </w:tc>
        <w:tc>
          <w:tcPr>
            <w:tcW w:w="6576" w:type="dxa"/>
            <w:tcBorders>
              <w:top w:val="single" w:sz="4" w:space="0" w:color="auto"/>
              <w:left w:val="single" w:sz="4" w:space="0" w:color="auto"/>
              <w:bottom w:val="single" w:sz="4" w:space="0" w:color="auto"/>
              <w:right w:val="single" w:sz="4" w:space="0" w:color="auto"/>
            </w:tcBorders>
          </w:tcPr>
          <w:p w14:paraId="0FF75672" w14:textId="77777777" w:rsidR="0076058A" w:rsidRPr="00EB0CA5" w:rsidRDefault="0076058A" w:rsidP="005707BD">
            <w:pPr>
              <w:pStyle w:val="Normal6"/>
            </w:pPr>
            <w:r w:rsidRPr="00EB0CA5">
              <w:rPr>
                <w:b/>
                <w:bCs/>
                <w:i/>
                <w:iCs/>
              </w:rPr>
              <w:t>co roku</w:t>
            </w:r>
          </w:p>
        </w:tc>
      </w:tr>
    </w:tbl>
    <w:p w14:paraId="305B13BD" w14:textId="77777777" w:rsidR="0076058A" w:rsidRPr="00EB0CA5" w:rsidRDefault="0076058A" w:rsidP="0076058A">
      <w:pPr>
        <w:rPr>
          <w:szCs w:val="24"/>
        </w:rPr>
      </w:pPr>
      <w:r w:rsidRPr="00EB0CA5">
        <w:rPr>
          <w:rStyle w:val="HideTWBExt"/>
          <w:noProof w:val="0"/>
          <w:color w:val="auto"/>
        </w:rPr>
        <w:t>&lt;/Amend&gt;</w:t>
      </w:r>
    </w:p>
    <w:p w14:paraId="0CBBA580" w14:textId="23488ACA" w:rsidR="00B1294E" w:rsidRPr="00EB0CA5" w:rsidRDefault="00B1294E" w:rsidP="00B1294E">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52</w:t>
      </w:r>
      <w:r w:rsidRPr="00EB0CA5">
        <w:rPr>
          <w:rStyle w:val="HideTWBExt"/>
          <w:b w:val="0"/>
          <w:noProof w:val="0"/>
          <w:color w:val="auto"/>
        </w:rPr>
        <w:t>&lt;/NumAm&gt;</w:t>
      </w:r>
    </w:p>
    <w:p w14:paraId="15C8D022" w14:textId="77777777" w:rsidR="00B1294E" w:rsidRPr="00EB0CA5" w:rsidRDefault="00B1294E" w:rsidP="00B1294E">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53E55768" w14:textId="77777777" w:rsidR="00B1294E" w:rsidRPr="00EB0CA5" w:rsidRDefault="00B1294E" w:rsidP="00B1294E">
      <w:pPr>
        <w:pStyle w:val="NormalBold"/>
      </w:pPr>
      <w:r w:rsidRPr="00EB0CA5">
        <w:rPr>
          <w:rStyle w:val="HideTWBExt"/>
          <w:b w:val="0"/>
          <w:noProof w:val="0"/>
          <w:color w:val="auto"/>
        </w:rPr>
        <w:t>&lt;Article&gt;</w:t>
      </w:r>
      <w:r w:rsidRPr="00EB0CA5">
        <w:t>Załącznik II – dziedzina 2 – wiersz 5 a (nowy)</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EB0CA5" w:rsidRPr="00EB0CA5" w14:paraId="46A6C2C7" w14:textId="77777777" w:rsidTr="008A3424">
        <w:trPr>
          <w:jc w:val="center"/>
        </w:trPr>
        <w:tc>
          <w:tcPr>
            <w:tcW w:w="9752" w:type="dxa"/>
            <w:gridSpan w:val="2"/>
          </w:tcPr>
          <w:p w14:paraId="20570D52" w14:textId="77777777" w:rsidR="00B1294E" w:rsidRPr="00EB0CA5" w:rsidRDefault="00B1294E" w:rsidP="008A3424">
            <w:pPr>
              <w:keepNext/>
            </w:pPr>
          </w:p>
        </w:tc>
      </w:tr>
      <w:tr w:rsidR="00EB0CA5" w:rsidRPr="00EB0CA5" w14:paraId="23F4F002" w14:textId="77777777" w:rsidTr="008A3424">
        <w:trPr>
          <w:jc w:val="center"/>
        </w:trPr>
        <w:tc>
          <w:tcPr>
            <w:tcW w:w="9752" w:type="dxa"/>
            <w:gridSpan w:val="2"/>
            <w:hideMark/>
          </w:tcPr>
          <w:p w14:paraId="068B2AC8" w14:textId="77777777" w:rsidR="00B1294E" w:rsidRPr="00EB0CA5" w:rsidRDefault="00B1294E" w:rsidP="008A3424">
            <w:pPr>
              <w:pStyle w:val="ColumnHeading"/>
              <w:keepNext/>
            </w:pPr>
            <w:r w:rsidRPr="00EB0CA5">
              <w:t>Tekst proponowany przez Komisję</w:t>
            </w:r>
          </w:p>
        </w:tc>
      </w:tr>
      <w:tr w:rsidR="00EB0CA5" w:rsidRPr="00EB0CA5" w14:paraId="3F786F73"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FD746" w14:textId="77777777" w:rsidR="001E54DE" w:rsidRPr="00EB0CA5" w:rsidRDefault="001E54D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261A3" w14:textId="77777777" w:rsidR="001E54DE" w:rsidRPr="00EB0CA5" w:rsidRDefault="001E54DE" w:rsidP="005707BD">
            <w:pPr>
              <w:pStyle w:val="Normal6"/>
            </w:pPr>
            <w:r w:rsidRPr="00EB0CA5">
              <w:t>Częstotliwość</w:t>
            </w:r>
          </w:p>
        </w:tc>
      </w:tr>
      <w:tr w:rsidR="00EB0CA5" w:rsidRPr="00EB0CA5" w14:paraId="7F30F6D5" w14:textId="77777777" w:rsidTr="008A3424">
        <w:trPr>
          <w:jc w:val="center"/>
        </w:trPr>
        <w:tc>
          <w:tcPr>
            <w:tcW w:w="9752" w:type="dxa"/>
            <w:gridSpan w:val="2"/>
          </w:tcPr>
          <w:p w14:paraId="06A83CCB" w14:textId="77777777" w:rsidR="00B1294E" w:rsidRPr="00EB0CA5" w:rsidRDefault="00B1294E" w:rsidP="008A3424">
            <w:pPr>
              <w:keepNext/>
            </w:pPr>
          </w:p>
        </w:tc>
      </w:tr>
      <w:tr w:rsidR="00EB0CA5" w:rsidRPr="00EB0CA5" w14:paraId="320F6EC2" w14:textId="77777777" w:rsidTr="008A3424">
        <w:trPr>
          <w:jc w:val="center"/>
        </w:trPr>
        <w:tc>
          <w:tcPr>
            <w:tcW w:w="9752" w:type="dxa"/>
            <w:gridSpan w:val="2"/>
            <w:tcBorders>
              <w:bottom w:val="single" w:sz="4" w:space="0" w:color="auto"/>
            </w:tcBorders>
            <w:hideMark/>
          </w:tcPr>
          <w:p w14:paraId="147A4756" w14:textId="77777777" w:rsidR="00B1294E" w:rsidRPr="00EB0CA5" w:rsidRDefault="00B1294E" w:rsidP="008A3424">
            <w:pPr>
              <w:pStyle w:val="ColumnHeading"/>
              <w:keepNext/>
            </w:pPr>
            <w:r w:rsidRPr="00EB0CA5">
              <w:t>Poprawka</w:t>
            </w:r>
          </w:p>
        </w:tc>
      </w:tr>
      <w:tr w:rsidR="00EB0CA5" w:rsidRPr="00EB0CA5" w14:paraId="3D58677A"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8CB04" w14:textId="77777777" w:rsidR="00B1294E" w:rsidRPr="00EB0CA5" w:rsidRDefault="00B1294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11751" w14:textId="77777777" w:rsidR="00B1294E" w:rsidRPr="00EB0CA5" w:rsidRDefault="00B1294E" w:rsidP="005707BD">
            <w:pPr>
              <w:pStyle w:val="Normal6"/>
            </w:pPr>
            <w:r w:rsidRPr="00EB0CA5">
              <w:t>Częstotliwość</w:t>
            </w:r>
          </w:p>
        </w:tc>
      </w:tr>
      <w:tr w:rsidR="00EB0CA5" w:rsidRPr="00EB0CA5" w14:paraId="77F881DE"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03868047" w14:textId="77777777" w:rsidR="00B1294E" w:rsidRPr="00EB0CA5" w:rsidRDefault="00B1294E" w:rsidP="005707BD">
            <w:pPr>
              <w:pStyle w:val="Normal6"/>
            </w:pPr>
            <w:r w:rsidRPr="00EB0CA5">
              <w:rPr>
                <w:b/>
                <w:bCs/>
                <w:i/>
                <w:iCs/>
              </w:rPr>
              <w:t>Działalność finansowa</w:t>
            </w:r>
          </w:p>
        </w:tc>
        <w:tc>
          <w:tcPr>
            <w:tcW w:w="6576" w:type="dxa"/>
            <w:tcBorders>
              <w:top w:val="single" w:sz="4" w:space="0" w:color="auto"/>
              <w:left w:val="single" w:sz="4" w:space="0" w:color="auto"/>
              <w:bottom w:val="single" w:sz="4" w:space="0" w:color="auto"/>
              <w:right w:val="single" w:sz="4" w:space="0" w:color="auto"/>
            </w:tcBorders>
          </w:tcPr>
          <w:p w14:paraId="59F3C5CF" w14:textId="77777777" w:rsidR="00B1294E" w:rsidRPr="00EB0CA5" w:rsidRDefault="00B1294E" w:rsidP="005707BD">
            <w:pPr>
              <w:pStyle w:val="Normal6"/>
            </w:pPr>
            <w:r w:rsidRPr="00EB0CA5">
              <w:rPr>
                <w:b/>
                <w:bCs/>
                <w:i/>
                <w:iCs/>
              </w:rPr>
              <w:t>co roku</w:t>
            </w:r>
          </w:p>
        </w:tc>
      </w:tr>
    </w:tbl>
    <w:p w14:paraId="139B2287" w14:textId="77777777" w:rsidR="00B1294E" w:rsidRPr="00EB0CA5" w:rsidRDefault="00B1294E" w:rsidP="00B1294E">
      <w:pPr>
        <w:rPr>
          <w:rStyle w:val="HideTWBExt"/>
          <w:noProof w:val="0"/>
          <w:color w:val="auto"/>
        </w:rPr>
      </w:pPr>
      <w:r w:rsidRPr="00EB0CA5">
        <w:rPr>
          <w:rStyle w:val="HideTWBExt"/>
          <w:noProof w:val="0"/>
          <w:color w:val="auto"/>
        </w:rPr>
        <w:lastRenderedPageBreak/>
        <w:t>&lt;/Amend&gt;</w:t>
      </w:r>
    </w:p>
    <w:p w14:paraId="6B84367D" w14:textId="4C6B313C" w:rsidR="00B1294E" w:rsidRPr="00EB0CA5" w:rsidRDefault="00B1294E" w:rsidP="00B1294E">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53</w:t>
      </w:r>
      <w:r w:rsidRPr="00EB0CA5">
        <w:rPr>
          <w:rStyle w:val="HideTWBExt"/>
          <w:b w:val="0"/>
          <w:noProof w:val="0"/>
          <w:color w:val="auto"/>
        </w:rPr>
        <w:t>&lt;/NumAm&gt;</w:t>
      </w:r>
    </w:p>
    <w:p w14:paraId="4A2B3B7E" w14:textId="77777777" w:rsidR="00B1294E" w:rsidRPr="00EB0CA5" w:rsidRDefault="00B1294E" w:rsidP="00B1294E">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779621C5" w14:textId="77777777" w:rsidR="00B1294E" w:rsidRPr="00EB0CA5" w:rsidRDefault="00B1294E" w:rsidP="00B1294E">
      <w:pPr>
        <w:pStyle w:val="NormalBold"/>
      </w:pPr>
      <w:r w:rsidRPr="00EB0CA5">
        <w:rPr>
          <w:rStyle w:val="HideTWBExt"/>
          <w:b w:val="0"/>
          <w:noProof w:val="0"/>
          <w:color w:val="auto"/>
        </w:rPr>
        <w:t>&lt;Article&gt;</w:t>
      </w:r>
      <w:r w:rsidRPr="00EB0CA5">
        <w:t>Załącznik II – dziedzina 2 – wiersz 7</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EB0CA5" w:rsidRPr="00EB0CA5" w14:paraId="1FE01C0C" w14:textId="77777777" w:rsidTr="008A3424">
        <w:trPr>
          <w:jc w:val="center"/>
        </w:trPr>
        <w:tc>
          <w:tcPr>
            <w:tcW w:w="9752" w:type="dxa"/>
            <w:gridSpan w:val="2"/>
          </w:tcPr>
          <w:p w14:paraId="559A69F7" w14:textId="77777777" w:rsidR="00B1294E" w:rsidRPr="00EB0CA5" w:rsidRDefault="00B1294E" w:rsidP="008A3424">
            <w:pPr>
              <w:keepNext/>
            </w:pPr>
          </w:p>
        </w:tc>
      </w:tr>
      <w:tr w:rsidR="00EB0CA5" w:rsidRPr="00EB0CA5" w14:paraId="790EFE54" w14:textId="77777777" w:rsidTr="008A3424">
        <w:trPr>
          <w:jc w:val="center"/>
        </w:trPr>
        <w:tc>
          <w:tcPr>
            <w:tcW w:w="9752" w:type="dxa"/>
            <w:gridSpan w:val="2"/>
            <w:tcBorders>
              <w:bottom w:val="single" w:sz="4" w:space="0" w:color="auto"/>
            </w:tcBorders>
            <w:hideMark/>
          </w:tcPr>
          <w:p w14:paraId="73A0C0BD" w14:textId="77777777" w:rsidR="00B1294E" w:rsidRPr="00EB0CA5" w:rsidRDefault="00B1294E" w:rsidP="008A3424">
            <w:pPr>
              <w:pStyle w:val="ColumnHeading"/>
              <w:keepNext/>
            </w:pPr>
            <w:r w:rsidRPr="00EB0CA5">
              <w:t>Tekst proponowany przez Komisję</w:t>
            </w:r>
          </w:p>
        </w:tc>
      </w:tr>
      <w:tr w:rsidR="00EB0CA5" w:rsidRPr="00EB0CA5" w14:paraId="48F7B41F"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FDD77" w14:textId="77777777" w:rsidR="00B1294E" w:rsidRPr="00EB0CA5" w:rsidRDefault="00B1294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00F4C" w14:textId="77777777" w:rsidR="00B1294E" w:rsidRPr="00EB0CA5" w:rsidRDefault="00B1294E" w:rsidP="005707BD">
            <w:pPr>
              <w:pStyle w:val="Normal6"/>
            </w:pPr>
            <w:r w:rsidRPr="00EB0CA5">
              <w:t>Częstotliwość</w:t>
            </w:r>
          </w:p>
        </w:tc>
      </w:tr>
      <w:tr w:rsidR="00EB0CA5" w:rsidRPr="00EB0CA5" w14:paraId="3941DFC8"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61C5D71C" w14:textId="77777777" w:rsidR="00B1294E" w:rsidRPr="00EB0CA5" w:rsidRDefault="00B1294E" w:rsidP="005707BD">
            <w:pPr>
              <w:pStyle w:val="Normal6"/>
            </w:pPr>
            <w:r w:rsidRPr="00EB0CA5">
              <w:t>Innowacje</w:t>
            </w:r>
          </w:p>
        </w:tc>
        <w:tc>
          <w:tcPr>
            <w:tcW w:w="6576" w:type="dxa"/>
            <w:tcBorders>
              <w:top w:val="single" w:sz="4" w:space="0" w:color="auto"/>
              <w:left w:val="single" w:sz="4" w:space="0" w:color="auto"/>
              <w:bottom w:val="single" w:sz="4" w:space="0" w:color="auto"/>
              <w:right w:val="single" w:sz="4" w:space="0" w:color="auto"/>
            </w:tcBorders>
          </w:tcPr>
          <w:p w14:paraId="7DDA42CE" w14:textId="77777777" w:rsidR="00B1294E" w:rsidRPr="00EB0CA5" w:rsidRDefault="00B1294E" w:rsidP="005707BD">
            <w:pPr>
              <w:pStyle w:val="Normal6"/>
            </w:pPr>
            <w:r w:rsidRPr="00EB0CA5">
              <w:rPr>
                <w:b/>
                <w:bCs/>
                <w:i/>
                <w:iCs/>
              </w:rPr>
              <w:t>co dwa lata</w:t>
            </w:r>
          </w:p>
        </w:tc>
      </w:tr>
      <w:tr w:rsidR="00EB0CA5" w:rsidRPr="00EB0CA5" w14:paraId="4CFE71C1" w14:textId="77777777" w:rsidTr="008A3424">
        <w:trPr>
          <w:jc w:val="center"/>
        </w:trPr>
        <w:tc>
          <w:tcPr>
            <w:tcW w:w="9752" w:type="dxa"/>
            <w:gridSpan w:val="2"/>
            <w:tcBorders>
              <w:top w:val="single" w:sz="4" w:space="0" w:color="auto"/>
            </w:tcBorders>
          </w:tcPr>
          <w:p w14:paraId="2F32DABE" w14:textId="77777777" w:rsidR="00B1294E" w:rsidRPr="00EB0CA5" w:rsidRDefault="00B1294E" w:rsidP="008A3424">
            <w:pPr>
              <w:keepNext/>
            </w:pPr>
          </w:p>
        </w:tc>
      </w:tr>
      <w:tr w:rsidR="00EB0CA5" w:rsidRPr="00EB0CA5" w14:paraId="4B818D46" w14:textId="77777777" w:rsidTr="008A3424">
        <w:trPr>
          <w:jc w:val="center"/>
        </w:trPr>
        <w:tc>
          <w:tcPr>
            <w:tcW w:w="9752" w:type="dxa"/>
            <w:gridSpan w:val="2"/>
            <w:tcBorders>
              <w:bottom w:val="single" w:sz="4" w:space="0" w:color="auto"/>
            </w:tcBorders>
            <w:hideMark/>
          </w:tcPr>
          <w:p w14:paraId="585EE4EF" w14:textId="77777777" w:rsidR="00B1294E" w:rsidRPr="00EB0CA5" w:rsidRDefault="00B1294E" w:rsidP="008A3424">
            <w:pPr>
              <w:pStyle w:val="ColumnHeading"/>
              <w:keepNext/>
            </w:pPr>
            <w:r w:rsidRPr="00EB0CA5">
              <w:t>Poprawka</w:t>
            </w:r>
          </w:p>
        </w:tc>
      </w:tr>
      <w:tr w:rsidR="00EB0CA5" w:rsidRPr="00EB0CA5" w14:paraId="5BE89C75"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59836" w14:textId="77777777" w:rsidR="00B1294E" w:rsidRPr="00EB0CA5" w:rsidRDefault="00B1294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D2B09" w14:textId="77777777" w:rsidR="00B1294E" w:rsidRPr="00EB0CA5" w:rsidRDefault="00B1294E" w:rsidP="005707BD">
            <w:pPr>
              <w:pStyle w:val="Normal6"/>
            </w:pPr>
            <w:r w:rsidRPr="00EB0CA5">
              <w:t>Częstotliwość</w:t>
            </w:r>
          </w:p>
        </w:tc>
      </w:tr>
      <w:tr w:rsidR="00EB0CA5" w:rsidRPr="00EB0CA5" w14:paraId="4982E4F7"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05C72A72" w14:textId="77777777" w:rsidR="00B1294E" w:rsidRPr="00EB0CA5" w:rsidRDefault="00B1294E" w:rsidP="005707BD">
            <w:pPr>
              <w:pStyle w:val="Normal6"/>
            </w:pPr>
            <w:r w:rsidRPr="00EB0CA5">
              <w:t>Innowacje</w:t>
            </w:r>
          </w:p>
        </w:tc>
        <w:tc>
          <w:tcPr>
            <w:tcW w:w="6576" w:type="dxa"/>
            <w:tcBorders>
              <w:top w:val="single" w:sz="4" w:space="0" w:color="auto"/>
              <w:left w:val="single" w:sz="4" w:space="0" w:color="auto"/>
              <w:bottom w:val="single" w:sz="4" w:space="0" w:color="auto"/>
              <w:right w:val="single" w:sz="4" w:space="0" w:color="auto"/>
            </w:tcBorders>
          </w:tcPr>
          <w:p w14:paraId="44B40725" w14:textId="77777777" w:rsidR="00B1294E" w:rsidRPr="00EB0CA5" w:rsidRDefault="00B1294E" w:rsidP="005707BD">
            <w:pPr>
              <w:pStyle w:val="Normal6"/>
              <w:rPr>
                <w:b/>
              </w:rPr>
            </w:pPr>
            <w:r w:rsidRPr="00EB0CA5">
              <w:rPr>
                <w:b/>
                <w:bCs/>
                <w:i/>
                <w:iCs/>
              </w:rPr>
              <w:t>co roku</w:t>
            </w:r>
          </w:p>
        </w:tc>
      </w:tr>
    </w:tbl>
    <w:p w14:paraId="3D96BF5B" w14:textId="77777777" w:rsidR="00B1294E" w:rsidRPr="00EB0CA5" w:rsidRDefault="00B1294E" w:rsidP="00B1294E">
      <w:pPr>
        <w:rPr>
          <w:rStyle w:val="HideTWBExt"/>
          <w:noProof w:val="0"/>
          <w:color w:val="auto"/>
        </w:rPr>
      </w:pPr>
      <w:r w:rsidRPr="00EB0CA5">
        <w:rPr>
          <w:rStyle w:val="HideTWBExt"/>
          <w:noProof w:val="0"/>
          <w:color w:val="auto"/>
        </w:rPr>
        <w:t>&lt;/Amend&gt;</w:t>
      </w:r>
    </w:p>
    <w:p w14:paraId="311073D9" w14:textId="1FFA92DD" w:rsidR="001E54DE" w:rsidRPr="00EB0CA5" w:rsidRDefault="001E54DE" w:rsidP="001E54DE">
      <w:pPr>
        <w:pStyle w:val="AMNumberTabs"/>
        <w:keepNext/>
      </w:pPr>
      <w:r w:rsidRPr="00EB0CA5">
        <w:rPr>
          <w:rStyle w:val="HideTWBExt"/>
          <w:b w:val="0"/>
          <w:noProof w:val="0"/>
          <w:color w:val="auto"/>
        </w:rPr>
        <w:t>&lt;Amend&gt;</w:t>
      </w:r>
      <w:r w:rsidRPr="00EB0CA5">
        <w:t>Poprawka</w:t>
      </w:r>
      <w:r w:rsidRPr="00EB0CA5">
        <w:tab/>
      </w:r>
      <w:r w:rsidRPr="00EB0CA5">
        <w:tab/>
      </w:r>
      <w:r w:rsidRPr="00EB0CA5">
        <w:rPr>
          <w:rStyle w:val="HideTWBExt"/>
          <w:b w:val="0"/>
          <w:noProof w:val="0"/>
          <w:color w:val="auto"/>
        </w:rPr>
        <w:t>&lt;NumAm&gt;</w:t>
      </w:r>
      <w:r w:rsidRPr="00EB0CA5">
        <w:t>54</w:t>
      </w:r>
      <w:r w:rsidRPr="00EB0CA5">
        <w:rPr>
          <w:rStyle w:val="HideTWBExt"/>
          <w:b w:val="0"/>
          <w:noProof w:val="0"/>
          <w:color w:val="auto"/>
        </w:rPr>
        <w:t>&lt;/NumAm&gt;</w:t>
      </w:r>
    </w:p>
    <w:p w14:paraId="5F390B12" w14:textId="77777777" w:rsidR="001E54DE" w:rsidRPr="00EB0CA5" w:rsidRDefault="001E54DE" w:rsidP="001E54DE">
      <w:pPr>
        <w:pStyle w:val="NormalBold12b"/>
        <w:keepNext/>
      </w:pPr>
      <w:r w:rsidRPr="00EB0CA5">
        <w:rPr>
          <w:rStyle w:val="HideTWBExt"/>
          <w:b w:val="0"/>
          <w:noProof w:val="0"/>
          <w:color w:val="auto"/>
        </w:rPr>
        <w:t>&lt;DocAmend&gt;</w:t>
      </w:r>
      <w:r w:rsidRPr="00EB0CA5">
        <w:t>Wniosek dotyczący rozporządzenia</w:t>
      </w:r>
      <w:r w:rsidRPr="00EB0CA5">
        <w:rPr>
          <w:rStyle w:val="HideTWBExt"/>
          <w:b w:val="0"/>
          <w:noProof w:val="0"/>
          <w:color w:val="auto"/>
        </w:rPr>
        <w:t>&lt;/DocAmend&gt;</w:t>
      </w:r>
    </w:p>
    <w:p w14:paraId="2A6A9712" w14:textId="77777777" w:rsidR="001E54DE" w:rsidRPr="00EB0CA5" w:rsidRDefault="001E54DE" w:rsidP="001E54DE">
      <w:pPr>
        <w:pStyle w:val="NormalBold"/>
      </w:pPr>
      <w:r w:rsidRPr="00EB0CA5">
        <w:rPr>
          <w:rStyle w:val="HideTWBExt"/>
          <w:b w:val="0"/>
          <w:noProof w:val="0"/>
          <w:color w:val="auto"/>
        </w:rPr>
        <w:t>&lt;Article&gt;</w:t>
      </w:r>
      <w:r w:rsidRPr="00EB0CA5">
        <w:t>Załącznik II – dziedzina 2 – wiersz 8 a (nowy)</w:t>
      </w:r>
      <w:r w:rsidRPr="00EB0CA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176"/>
        <w:gridCol w:w="6576"/>
      </w:tblGrid>
      <w:tr w:rsidR="00EB0CA5" w:rsidRPr="00EB0CA5" w14:paraId="61AA1FFA" w14:textId="77777777" w:rsidTr="008A3424">
        <w:trPr>
          <w:jc w:val="center"/>
        </w:trPr>
        <w:tc>
          <w:tcPr>
            <w:tcW w:w="9752" w:type="dxa"/>
            <w:gridSpan w:val="2"/>
          </w:tcPr>
          <w:p w14:paraId="563245BC" w14:textId="77777777" w:rsidR="001E54DE" w:rsidRPr="00EB0CA5" w:rsidRDefault="001E54DE" w:rsidP="008A3424">
            <w:pPr>
              <w:keepNext/>
            </w:pPr>
          </w:p>
        </w:tc>
      </w:tr>
      <w:tr w:rsidR="00EB0CA5" w:rsidRPr="00EB0CA5" w14:paraId="5E075D73" w14:textId="77777777" w:rsidTr="008A3424">
        <w:trPr>
          <w:jc w:val="center"/>
        </w:trPr>
        <w:tc>
          <w:tcPr>
            <w:tcW w:w="9752" w:type="dxa"/>
            <w:gridSpan w:val="2"/>
            <w:tcBorders>
              <w:bottom w:val="single" w:sz="4" w:space="0" w:color="auto"/>
            </w:tcBorders>
            <w:hideMark/>
          </w:tcPr>
          <w:p w14:paraId="56999C20" w14:textId="77777777" w:rsidR="001E54DE" w:rsidRPr="00EB0CA5" w:rsidRDefault="001E54DE" w:rsidP="008A3424">
            <w:pPr>
              <w:pStyle w:val="ColumnHeading"/>
              <w:keepNext/>
            </w:pPr>
            <w:r w:rsidRPr="00EB0CA5">
              <w:t>Tekst proponowany przez Komisję</w:t>
            </w:r>
          </w:p>
        </w:tc>
      </w:tr>
      <w:tr w:rsidR="00EB0CA5" w:rsidRPr="00EB0CA5" w14:paraId="2CBDEB5E"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8FF35" w14:textId="77777777" w:rsidR="001E54DE" w:rsidRPr="00EB0CA5" w:rsidRDefault="001E54D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38CD1" w14:textId="77777777" w:rsidR="001E54DE" w:rsidRPr="00EB0CA5" w:rsidRDefault="001E54DE" w:rsidP="005707BD">
            <w:pPr>
              <w:pStyle w:val="Normal6"/>
            </w:pPr>
            <w:r w:rsidRPr="00EB0CA5">
              <w:t>Częstotliwość</w:t>
            </w:r>
          </w:p>
        </w:tc>
      </w:tr>
      <w:tr w:rsidR="00EB0CA5" w:rsidRPr="00EB0CA5" w14:paraId="1FC19535" w14:textId="77777777" w:rsidTr="008A3424">
        <w:trPr>
          <w:jc w:val="center"/>
        </w:trPr>
        <w:tc>
          <w:tcPr>
            <w:tcW w:w="9752" w:type="dxa"/>
            <w:gridSpan w:val="2"/>
            <w:tcBorders>
              <w:top w:val="single" w:sz="4" w:space="0" w:color="auto"/>
            </w:tcBorders>
          </w:tcPr>
          <w:p w14:paraId="0CFB4CE5" w14:textId="77777777" w:rsidR="001E54DE" w:rsidRPr="00EB0CA5" w:rsidRDefault="001E54DE" w:rsidP="008A3424">
            <w:pPr>
              <w:keepNext/>
            </w:pPr>
          </w:p>
        </w:tc>
      </w:tr>
      <w:tr w:rsidR="00EB0CA5" w:rsidRPr="00EB0CA5" w14:paraId="06F9A8DE" w14:textId="77777777" w:rsidTr="008A3424">
        <w:trPr>
          <w:jc w:val="center"/>
        </w:trPr>
        <w:tc>
          <w:tcPr>
            <w:tcW w:w="9752" w:type="dxa"/>
            <w:gridSpan w:val="2"/>
            <w:tcBorders>
              <w:bottom w:val="single" w:sz="4" w:space="0" w:color="auto"/>
            </w:tcBorders>
            <w:hideMark/>
          </w:tcPr>
          <w:p w14:paraId="6085C594" w14:textId="77777777" w:rsidR="001E54DE" w:rsidRPr="00EB0CA5" w:rsidRDefault="001E54DE" w:rsidP="008A3424">
            <w:pPr>
              <w:pStyle w:val="ColumnHeading"/>
              <w:keepNext/>
            </w:pPr>
            <w:r w:rsidRPr="00EB0CA5">
              <w:t>Poprawka</w:t>
            </w:r>
          </w:p>
        </w:tc>
      </w:tr>
      <w:tr w:rsidR="00EB0CA5" w:rsidRPr="00EB0CA5" w14:paraId="4FB74AA1" w14:textId="77777777" w:rsidTr="007E0F48">
        <w:trPr>
          <w:jc w:val="cent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007EB" w14:textId="77777777" w:rsidR="001E54DE" w:rsidRPr="00EB0CA5" w:rsidRDefault="001E54DE" w:rsidP="005707BD">
            <w:pPr>
              <w:pStyle w:val="Normal6"/>
            </w:pPr>
            <w:r w:rsidRPr="00EB0CA5">
              <w:t>Tematy</w:t>
            </w:r>
          </w:p>
        </w:tc>
        <w:tc>
          <w:tcPr>
            <w:tcW w:w="6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C8FD8" w14:textId="77777777" w:rsidR="001E54DE" w:rsidRPr="00EB0CA5" w:rsidRDefault="001E54DE" w:rsidP="005707BD">
            <w:pPr>
              <w:pStyle w:val="Normal6"/>
            </w:pPr>
            <w:r w:rsidRPr="00EB0CA5">
              <w:t>Częstotliwość</w:t>
            </w:r>
          </w:p>
        </w:tc>
      </w:tr>
      <w:tr w:rsidR="00EB0CA5" w:rsidRPr="00EB0CA5" w14:paraId="35952ACB" w14:textId="77777777" w:rsidTr="008A3424">
        <w:trPr>
          <w:jc w:val="center"/>
        </w:trPr>
        <w:tc>
          <w:tcPr>
            <w:tcW w:w="3176" w:type="dxa"/>
            <w:tcBorders>
              <w:top w:val="single" w:sz="4" w:space="0" w:color="auto"/>
              <w:left w:val="single" w:sz="4" w:space="0" w:color="auto"/>
              <w:bottom w:val="single" w:sz="4" w:space="0" w:color="auto"/>
              <w:right w:val="single" w:sz="4" w:space="0" w:color="auto"/>
            </w:tcBorders>
          </w:tcPr>
          <w:p w14:paraId="45B6D163" w14:textId="77777777" w:rsidR="001E54DE" w:rsidRPr="00EB0CA5" w:rsidRDefault="001E54DE" w:rsidP="008A3424">
            <w:pPr>
              <w:pStyle w:val="Normal6"/>
              <w:tabs>
                <w:tab w:val="right" w:pos="2496"/>
              </w:tabs>
            </w:pPr>
            <w:r w:rsidRPr="00EB0CA5">
              <w:rPr>
                <w:b/>
                <w:bCs/>
                <w:i/>
                <w:iCs/>
              </w:rPr>
              <w:t>Ochrona środowiska i klimat</w:t>
            </w:r>
          </w:p>
        </w:tc>
        <w:tc>
          <w:tcPr>
            <w:tcW w:w="6576" w:type="dxa"/>
            <w:tcBorders>
              <w:top w:val="single" w:sz="4" w:space="0" w:color="auto"/>
              <w:left w:val="single" w:sz="4" w:space="0" w:color="auto"/>
              <w:bottom w:val="single" w:sz="4" w:space="0" w:color="auto"/>
              <w:right w:val="single" w:sz="4" w:space="0" w:color="auto"/>
            </w:tcBorders>
          </w:tcPr>
          <w:p w14:paraId="118BA712" w14:textId="77777777" w:rsidR="001E54DE" w:rsidRPr="00EB0CA5" w:rsidRDefault="001E54DE" w:rsidP="005707BD">
            <w:pPr>
              <w:pStyle w:val="Normal6"/>
            </w:pPr>
            <w:r w:rsidRPr="00EB0CA5">
              <w:rPr>
                <w:b/>
                <w:bCs/>
                <w:i/>
                <w:iCs/>
              </w:rPr>
              <w:t>co roku</w:t>
            </w:r>
          </w:p>
        </w:tc>
      </w:tr>
    </w:tbl>
    <w:p w14:paraId="36976BA3" w14:textId="77777777" w:rsidR="001E54DE" w:rsidRPr="00EB0CA5" w:rsidRDefault="001E54DE" w:rsidP="001E54DE">
      <w:pPr>
        <w:rPr>
          <w:rStyle w:val="HideTWBExt"/>
          <w:noProof w:val="0"/>
          <w:color w:val="auto"/>
        </w:rPr>
      </w:pPr>
      <w:r w:rsidRPr="00EB0CA5">
        <w:rPr>
          <w:rStyle w:val="HideTWBExt"/>
          <w:noProof w:val="0"/>
          <w:color w:val="auto"/>
        </w:rPr>
        <w:t>&lt;/Amend&gt;</w:t>
      </w:r>
    </w:p>
    <w:p w14:paraId="7796790D" w14:textId="2B90D40B" w:rsidR="00576856" w:rsidRPr="00EB0CA5" w:rsidRDefault="00D170D6" w:rsidP="00D170D6">
      <w:r w:rsidRPr="00EB0CA5">
        <w:rPr>
          <w:rStyle w:val="HideTWBExt"/>
          <w:noProof w:val="0"/>
          <w:color w:val="auto"/>
        </w:rPr>
        <w:t>&lt;/RepeatBlock-Amend&gt;</w:t>
      </w:r>
    </w:p>
    <w:p w14:paraId="62AECF7F" w14:textId="77777777" w:rsidR="00576856" w:rsidRPr="00EB0CA5" w:rsidRDefault="00576856" w:rsidP="00576856">
      <w:pPr>
        <w:pStyle w:val="PageHeading"/>
      </w:pPr>
      <w:r w:rsidRPr="00EB0CA5">
        <w:br w:type="page"/>
      </w:r>
      <w:bookmarkStart w:id="4" w:name="_Toc481593915"/>
      <w:bookmarkStart w:id="5" w:name="_Toc511312530"/>
      <w:r w:rsidRPr="00EB0CA5">
        <w:lastRenderedPageBreak/>
        <w:t>UZASADNIENIE</w:t>
      </w:r>
      <w:bookmarkEnd w:id="4"/>
      <w:bookmarkEnd w:id="5"/>
    </w:p>
    <w:p w14:paraId="675B2B01" w14:textId="77777777" w:rsidR="00576856" w:rsidRPr="00EB0CA5" w:rsidRDefault="00576856" w:rsidP="00576856">
      <w:pPr>
        <w:pStyle w:val="PageHeading"/>
      </w:pPr>
    </w:p>
    <w:p w14:paraId="2F8DA679" w14:textId="77777777" w:rsidR="00A22736" w:rsidRPr="00EB0CA5" w:rsidRDefault="00A22736" w:rsidP="00A22736">
      <w:pPr>
        <w:jc w:val="both"/>
      </w:pPr>
      <w:r w:rsidRPr="00EB0CA5">
        <w:t xml:space="preserve">W Unii Europejskiej rośnie zapotrzebowanie na wysokiej jakości statystyki oraz dane na temat działalności gospodarczej. Użytkownicy danych, tacy jak podmioty prywatne oraz decydenci, korzystają z nich, aby podejmować decyzje na podstawie faktów, przyczyniając się tym samym do wzmacniania jednolitego rynku opartego na wiedzy i innowacyjności. </w:t>
      </w:r>
    </w:p>
    <w:p w14:paraId="68383304" w14:textId="77777777" w:rsidR="00A22736" w:rsidRPr="00EB0CA5" w:rsidRDefault="00A22736" w:rsidP="00A22736">
      <w:pPr>
        <w:jc w:val="both"/>
      </w:pPr>
    </w:p>
    <w:p w14:paraId="4F0A1018" w14:textId="77777777" w:rsidR="00A22736" w:rsidRPr="00EB0CA5" w:rsidRDefault="00A22736" w:rsidP="00A22736">
      <w:pPr>
        <w:jc w:val="both"/>
      </w:pPr>
      <w:r w:rsidRPr="00EB0CA5">
        <w:t xml:space="preserve">Europejską statystykę gospodarczą należy opracowywać w oparciu o wspólne i proste ramy oraz z zastosowaniem ujednoliconych definicji, które ułatwią zrozumienie stanu gospodarki UE. Dane należy zbierać w sposób optymalny pod względem kosztów i przekazywać w sposób terminowy, jednocześnie zapewniając ich porównywalność we wszystkich państwach członkowskich. </w:t>
      </w:r>
    </w:p>
    <w:p w14:paraId="50185B49" w14:textId="77777777" w:rsidR="00A22736" w:rsidRPr="00EB0CA5" w:rsidRDefault="00A22736" w:rsidP="00A22736">
      <w:pPr>
        <w:jc w:val="both"/>
      </w:pPr>
    </w:p>
    <w:p w14:paraId="5172CEF1" w14:textId="77777777" w:rsidR="00A22736" w:rsidRPr="00EB0CA5" w:rsidRDefault="00A22736" w:rsidP="00A22736">
      <w:pPr>
        <w:jc w:val="both"/>
      </w:pPr>
      <w:r w:rsidRPr="00EB0CA5">
        <w:t>Statystyki oraz dane dotyczące usług biznesowych w dalszym ciągu stanowią wyzwanie, szczególnie dlatego, że jest ich stosunkowo mało. Sytuacja ta jest tym bardziej problematyczna, że charakter europejskiej gospodarki wciąż się zmienia i zaciera się granica między produkcją a usługami.</w:t>
      </w:r>
    </w:p>
    <w:p w14:paraId="3C79E212" w14:textId="77777777" w:rsidR="00A22736" w:rsidRPr="00EB0CA5" w:rsidRDefault="00A22736" w:rsidP="00A22736">
      <w:pPr>
        <w:jc w:val="both"/>
      </w:pPr>
    </w:p>
    <w:p w14:paraId="2AE2A34F" w14:textId="77777777" w:rsidR="00A22736" w:rsidRPr="00EB0CA5" w:rsidRDefault="00A22736" w:rsidP="00A22736">
      <w:pPr>
        <w:jc w:val="both"/>
      </w:pPr>
      <w:r w:rsidRPr="00EB0CA5">
        <w:t>Parlament Europejski wielokrotnie podkreślał zarówno w rezolucjach, jak i sprawozdaniach z własnej inicjatywy, że konieczne jest zapewnienie dokładniejszych i aktualniejszych danych i statystyk na poziomie unijnym. W odpowiedzi Komisja złożyła wniosek w sprawie nowego rozporządzenia ramowego (rozporządzenie w sprawie zintegrowanych wymogów w zakresie statystyk dotyczących przedsiębiorstw), które ma na celu zintegrowanie wymogów statystycznych oraz aktów prawnych w dziedzinie statystyki gospodarczej poprzez ich ulepszenie i uproszczenie. Zmieniając rozporządzenie (WE) nr 184/2005 oraz uchylając 10 obowiązujących aktów prawnych, Komisja stosuje program sprawności i wydajności regulacyjnej (REFIT) w celu stworzenia wspólnych ram prawnych dla opracowywania i zestawiania statystyk gospodarczych Europejskiego Systemu Statystycznego (ESS), jednocześnie rozszerzając zakres systemu o nieobjęte nim wcześniej usługi.</w:t>
      </w:r>
    </w:p>
    <w:p w14:paraId="539FCE36" w14:textId="77777777" w:rsidR="00A22736" w:rsidRPr="00EB0CA5" w:rsidRDefault="00A22736" w:rsidP="00A22736">
      <w:pPr>
        <w:jc w:val="both"/>
      </w:pPr>
    </w:p>
    <w:p w14:paraId="34B6D685" w14:textId="5366330A" w:rsidR="0013180C" w:rsidRPr="00EB0CA5" w:rsidRDefault="00A22736" w:rsidP="00B86361">
      <w:r w:rsidRPr="00EB0CA5">
        <w:t xml:space="preserve">Ogólnie rzecz biorąc, sprawozdawca zgadza się z wnioskiem Komisji. Zamierza jednak ulepszyć wniosek, dostosowując go do celu REFIT, a tym samym sprawić, że będzie prostszy, mniej kosztowny i bardziej przewidywalny. Dostrzegając potrzebę rozszerzenia zakresu ESS o niektóre usługi oraz potrzebę elastycznego podejścia w odnośnych ramach, które umożliwi dostosowania do rozwoju metod oraz terminowe reagowanie na pojawiające się potrzeby użytkowników danych, sprawozdawca uważa, że konieczne jest również zadbanie o to, aby ograniczyć do minimum dodatkowe koszty i obciążenia administracyjne nałożone na podmioty gospodarcze – w szczególności na MŚP, ale także na państwa członkowskie. Zdaniem sprawozdawcy równie ważne jest, aby wzmocnić przepisy dotyczące poufności danych. </w:t>
      </w:r>
    </w:p>
    <w:p w14:paraId="530F4D22" w14:textId="2FB0AC5A" w:rsidR="00B86361" w:rsidRPr="00EB0CA5" w:rsidRDefault="00274304" w:rsidP="00B86361">
      <w:pPr>
        <w:pStyle w:val="PageHeading"/>
      </w:pPr>
      <w:r w:rsidRPr="00EB0CA5">
        <w:br w:type="page"/>
      </w:r>
      <w:bookmarkStart w:id="6" w:name="ProcPageRR"/>
      <w:bookmarkStart w:id="7" w:name="_Toc511312531"/>
      <w:r w:rsidRPr="00EB0CA5">
        <w:lastRenderedPageBreak/>
        <w:t>PROCEDURA W KOMISJI PRZEDMIOTOWO WŁAŚCIWEJ</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B0CA5" w:rsidRPr="00EB0CA5" w14:paraId="065A0AD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0EFBFA" w14:textId="77777777" w:rsidR="00B86361" w:rsidRPr="00EB0CA5" w:rsidRDefault="00B86361">
            <w:pPr>
              <w:autoSpaceDE w:val="0"/>
              <w:autoSpaceDN w:val="0"/>
              <w:adjustRightInd w:val="0"/>
              <w:rPr>
                <w:b/>
                <w:bCs/>
                <w:sz w:val="20"/>
              </w:rPr>
            </w:pPr>
            <w:r w:rsidRPr="00EB0CA5">
              <w:rPr>
                <w:b/>
                <w:bCs/>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E56B82" w14:textId="77777777" w:rsidR="00B86361" w:rsidRPr="00EB0CA5" w:rsidRDefault="00B86361">
            <w:pPr>
              <w:autoSpaceDE w:val="0"/>
              <w:autoSpaceDN w:val="0"/>
              <w:adjustRightInd w:val="0"/>
              <w:rPr>
                <w:sz w:val="20"/>
              </w:rPr>
            </w:pPr>
            <w:r w:rsidRPr="00EB0CA5">
              <w:rPr>
                <w:sz w:val="20"/>
              </w:rPr>
              <w:t>Wniosek dotyczący rozporządzenia Parlamentu Europejskiego i Rady w sprawie europejskiej statystyki gospodarczej, zmieniającego rozporządzenie (WE) nr 184/2005 i uchylającego 10 aktów prawnych w dziedzinie statystyki gospodarczej</w:t>
            </w:r>
          </w:p>
        </w:tc>
      </w:tr>
      <w:tr w:rsidR="00EB0CA5" w:rsidRPr="00EB0CA5" w14:paraId="0EAC386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5F48FA" w14:textId="77777777" w:rsidR="00B86361" w:rsidRPr="00EB0CA5" w:rsidRDefault="00B86361">
            <w:pPr>
              <w:autoSpaceDE w:val="0"/>
              <w:autoSpaceDN w:val="0"/>
              <w:adjustRightInd w:val="0"/>
              <w:rPr>
                <w:b/>
                <w:bCs/>
                <w:sz w:val="20"/>
              </w:rPr>
            </w:pPr>
            <w:r w:rsidRPr="00EB0CA5">
              <w:rPr>
                <w:b/>
                <w:bCs/>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7F7B5C" w14:textId="77777777" w:rsidR="00B86361" w:rsidRPr="00EB0CA5" w:rsidRDefault="00B86361">
            <w:pPr>
              <w:autoSpaceDE w:val="0"/>
              <w:autoSpaceDN w:val="0"/>
              <w:adjustRightInd w:val="0"/>
              <w:rPr>
                <w:sz w:val="20"/>
              </w:rPr>
            </w:pPr>
            <w:r w:rsidRPr="00EB0CA5">
              <w:rPr>
                <w:sz w:val="20"/>
              </w:rPr>
              <w:t>COM(2017)0114 – C8-0099/2017 – 2017/0048(COD)</w:t>
            </w:r>
          </w:p>
        </w:tc>
      </w:tr>
      <w:tr w:rsidR="00EB0CA5" w:rsidRPr="00EB0CA5" w14:paraId="5F558B8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FCF2A0" w14:textId="77777777" w:rsidR="00B86361" w:rsidRPr="00EB0CA5" w:rsidRDefault="00B86361">
            <w:pPr>
              <w:autoSpaceDE w:val="0"/>
              <w:autoSpaceDN w:val="0"/>
              <w:adjustRightInd w:val="0"/>
              <w:rPr>
                <w:b/>
                <w:bCs/>
                <w:sz w:val="20"/>
              </w:rPr>
            </w:pPr>
            <w:r w:rsidRPr="00EB0CA5">
              <w:rPr>
                <w:b/>
                <w:bCs/>
                <w:sz w:val="20"/>
              </w:rPr>
              <w:t>Data przedstawienia w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F4E634" w14:textId="77777777" w:rsidR="00B86361" w:rsidRPr="00EB0CA5" w:rsidRDefault="00B86361">
            <w:pPr>
              <w:autoSpaceDE w:val="0"/>
              <w:autoSpaceDN w:val="0"/>
              <w:adjustRightInd w:val="0"/>
              <w:rPr>
                <w:sz w:val="20"/>
              </w:rPr>
            </w:pPr>
            <w:r w:rsidRPr="00EB0CA5">
              <w:rPr>
                <w:sz w:val="20"/>
              </w:rPr>
              <w:t>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3018F4"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3A2E18"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07264F" w14:textId="77777777" w:rsidR="00B86361" w:rsidRPr="00EB0CA5" w:rsidRDefault="00B86361">
            <w:pPr>
              <w:autoSpaceDE w:val="0"/>
              <w:autoSpaceDN w:val="0"/>
              <w:adjustRightInd w:val="0"/>
              <w:rPr>
                <w:rFonts w:ascii="sans-serif" w:hAnsi="sans-serif" w:cs="sans-serif"/>
                <w:szCs w:val="24"/>
              </w:rPr>
            </w:pPr>
          </w:p>
        </w:tc>
      </w:tr>
      <w:tr w:rsidR="00EB0CA5" w:rsidRPr="00EB0CA5" w14:paraId="4B0EC19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D58F6E" w14:textId="77777777" w:rsidR="00B86361" w:rsidRPr="00EB0CA5" w:rsidRDefault="00B86361">
            <w:pPr>
              <w:autoSpaceDE w:val="0"/>
              <w:autoSpaceDN w:val="0"/>
              <w:adjustRightInd w:val="0"/>
              <w:rPr>
                <w:b/>
                <w:bCs/>
                <w:sz w:val="20"/>
              </w:rPr>
            </w:pPr>
            <w:r w:rsidRPr="00EB0CA5">
              <w:rPr>
                <w:b/>
                <w:bCs/>
                <w:sz w:val="20"/>
              </w:rPr>
              <w:t>Komisja przedmiotowo właściwa</w:t>
            </w:r>
          </w:p>
          <w:p w14:paraId="6EEC584F" w14:textId="77777777" w:rsidR="00B86361" w:rsidRPr="00EB0CA5" w:rsidRDefault="00B86361">
            <w:pPr>
              <w:autoSpaceDE w:val="0"/>
              <w:autoSpaceDN w:val="0"/>
              <w:adjustRightInd w:val="0"/>
              <w:rPr>
                <w:sz w:val="20"/>
              </w:rPr>
            </w:pPr>
            <w:r w:rsidRPr="00EB0CA5">
              <w:rPr>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14:paraId="7C04B785" w14:textId="77777777" w:rsidR="00B86361" w:rsidRPr="00EB0CA5" w:rsidRDefault="00B86361">
            <w:pPr>
              <w:autoSpaceDE w:val="0"/>
              <w:autoSpaceDN w:val="0"/>
              <w:adjustRightInd w:val="0"/>
              <w:rPr>
                <w:sz w:val="20"/>
              </w:rPr>
            </w:pPr>
            <w:r w:rsidRPr="00EB0CA5">
              <w:rPr>
                <w:sz w:val="20"/>
              </w:rPr>
              <w:t>ITRE</w:t>
            </w:r>
          </w:p>
          <w:p w14:paraId="5C016E03" w14:textId="77777777" w:rsidR="00B86361" w:rsidRPr="00EB0CA5" w:rsidRDefault="00B86361">
            <w:pPr>
              <w:autoSpaceDE w:val="0"/>
              <w:autoSpaceDN w:val="0"/>
              <w:adjustRightInd w:val="0"/>
              <w:rPr>
                <w:sz w:val="20"/>
              </w:rPr>
            </w:pPr>
            <w:r w:rsidRPr="00EB0CA5">
              <w:rPr>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14:paraId="3DE65D4E"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996489C"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56C6942" w14:textId="77777777" w:rsidR="00B86361" w:rsidRPr="00EB0CA5" w:rsidRDefault="00B86361">
            <w:pPr>
              <w:autoSpaceDE w:val="0"/>
              <w:autoSpaceDN w:val="0"/>
              <w:adjustRightInd w:val="0"/>
              <w:rPr>
                <w:rFonts w:ascii="sans-serif" w:hAnsi="sans-serif" w:cs="sans-serif"/>
                <w:szCs w:val="24"/>
              </w:rPr>
            </w:pPr>
          </w:p>
        </w:tc>
      </w:tr>
      <w:tr w:rsidR="00EB0CA5" w:rsidRPr="00EB0CA5" w14:paraId="32AF198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26D6E4" w14:textId="77777777" w:rsidR="00B86361" w:rsidRPr="00EB0CA5" w:rsidRDefault="00B86361">
            <w:pPr>
              <w:autoSpaceDE w:val="0"/>
              <w:autoSpaceDN w:val="0"/>
              <w:adjustRightInd w:val="0"/>
              <w:rPr>
                <w:b/>
                <w:bCs/>
                <w:sz w:val="20"/>
              </w:rPr>
            </w:pPr>
            <w:r w:rsidRPr="00EB0CA5">
              <w:rPr>
                <w:b/>
                <w:bCs/>
                <w:sz w:val="20"/>
              </w:rPr>
              <w:t>Komisje wyznaczone do wydania opinii</w:t>
            </w:r>
          </w:p>
          <w:p w14:paraId="3D0EB269" w14:textId="77777777" w:rsidR="00B86361" w:rsidRPr="00EB0CA5" w:rsidRDefault="00B86361">
            <w:pPr>
              <w:autoSpaceDE w:val="0"/>
              <w:autoSpaceDN w:val="0"/>
              <w:adjustRightInd w:val="0"/>
              <w:rPr>
                <w:sz w:val="20"/>
              </w:rPr>
            </w:pPr>
            <w:r w:rsidRPr="00EB0CA5">
              <w:rPr>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DF27DB" w14:textId="77777777" w:rsidR="00B86361" w:rsidRPr="00EB0CA5" w:rsidRDefault="00B86361">
            <w:pPr>
              <w:autoSpaceDE w:val="0"/>
              <w:autoSpaceDN w:val="0"/>
              <w:adjustRightInd w:val="0"/>
              <w:rPr>
                <w:sz w:val="20"/>
              </w:rPr>
            </w:pPr>
            <w:r w:rsidRPr="00EB0CA5">
              <w:rPr>
                <w:sz w:val="20"/>
              </w:rPr>
              <w:t>ECON</w:t>
            </w:r>
          </w:p>
          <w:p w14:paraId="4708E1DD" w14:textId="77777777" w:rsidR="00B86361" w:rsidRPr="00EB0CA5" w:rsidRDefault="00B86361">
            <w:pPr>
              <w:autoSpaceDE w:val="0"/>
              <w:autoSpaceDN w:val="0"/>
              <w:adjustRightInd w:val="0"/>
              <w:rPr>
                <w:sz w:val="20"/>
              </w:rPr>
            </w:pPr>
            <w:r w:rsidRPr="00EB0CA5">
              <w:rPr>
                <w:sz w:val="20"/>
              </w:rPr>
              <w:t>16.3.2017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CDA4F1"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3D7A3A"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870A9E" w14:textId="77777777" w:rsidR="00B86361" w:rsidRPr="00EB0CA5" w:rsidRDefault="00B86361">
            <w:pPr>
              <w:autoSpaceDE w:val="0"/>
              <w:autoSpaceDN w:val="0"/>
              <w:adjustRightInd w:val="0"/>
              <w:rPr>
                <w:rFonts w:ascii="sans-serif" w:hAnsi="sans-serif" w:cs="sans-serif"/>
                <w:szCs w:val="24"/>
              </w:rPr>
            </w:pPr>
          </w:p>
        </w:tc>
      </w:tr>
      <w:tr w:rsidR="00EB0CA5" w:rsidRPr="00EB0CA5" w14:paraId="4F82C7E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7235FF" w14:textId="77777777" w:rsidR="00B86361" w:rsidRPr="00EB0CA5" w:rsidRDefault="00B86361">
            <w:pPr>
              <w:autoSpaceDE w:val="0"/>
              <w:autoSpaceDN w:val="0"/>
              <w:adjustRightInd w:val="0"/>
              <w:rPr>
                <w:b/>
                <w:bCs/>
                <w:sz w:val="20"/>
              </w:rPr>
            </w:pPr>
            <w:r w:rsidRPr="00EB0CA5">
              <w:rPr>
                <w:b/>
                <w:bCs/>
                <w:sz w:val="20"/>
              </w:rPr>
              <w:t>Opinia niewydana</w:t>
            </w:r>
          </w:p>
          <w:p w14:paraId="728E19BA" w14:textId="77777777" w:rsidR="00B86361" w:rsidRPr="00EB0CA5" w:rsidRDefault="00B86361">
            <w:pPr>
              <w:autoSpaceDE w:val="0"/>
              <w:autoSpaceDN w:val="0"/>
              <w:adjustRightInd w:val="0"/>
              <w:rPr>
                <w:sz w:val="20"/>
              </w:rPr>
            </w:pPr>
            <w:r w:rsidRPr="00EB0CA5">
              <w:rPr>
                <w:sz w:val="20"/>
              </w:rPr>
              <w:t>       Data decyzji</w:t>
            </w:r>
          </w:p>
        </w:tc>
        <w:tc>
          <w:tcPr>
            <w:tcW w:w="1530" w:type="dxa"/>
            <w:tcBorders>
              <w:top w:val="nil"/>
              <w:left w:val="nil"/>
              <w:bottom w:val="single" w:sz="8" w:space="0" w:color="000000"/>
              <w:right w:val="nil"/>
            </w:tcBorders>
            <w:tcMar>
              <w:top w:w="79" w:type="dxa"/>
              <w:left w:w="79" w:type="dxa"/>
              <w:bottom w:w="79" w:type="dxa"/>
              <w:right w:w="79" w:type="dxa"/>
            </w:tcMar>
          </w:tcPr>
          <w:p w14:paraId="507DE736" w14:textId="77777777" w:rsidR="00B86361" w:rsidRPr="00EB0CA5" w:rsidRDefault="00B86361">
            <w:pPr>
              <w:autoSpaceDE w:val="0"/>
              <w:autoSpaceDN w:val="0"/>
              <w:adjustRightInd w:val="0"/>
              <w:rPr>
                <w:sz w:val="20"/>
              </w:rPr>
            </w:pPr>
            <w:r w:rsidRPr="00EB0CA5">
              <w:rPr>
                <w:sz w:val="20"/>
              </w:rPr>
              <w:t>ECON</w:t>
            </w:r>
          </w:p>
          <w:p w14:paraId="091BF017" w14:textId="77777777" w:rsidR="00B86361" w:rsidRPr="00EB0CA5" w:rsidRDefault="00B86361">
            <w:pPr>
              <w:autoSpaceDE w:val="0"/>
              <w:autoSpaceDN w:val="0"/>
              <w:adjustRightInd w:val="0"/>
              <w:rPr>
                <w:sz w:val="20"/>
              </w:rPr>
            </w:pPr>
            <w:r w:rsidRPr="00EB0CA5">
              <w:rPr>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14:paraId="0FD6644C"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ED26518"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87D0702" w14:textId="77777777" w:rsidR="00B86361" w:rsidRPr="00EB0CA5" w:rsidRDefault="00B86361">
            <w:pPr>
              <w:autoSpaceDE w:val="0"/>
              <w:autoSpaceDN w:val="0"/>
              <w:adjustRightInd w:val="0"/>
              <w:rPr>
                <w:rFonts w:ascii="sans-serif" w:hAnsi="sans-serif" w:cs="sans-serif"/>
                <w:szCs w:val="24"/>
              </w:rPr>
            </w:pPr>
          </w:p>
        </w:tc>
      </w:tr>
      <w:tr w:rsidR="00EB0CA5" w:rsidRPr="00EB0CA5" w14:paraId="6C29474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3B72CE" w14:textId="77777777" w:rsidR="00B86361" w:rsidRPr="00EB0CA5" w:rsidRDefault="00B86361">
            <w:pPr>
              <w:autoSpaceDE w:val="0"/>
              <w:autoSpaceDN w:val="0"/>
              <w:adjustRightInd w:val="0"/>
              <w:rPr>
                <w:b/>
                <w:bCs/>
                <w:sz w:val="20"/>
              </w:rPr>
            </w:pPr>
            <w:r w:rsidRPr="00EB0CA5">
              <w:rPr>
                <w:b/>
                <w:bCs/>
                <w:sz w:val="20"/>
              </w:rPr>
              <w:t>Sprawozdawcy</w:t>
            </w:r>
          </w:p>
          <w:p w14:paraId="6EB04823" w14:textId="77777777" w:rsidR="00B86361" w:rsidRPr="00EB0CA5" w:rsidRDefault="00B86361">
            <w:pPr>
              <w:autoSpaceDE w:val="0"/>
              <w:autoSpaceDN w:val="0"/>
              <w:adjustRightInd w:val="0"/>
              <w:rPr>
                <w:sz w:val="20"/>
              </w:rPr>
            </w:pPr>
            <w:r w:rsidRPr="00EB0CA5">
              <w:rPr>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CC57DA" w14:textId="77777777" w:rsidR="00B86361" w:rsidRPr="00EB0CA5" w:rsidRDefault="00B86361">
            <w:pPr>
              <w:autoSpaceDE w:val="0"/>
              <w:autoSpaceDN w:val="0"/>
              <w:adjustRightInd w:val="0"/>
              <w:rPr>
                <w:sz w:val="20"/>
              </w:rPr>
            </w:pPr>
            <w:r w:rsidRPr="00EB0CA5">
              <w:rPr>
                <w:sz w:val="20"/>
              </w:rPr>
              <w:t>Janusz Lewandowski</w:t>
            </w:r>
          </w:p>
          <w:p w14:paraId="6953512F" w14:textId="77777777" w:rsidR="00B86361" w:rsidRPr="00EB0CA5" w:rsidRDefault="00B86361">
            <w:pPr>
              <w:autoSpaceDE w:val="0"/>
              <w:autoSpaceDN w:val="0"/>
              <w:adjustRightInd w:val="0"/>
              <w:rPr>
                <w:sz w:val="20"/>
              </w:rPr>
            </w:pPr>
            <w:r w:rsidRPr="00EB0CA5">
              <w:rPr>
                <w:sz w:val="20"/>
              </w:rPr>
              <w:t>18.5.2017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5E762E"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E89117"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12D2AF" w14:textId="77777777" w:rsidR="00B86361" w:rsidRPr="00EB0CA5" w:rsidRDefault="00B86361">
            <w:pPr>
              <w:autoSpaceDE w:val="0"/>
              <w:autoSpaceDN w:val="0"/>
              <w:adjustRightInd w:val="0"/>
              <w:rPr>
                <w:rFonts w:ascii="sans-serif" w:hAnsi="sans-serif" w:cs="sans-serif"/>
                <w:szCs w:val="24"/>
              </w:rPr>
            </w:pPr>
          </w:p>
        </w:tc>
      </w:tr>
      <w:tr w:rsidR="00EB0CA5" w:rsidRPr="00EB0CA5" w14:paraId="661C650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A18356" w14:textId="77777777" w:rsidR="00B86361" w:rsidRPr="00EB0CA5" w:rsidRDefault="00B86361">
            <w:pPr>
              <w:autoSpaceDE w:val="0"/>
              <w:autoSpaceDN w:val="0"/>
              <w:adjustRightInd w:val="0"/>
              <w:rPr>
                <w:b/>
                <w:bCs/>
                <w:sz w:val="20"/>
              </w:rPr>
            </w:pPr>
            <w:r w:rsidRPr="00EB0CA5">
              <w:rPr>
                <w:b/>
                <w:bCs/>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D38216D" w14:textId="77777777" w:rsidR="00B86361" w:rsidRPr="00EB0CA5" w:rsidRDefault="00B86361">
            <w:pPr>
              <w:autoSpaceDE w:val="0"/>
              <w:autoSpaceDN w:val="0"/>
              <w:adjustRightInd w:val="0"/>
              <w:rPr>
                <w:sz w:val="20"/>
              </w:rPr>
            </w:pPr>
            <w:r w:rsidRPr="00EB0CA5">
              <w:rPr>
                <w:sz w:val="20"/>
              </w:rPr>
              <w:t>6.11.2017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6752B9"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DD746D" w14:textId="77777777" w:rsidR="00B86361" w:rsidRPr="00EB0CA5" w:rsidRDefault="00B8636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C83EC1" w14:textId="77777777" w:rsidR="00B86361" w:rsidRPr="00EB0CA5" w:rsidRDefault="00B86361">
            <w:pPr>
              <w:autoSpaceDE w:val="0"/>
              <w:autoSpaceDN w:val="0"/>
              <w:adjustRightInd w:val="0"/>
              <w:rPr>
                <w:rFonts w:ascii="sans-serif" w:hAnsi="sans-serif" w:cs="sans-serif"/>
                <w:szCs w:val="24"/>
              </w:rPr>
            </w:pPr>
          </w:p>
        </w:tc>
      </w:tr>
      <w:tr w:rsidR="00EB0CA5" w:rsidRPr="00EB0CA5" w14:paraId="183826D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5D95FC" w14:textId="77777777" w:rsidR="00B86361" w:rsidRPr="00EB0CA5" w:rsidRDefault="00B86361">
            <w:pPr>
              <w:autoSpaceDE w:val="0"/>
              <w:autoSpaceDN w:val="0"/>
              <w:adjustRightInd w:val="0"/>
              <w:rPr>
                <w:b/>
                <w:bCs/>
                <w:sz w:val="20"/>
              </w:rPr>
            </w:pPr>
            <w:r w:rsidRPr="00EB0CA5">
              <w:rPr>
                <w:b/>
                <w:bCs/>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14:paraId="234FE4D4" w14:textId="77777777" w:rsidR="00B86361" w:rsidRPr="00EB0CA5" w:rsidRDefault="00B86361">
            <w:pPr>
              <w:autoSpaceDE w:val="0"/>
              <w:autoSpaceDN w:val="0"/>
              <w:adjustRightInd w:val="0"/>
              <w:rPr>
                <w:sz w:val="20"/>
              </w:rPr>
            </w:pPr>
            <w:r w:rsidRPr="00EB0CA5">
              <w:rPr>
                <w:sz w:val="20"/>
              </w:rPr>
              <w:t>21.3.2018</w:t>
            </w:r>
          </w:p>
        </w:tc>
        <w:tc>
          <w:tcPr>
            <w:tcW w:w="1474" w:type="dxa"/>
            <w:tcBorders>
              <w:top w:val="nil"/>
              <w:left w:val="nil"/>
              <w:bottom w:val="single" w:sz="8" w:space="0" w:color="000000"/>
              <w:right w:val="nil"/>
            </w:tcBorders>
            <w:tcMar>
              <w:top w:w="79" w:type="dxa"/>
              <w:left w:w="79" w:type="dxa"/>
              <w:bottom w:w="79" w:type="dxa"/>
              <w:right w:w="79" w:type="dxa"/>
            </w:tcMar>
          </w:tcPr>
          <w:p w14:paraId="4B0A4B4B"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4F75183" w14:textId="77777777" w:rsidR="00B86361" w:rsidRPr="00EB0CA5" w:rsidRDefault="00B86361">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EFF038D" w14:textId="77777777" w:rsidR="00B86361" w:rsidRPr="00EB0CA5" w:rsidRDefault="00B86361">
            <w:pPr>
              <w:autoSpaceDE w:val="0"/>
              <w:autoSpaceDN w:val="0"/>
              <w:adjustRightInd w:val="0"/>
              <w:rPr>
                <w:rFonts w:ascii="sans-serif" w:hAnsi="sans-serif" w:cs="sans-serif"/>
                <w:szCs w:val="24"/>
              </w:rPr>
            </w:pPr>
          </w:p>
        </w:tc>
      </w:tr>
      <w:tr w:rsidR="00EB0CA5" w:rsidRPr="00EB0CA5" w14:paraId="7AE6B05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35FDA9" w14:textId="77777777" w:rsidR="00B86361" w:rsidRPr="00EB0CA5" w:rsidRDefault="00B86361">
            <w:pPr>
              <w:autoSpaceDE w:val="0"/>
              <w:autoSpaceDN w:val="0"/>
              <w:adjustRightInd w:val="0"/>
              <w:rPr>
                <w:b/>
                <w:bCs/>
                <w:sz w:val="20"/>
              </w:rPr>
            </w:pPr>
            <w:r w:rsidRPr="00EB0CA5">
              <w:rPr>
                <w:b/>
                <w:bCs/>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511F26" w14:textId="77777777" w:rsidR="00B86361" w:rsidRPr="00EB0CA5" w:rsidRDefault="00B86361">
            <w:pPr>
              <w:autoSpaceDE w:val="0"/>
              <w:autoSpaceDN w:val="0"/>
              <w:adjustRightInd w:val="0"/>
              <w:rPr>
                <w:sz w:val="20"/>
              </w:rPr>
            </w:pPr>
            <w:r w:rsidRPr="00EB0CA5">
              <w:rPr>
                <w:sz w:val="20"/>
              </w:rPr>
              <w:t>+:</w:t>
            </w:r>
          </w:p>
          <w:p w14:paraId="5224DE14" w14:textId="77777777" w:rsidR="00B86361" w:rsidRPr="00EB0CA5" w:rsidRDefault="00B86361">
            <w:pPr>
              <w:autoSpaceDE w:val="0"/>
              <w:autoSpaceDN w:val="0"/>
              <w:adjustRightInd w:val="0"/>
              <w:rPr>
                <w:sz w:val="20"/>
              </w:rPr>
            </w:pPr>
            <w:r w:rsidRPr="00EB0CA5">
              <w:rPr>
                <w:sz w:val="20"/>
              </w:rPr>
              <w:t>–:</w:t>
            </w:r>
          </w:p>
          <w:p w14:paraId="6B6886F8" w14:textId="77777777" w:rsidR="00B86361" w:rsidRPr="00EB0CA5" w:rsidRDefault="00B86361">
            <w:pPr>
              <w:autoSpaceDE w:val="0"/>
              <w:autoSpaceDN w:val="0"/>
              <w:adjustRightInd w:val="0"/>
              <w:rPr>
                <w:sz w:val="20"/>
              </w:rPr>
            </w:pPr>
            <w:r w:rsidRPr="00EB0CA5">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0ED2E7" w14:textId="77777777" w:rsidR="00B86361" w:rsidRPr="00EB0CA5" w:rsidRDefault="00B86361">
            <w:pPr>
              <w:autoSpaceDE w:val="0"/>
              <w:autoSpaceDN w:val="0"/>
              <w:adjustRightInd w:val="0"/>
              <w:rPr>
                <w:sz w:val="20"/>
              </w:rPr>
            </w:pPr>
            <w:r w:rsidRPr="00EB0CA5">
              <w:rPr>
                <w:sz w:val="20"/>
              </w:rPr>
              <w:t>57</w:t>
            </w:r>
          </w:p>
          <w:p w14:paraId="67BDB6AA" w14:textId="77777777" w:rsidR="00B86361" w:rsidRPr="00EB0CA5" w:rsidRDefault="00B86361">
            <w:pPr>
              <w:autoSpaceDE w:val="0"/>
              <w:autoSpaceDN w:val="0"/>
              <w:adjustRightInd w:val="0"/>
              <w:rPr>
                <w:sz w:val="20"/>
              </w:rPr>
            </w:pPr>
            <w:r w:rsidRPr="00EB0CA5">
              <w:rPr>
                <w:sz w:val="20"/>
              </w:rPr>
              <w:t>6</w:t>
            </w:r>
          </w:p>
          <w:p w14:paraId="74159449" w14:textId="77777777" w:rsidR="00B86361" w:rsidRPr="00EB0CA5" w:rsidRDefault="00B86361">
            <w:pPr>
              <w:autoSpaceDE w:val="0"/>
              <w:autoSpaceDN w:val="0"/>
              <w:adjustRightInd w:val="0"/>
              <w:rPr>
                <w:sz w:val="20"/>
              </w:rPr>
            </w:pPr>
            <w:r w:rsidRPr="00EB0CA5">
              <w:rPr>
                <w:sz w:val="20"/>
              </w:rPr>
              <w:t>0</w:t>
            </w:r>
          </w:p>
        </w:tc>
      </w:tr>
      <w:tr w:rsidR="00EB0CA5" w:rsidRPr="00EB0CA5" w14:paraId="4959694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093674" w14:textId="77777777" w:rsidR="00B86361" w:rsidRPr="00EB0CA5" w:rsidRDefault="00B86361">
            <w:pPr>
              <w:autoSpaceDE w:val="0"/>
              <w:autoSpaceDN w:val="0"/>
              <w:adjustRightInd w:val="0"/>
              <w:rPr>
                <w:b/>
                <w:bCs/>
                <w:sz w:val="20"/>
              </w:rPr>
            </w:pPr>
            <w:r w:rsidRPr="00EB0CA5">
              <w:rPr>
                <w:b/>
                <w:bCs/>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7AE96B" w14:textId="77777777" w:rsidR="00B86361" w:rsidRPr="00EB0CA5" w:rsidRDefault="00B86361">
            <w:pPr>
              <w:autoSpaceDE w:val="0"/>
              <w:autoSpaceDN w:val="0"/>
              <w:adjustRightInd w:val="0"/>
              <w:rPr>
                <w:sz w:val="20"/>
              </w:rPr>
            </w:pPr>
            <w:r w:rsidRPr="00EB0CA5">
              <w:rPr>
                <w:sz w:val="20"/>
              </w:rPr>
              <w:t>Zigmantas Balčytis, Nikolay Barekov, Bendt Bendtsen, Xabier Benito Ziluaga, José Blanco López, Jonathan Bullock, Cristian-Silviu Buşoi, Reinhard Bütikofer, Jerzy Buzek, Angelo Ciocca, Edward Czesak, Jakop Dalunde, Pilar del Castillo Vera, Ashley Fox, Adam Gierek, Theresa Griffin,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Morten Helveg Petersen, Miroslav Poche, Julia Reda, Paul Rübig, Massimiliano Salini, Algirdas Saudargas, Sven Schulze, Neoklis Sylikiotis, Dario Tamburrano, Patrizia Toia, Evžen Tošenovský, Claude Turmes, Vladimir Urutchev, Kathleen Van Brempt, Henna Virkkunen, Martina Werner, Hermann Winkler, Anna Záborská, Flavio Zanonato, Carlos Zorrinho</w:t>
            </w:r>
          </w:p>
        </w:tc>
      </w:tr>
      <w:tr w:rsidR="00EB0CA5" w:rsidRPr="00EB0CA5" w14:paraId="5EEDDFD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29174D" w14:textId="77777777" w:rsidR="00B86361" w:rsidRPr="00EB0CA5" w:rsidRDefault="00B86361">
            <w:pPr>
              <w:autoSpaceDE w:val="0"/>
              <w:autoSpaceDN w:val="0"/>
              <w:adjustRightInd w:val="0"/>
              <w:rPr>
                <w:b/>
                <w:bCs/>
                <w:sz w:val="20"/>
              </w:rPr>
            </w:pPr>
            <w:r w:rsidRPr="00EB0CA5">
              <w:rPr>
                <w:b/>
                <w:bCs/>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6F8929" w14:textId="77777777" w:rsidR="00B86361" w:rsidRPr="00EB0CA5" w:rsidRDefault="00B86361">
            <w:pPr>
              <w:autoSpaceDE w:val="0"/>
              <w:autoSpaceDN w:val="0"/>
              <w:adjustRightInd w:val="0"/>
              <w:rPr>
                <w:sz w:val="20"/>
              </w:rPr>
            </w:pPr>
            <w:r w:rsidRPr="00EB0CA5">
              <w:rPr>
                <w:sz w:val="20"/>
              </w:rPr>
              <w:t>Gunnar Hökmark, Luděk Niedermayer, Dennis Radtke, Dominique Riquet, Pavel Telička</w:t>
            </w:r>
          </w:p>
        </w:tc>
      </w:tr>
      <w:tr w:rsidR="00EB0CA5" w:rsidRPr="00EB0CA5" w14:paraId="47073E1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B0C49F" w14:textId="77777777" w:rsidR="00B86361" w:rsidRPr="00EB0CA5" w:rsidRDefault="00B86361">
            <w:pPr>
              <w:autoSpaceDE w:val="0"/>
              <w:autoSpaceDN w:val="0"/>
              <w:adjustRightInd w:val="0"/>
              <w:rPr>
                <w:b/>
                <w:bCs/>
                <w:sz w:val="20"/>
              </w:rPr>
            </w:pPr>
            <w:r w:rsidRPr="00EB0CA5">
              <w:rPr>
                <w:b/>
                <w:bCs/>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73E43A" w14:textId="77777777" w:rsidR="00B86361" w:rsidRPr="00EB0CA5" w:rsidRDefault="00B86361">
            <w:pPr>
              <w:autoSpaceDE w:val="0"/>
              <w:autoSpaceDN w:val="0"/>
              <w:adjustRightInd w:val="0"/>
              <w:rPr>
                <w:sz w:val="20"/>
              </w:rPr>
            </w:pPr>
            <w:r w:rsidRPr="00EB0CA5">
              <w:rPr>
                <w:sz w:val="20"/>
              </w:rPr>
              <w:t>Gerolf Annemans, Rosa D’Amato, Emilian Pavel</w:t>
            </w:r>
          </w:p>
        </w:tc>
      </w:tr>
      <w:tr w:rsidR="00EB0CA5" w:rsidRPr="00EB0CA5" w14:paraId="7CF1E56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E5DAF5" w14:textId="77777777" w:rsidR="00B86361" w:rsidRPr="00EB0CA5" w:rsidRDefault="00B86361">
            <w:pPr>
              <w:autoSpaceDE w:val="0"/>
              <w:autoSpaceDN w:val="0"/>
              <w:adjustRightInd w:val="0"/>
              <w:rPr>
                <w:b/>
                <w:bCs/>
                <w:sz w:val="20"/>
              </w:rPr>
            </w:pPr>
            <w:r w:rsidRPr="00EB0CA5">
              <w:rPr>
                <w:b/>
                <w:bCs/>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0DEAB5" w14:textId="77777777" w:rsidR="00B86361" w:rsidRPr="00EB0CA5" w:rsidRDefault="00B86361">
            <w:pPr>
              <w:autoSpaceDE w:val="0"/>
              <w:autoSpaceDN w:val="0"/>
              <w:adjustRightInd w:val="0"/>
              <w:rPr>
                <w:sz w:val="20"/>
              </w:rPr>
            </w:pPr>
            <w:r w:rsidRPr="00EB0CA5">
              <w:rPr>
                <w:sz w:val="20"/>
              </w:rPr>
              <w:t>23.3.2018</w:t>
            </w:r>
          </w:p>
        </w:tc>
      </w:tr>
    </w:tbl>
    <w:p w14:paraId="66FAEE2B" w14:textId="77777777" w:rsidR="00B86361" w:rsidRPr="00EB0CA5" w:rsidRDefault="00B86361">
      <w:pPr>
        <w:autoSpaceDE w:val="0"/>
        <w:autoSpaceDN w:val="0"/>
        <w:adjustRightInd w:val="0"/>
        <w:rPr>
          <w:rFonts w:ascii="Arial" w:hAnsi="Arial" w:cs="Arial"/>
          <w:szCs w:val="24"/>
        </w:rPr>
      </w:pPr>
    </w:p>
    <w:bookmarkEnd w:id="6"/>
    <w:p w14:paraId="1900EBE3" w14:textId="0186E94C" w:rsidR="00D5541D" w:rsidRPr="00EB0CA5" w:rsidRDefault="00D5541D" w:rsidP="00B86361">
      <w:r w:rsidRPr="00EB0CA5">
        <w:br w:type="page"/>
      </w:r>
    </w:p>
    <w:p w14:paraId="5690006F" w14:textId="77777777" w:rsidR="00274304" w:rsidRPr="00EB0CA5" w:rsidRDefault="00274304" w:rsidP="00274304"/>
    <w:p w14:paraId="6B5E46DC" w14:textId="2436B2CE" w:rsidR="00274304" w:rsidRPr="00EB0CA5" w:rsidRDefault="00274304" w:rsidP="00B86361">
      <w:pPr>
        <w:pStyle w:val="PageHeading"/>
      </w:pPr>
      <w:bookmarkStart w:id="8" w:name="RollCallPageRR"/>
      <w:bookmarkStart w:id="9" w:name="_Toc511312532"/>
      <w:r w:rsidRPr="00EB0CA5">
        <w:t>GŁOSOWANIE KOŃCOWE W FORMIE GŁOSOWANIA IMIENNEGO W KOMISJI PRZEDMIOTOWO WŁAŚCIWEJ</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0CA5" w:rsidRPr="00EB0CA5" w14:paraId="70128406" w14:textId="77777777" w:rsidTr="00D5541D">
        <w:trPr>
          <w:cantSplit/>
        </w:trPr>
        <w:tc>
          <w:tcPr>
            <w:tcW w:w="1701" w:type="dxa"/>
            <w:shd w:val="pct10" w:color="000000" w:fill="FFFFFF"/>
            <w:vAlign w:val="center"/>
          </w:tcPr>
          <w:p w14:paraId="1AD16348" w14:textId="0A86AB84" w:rsidR="00274304" w:rsidRPr="00EB0CA5" w:rsidRDefault="00274304" w:rsidP="00D5541D">
            <w:pPr>
              <w:spacing w:before="120" w:after="120"/>
              <w:jc w:val="center"/>
              <w:rPr>
                <w:b/>
                <w:sz w:val="20"/>
              </w:rPr>
            </w:pPr>
            <w:r w:rsidRPr="00EB0CA5">
              <w:rPr>
                <w:b/>
                <w:sz w:val="20"/>
              </w:rPr>
              <w:t>57</w:t>
            </w:r>
          </w:p>
        </w:tc>
        <w:tc>
          <w:tcPr>
            <w:tcW w:w="7371" w:type="dxa"/>
            <w:shd w:val="pct10" w:color="000000" w:fill="FFFFFF"/>
          </w:tcPr>
          <w:p w14:paraId="6DDA7049" w14:textId="77777777" w:rsidR="00274304" w:rsidRPr="00EB0CA5" w:rsidRDefault="00274304" w:rsidP="00D5541D">
            <w:pPr>
              <w:spacing w:before="120" w:after="120"/>
              <w:jc w:val="center"/>
              <w:rPr>
                <w:rFonts w:ascii="Arial" w:hAnsi="Arial" w:cs="Arial"/>
                <w:b/>
                <w:sz w:val="28"/>
                <w:szCs w:val="28"/>
              </w:rPr>
            </w:pPr>
            <w:r w:rsidRPr="00EB0CA5">
              <w:rPr>
                <w:rFonts w:ascii="Arial" w:hAnsi="Arial"/>
                <w:b/>
                <w:sz w:val="28"/>
                <w:szCs w:val="28"/>
              </w:rPr>
              <w:t>+</w:t>
            </w:r>
          </w:p>
        </w:tc>
      </w:tr>
      <w:tr w:rsidR="00EB0CA5" w:rsidRPr="00EB0CA5" w14:paraId="496CC96D" w14:textId="77777777" w:rsidTr="00D5541D">
        <w:trPr>
          <w:cantSplit/>
        </w:trPr>
        <w:tc>
          <w:tcPr>
            <w:tcW w:w="1701" w:type="dxa"/>
            <w:shd w:val="clear" w:color="auto" w:fill="FFFFFF"/>
          </w:tcPr>
          <w:p w14:paraId="115FBC6A" w14:textId="2BD3C223" w:rsidR="00274304" w:rsidRPr="00EB0CA5" w:rsidRDefault="00274304" w:rsidP="00D5541D">
            <w:pPr>
              <w:spacing w:before="120" w:after="120"/>
              <w:rPr>
                <w:sz w:val="20"/>
              </w:rPr>
            </w:pPr>
            <w:r w:rsidRPr="00EB0CA5">
              <w:rPr>
                <w:sz w:val="20"/>
              </w:rPr>
              <w:t>ALDE</w:t>
            </w:r>
          </w:p>
        </w:tc>
        <w:tc>
          <w:tcPr>
            <w:tcW w:w="7371" w:type="dxa"/>
            <w:shd w:val="clear" w:color="auto" w:fill="FFFFFF"/>
          </w:tcPr>
          <w:p w14:paraId="20CBE715" w14:textId="1E01606A" w:rsidR="00274304" w:rsidRPr="00EB0CA5" w:rsidRDefault="00274304" w:rsidP="00D5541D">
            <w:pPr>
              <w:spacing w:before="120" w:after="120"/>
              <w:rPr>
                <w:sz w:val="20"/>
              </w:rPr>
            </w:pPr>
            <w:r w:rsidRPr="00EB0CA5">
              <w:rPr>
                <w:sz w:val="20"/>
              </w:rPr>
              <w:t>Kaja Kallas, Angelika Mlinar, Morten Helveg Petersen, Dominique Riquet, Pavel Telička</w:t>
            </w:r>
          </w:p>
        </w:tc>
      </w:tr>
      <w:tr w:rsidR="00EB0CA5" w:rsidRPr="00EB0CA5" w14:paraId="73563B82" w14:textId="77777777" w:rsidTr="00D5541D">
        <w:trPr>
          <w:cantSplit/>
        </w:trPr>
        <w:tc>
          <w:tcPr>
            <w:tcW w:w="1701" w:type="dxa"/>
            <w:shd w:val="clear" w:color="auto" w:fill="FFFFFF"/>
          </w:tcPr>
          <w:p w14:paraId="2E1098BF" w14:textId="4E35E15D" w:rsidR="00274304" w:rsidRPr="00EB0CA5" w:rsidRDefault="00274304" w:rsidP="00D5541D">
            <w:pPr>
              <w:spacing w:before="120" w:after="120"/>
              <w:rPr>
                <w:sz w:val="20"/>
              </w:rPr>
            </w:pPr>
            <w:r w:rsidRPr="00EB0CA5">
              <w:rPr>
                <w:sz w:val="20"/>
              </w:rPr>
              <w:t>ECR</w:t>
            </w:r>
          </w:p>
        </w:tc>
        <w:tc>
          <w:tcPr>
            <w:tcW w:w="7371" w:type="dxa"/>
            <w:shd w:val="clear" w:color="auto" w:fill="FFFFFF"/>
          </w:tcPr>
          <w:p w14:paraId="4DC0AA68" w14:textId="04137F6F" w:rsidR="00274304" w:rsidRPr="00EB0CA5" w:rsidRDefault="00274304" w:rsidP="00D5541D">
            <w:pPr>
              <w:spacing w:before="120" w:after="120"/>
              <w:rPr>
                <w:sz w:val="20"/>
              </w:rPr>
            </w:pPr>
            <w:r w:rsidRPr="00EB0CA5">
              <w:rPr>
                <w:sz w:val="20"/>
              </w:rPr>
              <w:t>Nikolay Barekov, Edward Czesak, Ashley Fox, Hans-Olaf Henkel, Zdzisław Krasnodębski, Evžen Tošenovský</w:t>
            </w:r>
          </w:p>
        </w:tc>
      </w:tr>
      <w:tr w:rsidR="00EB0CA5" w:rsidRPr="00EB0CA5" w14:paraId="62FA6A00" w14:textId="77777777" w:rsidTr="00D5541D">
        <w:trPr>
          <w:cantSplit/>
        </w:trPr>
        <w:tc>
          <w:tcPr>
            <w:tcW w:w="1701" w:type="dxa"/>
            <w:shd w:val="clear" w:color="auto" w:fill="FFFFFF"/>
          </w:tcPr>
          <w:p w14:paraId="64FDC955" w14:textId="3BC16F52" w:rsidR="00274304" w:rsidRPr="00EB0CA5" w:rsidRDefault="00274304" w:rsidP="00D5541D">
            <w:pPr>
              <w:spacing w:before="120" w:after="120"/>
              <w:rPr>
                <w:sz w:val="20"/>
              </w:rPr>
            </w:pPr>
            <w:r w:rsidRPr="00EB0CA5">
              <w:rPr>
                <w:sz w:val="20"/>
              </w:rPr>
              <w:t>EFDD</w:t>
            </w:r>
          </w:p>
        </w:tc>
        <w:tc>
          <w:tcPr>
            <w:tcW w:w="7371" w:type="dxa"/>
            <w:shd w:val="clear" w:color="auto" w:fill="FFFFFF"/>
          </w:tcPr>
          <w:p w14:paraId="7721B3C4" w14:textId="06D87728" w:rsidR="00274304" w:rsidRPr="00EB0CA5" w:rsidRDefault="00274304" w:rsidP="00D5541D">
            <w:pPr>
              <w:spacing w:before="120" w:after="120"/>
              <w:rPr>
                <w:sz w:val="20"/>
              </w:rPr>
            </w:pPr>
            <w:r w:rsidRPr="00EB0CA5">
              <w:rPr>
                <w:sz w:val="20"/>
              </w:rPr>
              <w:t>Rosa D'Amato, Dario Tamburrano</w:t>
            </w:r>
          </w:p>
        </w:tc>
      </w:tr>
      <w:tr w:rsidR="00EB0CA5" w:rsidRPr="00EB0CA5" w14:paraId="2819D88D" w14:textId="77777777" w:rsidTr="00D5541D">
        <w:trPr>
          <w:cantSplit/>
        </w:trPr>
        <w:tc>
          <w:tcPr>
            <w:tcW w:w="1701" w:type="dxa"/>
            <w:shd w:val="clear" w:color="auto" w:fill="FFFFFF"/>
          </w:tcPr>
          <w:p w14:paraId="7EDE8629" w14:textId="02956ECB" w:rsidR="00274304" w:rsidRPr="00EB0CA5" w:rsidRDefault="00274304" w:rsidP="00D5541D">
            <w:pPr>
              <w:spacing w:before="120" w:after="120"/>
              <w:rPr>
                <w:sz w:val="20"/>
              </w:rPr>
            </w:pPr>
            <w:r w:rsidRPr="00EB0CA5">
              <w:rPr>
                <w:sz w:val="20"/>
              </w:rPr>
              <w:t>ENF</w:t>
            </w:r>
          </w:p>
        </w:tc>
        <w:tc>
          <w:tcPr>
            <w:tcW w:w="7371" w:type="dxa"/>
            <w:shd w:val="clear" w:color="auto" w:fill="FFFFFF"/>
          </w:tcPr>
          <w:p w14:paraId="39CDD2B9" w14:textId="39C825DB" w:rsidR="00274304" w:rsidRPr="00EB0CA5" w:rsidRDefault="00274304" w:rsidP="00D5541D">
            <w:pPr>
              <w:spacing w:before="120" w:after="120"/>
              <w:rPr>
                <w:sz w:val="20"/>
              </w:rPr>
            </w:pPr>
            <w:r w:rsidRPr="00EB0CA5">
              <w:rPr>
                <w:sz w:val="20"/>
              </w:rPr>
              <w:t>Gerolf Annemans, Angelo Ciocca, Christelle Lechevalier</w:t>
            </w:r>
          </w:p>
        </w:tc>
      </w:tr>
      <w:tr w:rsidR="00EB0CA5" w:rsidRPr="00EB0CA5" w14:paraId="6E208A1F" w14:textId="77777777" w:rsidTr="00D5541D">
        <w:trPr>
          <w:cantSplit/>
        </w:trPr>
        <w:tc>
          <w:tcPr>
            <w:tcW w:w="1701" w:type="dxa"/>
            <w:shd w:val="clear" w:color="auto" w:fill="FFFFFF"/>
          </w:tcPr>
          <w:p w14:paraId="51453306" w14:textId="715FBD45" w:rsidR="00274304" w:rsidRPr="00EB0CA5" w:rsidRDefault="00274304" w:rsidP="00D5541D">
            <w:pPr>
              <w:spacing w:before="120" w:after="120"/>
              <w:rPr>
                <w:sz w:val="20"/>
              </w:rPr>
            </w:pPr>
            <w:r w:rsidRPr="00EB0CA5">
              <w:rPr>
                <w:sz w:val="20"/>
              </w:rPr>
              <w:t>PPE</w:t>
            </w:r>
          </w:p>
        </w:tc>
        <w:tc>
          <w:tcPr>
            <w:tcW w:w="7371" w:type="dxa"/>
            <w:shd w:val="clear" w:color="auto" w:fill="FFFFFF"/>
          </w:tcPr>
          <w:p w14:paraId="66C351A8" w14:textId="1FAEA320" w:rsidR="00274304" w:rsidRPr="00EB0CA5" w:rsidRDefault="00274304" w:rsidP="00D5541D">
            <w:pPr>
              <w:spacing w:before="120" w:after="120"/>
              <w:rPr>
                <w:sz w:val="20"/>
              </w:rPr>
            </w:pPr>
            <w:r w:rsidRPr="00EB0CA5">
              <w:rPr>
                <w:sz w:val="20"/>
              </w:rPr>
              <w:t>Bendt Bendtsen, Cristian-Silviu Buşoi, Jerzy Buzek, Pilar del Castillo Vera, Gunnar Hökmark, Krišjānis Kariņš, Seán Kelly, Janusz Lewandowski, Nadine Morano, Angelika Niebler, Luděk Niedermayer, Dennis Radtke, Paul Rübig, Massimiliano Salini, Algirdas Saudargas, Sven Schulze, Vladimir Urutchev, Henna Virkkunen, Anna Záborská</w:t>
            </w:r>
          </w:p>
        </w:tc>
      </w:tr>
      <w:tr w:rsidR="00EB0CA5" w:rsidRPr="00EB0CA5" w14:paraId="1D43EFC0" w14:textId="77777777" w:rsidTr="00D5541D">
        <w:trPr>
          <w:cantSplit/>
        </w:trPr>
        <w:tc>
          <w:tcPr>
            <w:tcW w:w="1701" w:type="dxa"/>
            <w:shd w:val="clear" w:color="auto" w:fill="FFFFFF"/>
          </w:tcPr>
          <w:p w14:paraId="08B7DA9F" w14:textId="52514EEC" w:rsidR="00274304" w:rsidRPr="00EB0CA5" w:rsidRDefault="00274304" w:rsidP="00D5541D">
            <w:pPr>
              <w:spacing w:before="120" w:after="120"/>
              <w:rPr>
                <w:sz w:val="20"/>
              </w:rPr>
            </w:pPr>
            <w:r w:rsidRPr="00EB0CA5">
              <w:rPr>
                <w:sz w:val="20"/>
              </w:rPr>
              <w:t>S&amp;D</w:t>
            </w:r>
          </w:p>
        </w:tc>
        <w:tc>
          <w:tcPr>
            <w:tcW w:w="7371" w:type="dxa"/>
            <w:shd w:val="clear" w:color="auto" w:fill="FFFFFF"/>
          </w:tcPr>
          <w:p w14:paraId="104AB665" w14:textId="001D1C7B" w:rsidR="00274304" w:rsidRPr="00EB0CA5" w:rsidRDefault="00274304" w:rsidP="00D5541D">
            <w:pPr>
              <w:spacing w:before="120" w:after="120"/>
              <w:rPr>
                <w:sz w:val="20"/>
              </w:rPr>
            </w:pPr>
            <w:r w:rsidRPr="00EB0CA5">
              <w:rPr>
                <w:sz w:val="20"/>
              </w:rPr>
              <w:t>Zigmantas Balčytis, José Blanco López, Adam Gierek, Theresa Griffin, Eva Kaili, Jeppe Kofod, Peter Kouroumbashev, Miapetra Kumpula-Natri, Edouard Martin, Dan Nica, Emilian Pavel, Miroslav Poche, Patrizia Toia, Kathleen Van Brempt, Martina Werner, Flavio Zanonato, Carlos Zorrinho</w:t>
            </w:r>
          </w:p>
        </w:tc>
      </w:tr>
      <w:tr w:rsidR="00EB0CA5" w:rsidRPr="00EB0CA5" w14:paraId="496B7A71" w14:textId="77777777" w:rsidTr="00D5541D">
        <w:trPr>
          <w:cantSplit/>
        </w:trPr>
        <w:tc>
          <w:tcPr>
            <w:tcW w:w="1701" w:type="dxa"/>
            <w:shd w:val="clear" w:color="auto" w:fill="FFFFFF"/>
          </w:tcPr>
          <w:p w14:paraId="7E6795CA" w14:textId="3B452C80" w:rsidR="00274304" w:rsidRPr="00EB0CA5" w:rsidRDefault="00274304" w:rsidP="00D5541D">
            <w:pPr>
              <w:spacing w:before="120" w:after="120"/>
              <w:rPr>
                <w:sz w:val="20"/>
              </w:rPr>
            </w:pPr>
            <w:r w:rsidRPr="00EB0CA5">
              <w:rPr>
                <w:sz w:val="20"/>
              </w:rPr>
              <w:t>VERTS/ALE</w:t>
            </w:r>
          </w:p>
        </w:tc>
        <w:tc>
          <w:tcPr>
            <w:tcW w:w="7371" w:type="dxa"/>
            <w:shd w:val="clear" w:color="auto" w:fill="FFFFFF"/>
          </w:tcPr>
          <w:p w14:paraId="66EA6682" w14:textId="67C8F01B" w:rsidR="00274304" w:rsidRPr="00EB0CA5" w:rsidRDefault="00274304" w:rsidP="00D5541D">
            <w:pPr>
              <w:spacing w:before="120" w:after="120"/>
              <w:rPr>
                <w:sz w:val="20"/>
              </w:rPr>
            </w:pPr>
            <w:r w:rsidRPr="00EB0CA5">
              <w:rPr>
                <w:sz w:val="20"/>
              </w:rPr>
              <w:t>Reinhard Bütikofer, Jakop Dalunde, Rebecca Harms, Julia Reda, Claude Turmes</w:t>
            </w:r>
          </w:p>
        </w:tc>
      </w:tr>
    </w:tbl>
    <w:p w14:paraId="6D78284C" w14:textId="77777777" w:rsidR="00274304" w:rsidRPr="00EB0CA5" w:rsidRDefault="00274304" w:rsidP="00D554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0CA5" w:rsidRPr="00EB0CA5" w14:paraId="448300F1" w14:textId="77777777" w:rsidTr="00D5541D">
        <w:trPr>
          <w:cantSplit/>
        </w:trPr>
        <w:tc>
          <w:tcPr>
            <w:tcW w:w="1701" w:type="dxa"/>
            <w:shd w:val="pct10" w:color="000000" w:fill="FFFFFF"/>
            <w:vAlign w:val="center"/>
          </w:tcPr>
          <w:p w14:paraId="35AED350" w14:textId="0D245FC4" w:rsidR="00274304" w:rsidRPr="00EB0CA5" w:rsidRDefault="00274304" w:rsidP="00D5541D">
            <w:pPr>
              <w:spacing w:before="120" w:after="120"/>
              <w:jc w:val="center"/>
              <w:rPr>
                <w:b/>
                <w:sz w:val="20"/>
              </w:rPr>
            </w:pPr>
            <w:r w:rsidRPr="00EB0CA5">
              <w:rPr>
                <w:b/>
                <w:sz w:val="20"/>
              </w:rPr>
              <w:t>6</w:t>
            </w:r>
          </w:p>
        </w:tc>
        <w:tc>
          <w:tcPr>
            <w:tcW w:w="7371" w:type="dxa"/>
            <w:shd w:val="pct10" w:color="000000" w:fill="FFFFFF"/>
          </w:tcPr>
          <w:p w14:paraId="0EED6687" w14:textId="77777777" w:rsidR="00274304" w:rsidRPr="00EB0CA5" w:rsidRDefault="00274304" w:rsidP="00D5541D">
            <w:pPr>
              <w:spacing w:before="120" w:after="120"/>
              <w:jc w:val="center"/>
              <w:rPr>
                <w:sz w:val="28"/>
                <w:szCs w:val="28"/>
              </w:rPr>
            </w:pPr>
            <w:r w:rsidRPr="00EB0CA5">
              <w:rPr>
                <w:rFonts w:ascii="Arial" w:hAnsi="Arial"/>
                <w:b/>
                <w:sz w:val="28"/>
                <w:szCs w:val="28"/>
              </w:rPr>
              <w:t>-</w:t>
            </w:r>
          </w:p>
        </w:tc>
      </w:tr>
      <w:tr w:rsidR="00EB0CA5" w:rsidRPr="00EB0CA5" w14:paraId="22398E2A" w14:textId="77777777" w:rsidTr="00D5541D">
        <w:trPr>
          <w:cantSplit/>
        </w:trPr>
        <w:tc>
          <w:tcPr>
            <w:tcW w:w="1701" w:type="dxa"/>
            <w:shd w:val="clear" w:color="auto" w:fill="FFFFFF"/>
          </w:tcPr>
          <w:p w14:paraId="70C7E45B" w14:textId="5C8281B4" w:rsidR="00274304" w:rsidRPr="00EB0CA5" w:rsidRDefault="00274304" w:rsidP="00D5541D">
            <w:pPr>
              <w:spacing w:before="120" w:after="120"/>
              <w:rPr>
                <w:sz w:val="20"/>
              </w:rPr>
            </w:pPr>
            <w:r w:rsidRPr="00EB0CA5">
              <w:rPr>
                <w:sz w:val="20"/>
              </w:rPr>
              <w:t>EFDD</w:t>
            </w:r>
          </w:p>
        </w:tc>
        <w:tc>
          <w:tcPr>
            <w:tcW w:w="7371" w:type="dxa"/>
            <w:shd w:val="clear" w:color="auto" w:fill="FFFFFF"/>
          </w:tcPr>
          <w:p w14:paraId="3F9069D9" w14:textId="1CECB519" w:rsidR="00274304" w:rsidRPr="00EB0CA5" w:rsidRDefault="00274304" w:rsidP="00D5541D">
            <w:pPr>
              <w:spacing w:before="120" w:after="120"/>
              <w:rPr>
                <w:sz w:val="20"/>
              </w:rPr>
            </w:pPr>
            <w:r w:rsidRPr="00EB0CA5">
              <w:rPr>
                <w:sz w:val="20"/>
              </w:rPr>
              <w:t>Jonathan Bullock</w:t>
            </w:r>
          </w:p>
        </w:tc>
      </w:tr>
      <w:tr w:rsidR="00EB0CA5" w:rsidRPr="00EB0CA5" w14:paraId="340472CC" w14:textId="77777777" w:rsidTr="00D5541D">
        <w:trPr>
          <w:cantSplit/>
        </w:trPr>
        <w:tc>
          <w:tcPr>
            <w:tcW w:w="1701" w:type="dxa"/>
            <w:shd w:val="clear" w:color="auto" w:fill="FFFFFF"/>
          </w:tcPr>
          <w:p w14:paraId="55BC004E" w14:textId="29B4C7DD" w:rsidR="00274304" w:rsidRPr="00EB0CA5" w:rsidRDefault="00274304" w:rsidP="00D5541D">
            <w:pPr>
              <w:spacing w:before="120" w:after="120"/>
              <w:rPr>
                <w:sz w:val="20"/>
              </w:rPr>
            </w:pPr>
            <w:r w:rsidRPr="00EB0CA5">
              <w:rPr>
                <w:sz w:val="20"/>
              </w:rPr>
              <w:t>GUE/NGL</w:t>
            </w:r>
          </w:p>
        </w:tc>
        <w:tc>
          <w:tcPr>
            <w:tcW w:w="7371" w:type="dxa"/>
            <w:shd w:val="clear" w:color="auto" w:fill="FFFFFF"/>
          </w:tcPr>
          <w:p w14:paraId="286489BA" w14:textId="17643544" w:rsidR="00274304" w:rsidRPr="00EB0CA5" w:rsidRDefault="00274304" w:rsidP="00D5541D">
            <w:pPr>
              <w:spacing w:before="120" w:after="120"/>
              <w:rPr>
                <w:sz w:val="20"/>
              </w:rPr>
            </w:pPr>
            <w:r w:rsidRPr="00EB0CA5">
              <w:rPr>
                <w:sz w:val="20"/>
              </w:rPr>
              <w:t>Xabier Benito Ziluaga, Jaromír Kohlíček, Paloma López Bermejo, Neoklis Sylikiotis</w:t>
            </w:r>
          </w:p>
        </w:tc>
      </w:tr>
      <w:tr w:rsidR="00EB0CA5" w:rsidRPr="00EB0CA5" w14:paraId="14533FF1" w14:textId="77777777" w:rsidTr="00D5541D">
        <w:trPr>
          <w:cantSplit/>
        </w:trPr>
        <w:tc>
          <w:tcPr>
            <w:tcW w:w="1701" w:type="dxa"/>
            <w:shd w:val="clear" w:color="auto" w:fill="FFFFFF"/>
          </w:tcPr>
          <w:p w14:paraId="10CD95B7" w14:textId="58C8B9CB" w:rsidR="00274304" w:rsidRPr="00EB0CA5" w:rsidRDefault="00274304" w:rsidP="00D5541D">
            <w:pPr>
              <w:spacing w:before="120" w:after="120"/>
              <w:rPr>
                <w:sz w:val="20"/>
              </w:rPr>
            </w:pPr>
            <w:r w:rsidRPr="00EB0CA5">
              <w:rPr>
                <w:sz w:val="20"/>
              </w:rPr>
              <w:t>PPE</w:t>
            </w:r>
          </w:p>
        </w:tc>
        <w:tc>
          <w:tcPr>
            <w:tcW w:w="7371" w:type="dxa"/>
            <w:shd w:val="clear" w:color="auto" w:fill="FFFFFF"/>
          </w:tcPr>
          <w:p w14:paraId="39F5588F" w14:textId="278C9842" w:rsidR="00274304" w:rsidRPr="00EB0CA5" w:rsidRDefault="00274304" w:rsidP="00D5541D">
            <w:pPr>
              <w:spacing w:before="120" w:after="120"/>
              <w:rPr>
                <w:sz w:val="20"/>
              </w:rPr>
            </w:pPr>
            <w:r w:rsidRPr="00EB0CA5">
              <w:rPr>
                <w:sz w:val="20"/>
              </w:rPr>
              <w:t>Hermann Winkler</w:t>
            </w:r>
          </w:p>
        </w:tc>
      </w:tr>
    </w:tbl>
    <w:p w14:paraId="150F9D0E" w14:textId="77777777" w:rsidR="00274304" w:rsidRPr="00EB0CA5" w:rsidRDefault="00274304" w:rsidP="00D554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0CA5" w:rsidRPr="00EB0CA5" w14:paraId="40B8C9C8" w14:textId="77777777" w:rsidTr="00D5541D">
        <w:trPr>
          <w:cantSplit/>
        </w:trPr>
        <w:tc>
          <w:tcPr>
            <w:tcW w:w="1701" w:type="dxa"/>
            <w:shd w:val="pct10" w:color="000000" w:fill="FFFFFF"/>
            <w:vAlign w:val="center"/>
          </w:tcPr>
          <w:p w14:paraId="1308D39E" w14:textId="455CBF6B" w:rsidR="00274304" w:rsidRPr="00EB0CA5" w:rsidRDefault="00274304" w:rsidP="00D5541D">
            <w:pPr>
              <w:spacing w:before="120" w:after="120"/>
              <w:jc w:val="center"/>
              <w:rPr>
                <w:b/>
                <w:sz w:val="20"/>
              </w:rPr>
            </w:pPr>
            <w:r w:rsidRPr="00EB0CA5">
              <w:rPr>
                <w:b/>
                <w:sz w:val="20"/>
              </w:rPr>
              <w:t>0</w:t>
            </w:r>
          </w:p>
        </w:tc>
        <w:tc>
          <w:tcPr>
            <w:tcW w:w="7371" w:type="dxa"/>
            <w:shd w:val="pct10" w:color="000000" w:fill="FFFFFF"/>
          </w:tcPr>
          <w:p w14:paraId="54AB0A59" w14:textId="77777777" w:rsidR="00274304" w:rsidRPr="00EB0CA5" w:rsidRDefault="00274304" w:rsidP="00D5541D">
            <w:pPr>
              <w:spacing w:before="120" w:after="120"/>
              <w:jc w:val="center"/>
              <w:rPr>
                <w:sz w:val="28"/>
                <w:szCs w:val="28"/>
              </w:rPr>
            </w:pPr>
            <w:r w:rsidRPr="00EB0CA5">
              <w:rPr>
                <w:rFonts w:ascii="Arial" w:hAnsi="Arial"/>
                <w:b/>
                <w:sz w:val="28"/>
                <w:szCs w:val="28"/>
              </w:rPr>
              <w:t>0</w:t>
            </w:r>
          </w:p>
        </w:tc>
      </w:tr>
      <w:tr w:rsidR="00EB0CA5" w:rsidRPr="00EB0CA5" w14:paraId="56DC9FC0" w14:textId="77777777" w:rsidTr="00D5541D">
        <w:trPr>
          <w:cantSplit/>
        </w:trPr>
        <w:tc>
          <w:tcPr>
            <w:tcW w:w="1701" w:type="dxa"/>
            <w:shd w:val="clear" w:color="auto" w:fill="FFFFFF"/>
          </w:tcPr>
          <w:p w14:paraId="0C21C225" w14:textId="57B9EAF3" w:rsidR="00274304" w:rsidRPr="00EB0CA5" w:rsidRDefault="00274304" w:rsidP="00D5541D">
            <w:pPr>
              <w:spacing w:before="120" w:after="120"/>
              <w:rPr>
                <w:sz w:val="20"/>
              </w:rPr>
            </w:pPr>
          </w:p>
        </w:tc>
        <w:tc>
          <w:tcPr>
            <w:tcW w:w="7371" w:type="dxa"/>
            <w:shd w:val="clear" w:color="auto" w:fill="FFFFFF"/>
          </w:tcPr>
          <w:p w14:paraId="0621B9AC" w14:textId="1277575A" w:rsidR="00274304" w:rsidRPr="00EB0CA5" w:rsidRDefault="00274304" w:rsidP="00D5541D">
            <w:pPr>
              <w:spacing w:before="120" w:after="120"/>
              <w:rPr>
                <w:sz w:val="20"/>
              </w:rPr>
            </w:pPr>
          </w:p>
        </w:tc>
      </w:tr>
    </w:tbl>
    <w:p w14:paraId="68E95F4A" w14:textId="77777777" w:rsidR="00274304" w:rsidRPr="00EB0CA5" w:rsidRDefault="00274304" w:rsidP="00D5541D">
      <w:pPr>
        <w:pStyle w:val="Normal12"/>
      </w:pPr>
    </w:p>
    <w:p w14:paraId="5BF99237" w14:textId="64766EC4" w:rsidR="00274304" w:rsidRPr="00EB0CA5" w:rsidRDefault="00274304" w:rsidP="00D5541D">
      <w:r w:rsidRPr="00EB0CA5">
        <w:t>Objaśnienie używanych znaków</w:t>
      </w:r>
    </w:p>
    <w:p w14:paraId="106B3D3F" w14:textId="213B5D17" w:rsidR="00274304" w:rsidRPr="00EB0CA5" w:rsidRDefault="00274304" w:rsidP="00D5541D">
      <w:pPr>
        <w:pStyle w:val="NormalTabs"/>
      </w:pPr>
      <w:r w:rsidRPr="00EB0CA5">
        <w:t>+</w:t>
      </w:r>
      <w:r w:rsidRPr="00EB0CA5">
        <w:tab/>
        <w:t>:</w:t>
      </w:r>
      <w:r w:rsidRPr="00EB0CA5">
        <w:tab/>
        <w:t>za</w:t>
      </w:r>
    </w:p>
    <w:p w14:paraId="7D1957A0" w14:textId="27E0A41B" w:rsidR="00274304" w:rsidRPr="00EB0CA5" w:rsidRDefault="00274304" w:rsidP="00D5541D">
      <w:pPr>
        <w:pStyle w:val="NormalTabs"/>
      </w:pPr>
      <w:r w:rsidRPr="00EB0CA5">
        <w:t>-</w:t>
      </w:r>
      <w:r w:rsidRPr="00EB0CA5">
        <w:tab/>
        <w:t>:</w:t>
      </w:r>
      <w:r w:rsidRPr="00EB0CA5">
        <w:tab/>
        <w:t>przeciw</w:t>
      </w:r>
    </w:p>
    <w:p w14:paraId="504388BD" w14:textId="76B5E73B" w:rsidR="00274304" w:rsidRPr="00EB0CA5" w:rsidRDefault="00274304" w:rsidP="00D5541D">
      <w:pPr>
        <w:pStyle w:val="NormalTabs"/>
      </w:pPr>
      <w:r w:rsidRPr="00EB0CA5">
        <w:t>0</w:t>
      </w:r>
      <w:r w:rsidRPr="00EB0CA5">
        <w:tab/>
        <w:t>:</w:t>
      </w:r>
      <w:r w:rsidRPr="00EB0CA5">
        <w:tab/>
        <w:t>wstrzymało się</w:t>
      </w:r>
    </w:p>
    <w:p w14:paraId="49E19EFD" w14:textId="77777777" w:rsidR="00274304" w:rsidRPr="00EB0CA5" w:rsidRDefault="00274304" w:rsidP="00D5541D"/>
    <w:bookmarkEnd w:id="8"/>
    <w:p w14:paraId="781BB370" w14:textId="77777777" w:rsidR="00A22736" w:rsidRPr="00EB0CA5" w:rsidRDefault="00A22736" w:rsidP="00274304"/>
    <w:sectPr w:rsidR="00A22736" w:rsidRPr="00EB0CA5" w:rsidSect="00EB0CA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ABEE" w14:textId="77777777" w:rsidR="000322BD" w:rsidRPr="00EB0CA5" w:rsidRDefault="000322BD">
      <w:r w:rsidRPr="00EB0CA5">
        <w:separator/>
      </w:r>
    </w:p>
  </w:endnote>
  <w:endnote w:type="continuationSeparator" w:id="0">
    <w:p w14:paraId="07346503" w14:textId="77777777" w:rsidR="000322BD" w:rsidRPr="00EB0CA5" w:rsidRDefault="000322BD">
      <w:r w:rsidRPr="00EB0C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DCF2" w14:textId="77777777" w:rsidR="00EB0CA5" w:rsidRPr="00EB0CA5" w:rsidRDefault="00EB0CA5" w:rsidP="00EB0CA5">
    <w:pPr>
      <w:pStyle w:val="Footer"/>
    </w:pPr>
    <w:r w:rsidRPr="00EB0CA5">
      <w:t>PE</w:t>
    </w:r>
    <w:r w:rsidRPr="00EB0CA5">
      <w:rPr>
        <w:rStyle w:val="HideTWBExt"/>
        <w:noProof w:val="0"/>
      </w:rPr>
      <w:t>&lt;NoPE&gt;</w:t>
    </w:r>
    <w:r w:rsidRPr="00EB0CA5">
      <w:t>612.068</w:t>
    </w:r>
    <w:r w:rsidRPr="00EB0CA5">
      <w:rPr>
        <w:rStyle w:val="HideTWBExt"/>
        <w:noProof w:val="0"/>
      </w:rPr>
      <w:t>&lt;/NoPE&gt;&lt;Version&gt;</w:t>
    </w:r>
    <w:r w:rsidRPr="00EB0CA5">
      <w:t>v02-00</w:t>
    </w:r>
    <w:r w:rsidRPr="00EB0CA5">
      <w:rPr>
        <w:rStyle w:val="HideTWBExt"/>
        <w:noProof w:val="0"/>
      </w:rPr>
      <w:t>&lt;/Version&gt;</w:t>
    </w:r>
    <w:r w:rsidRPr="00EB0CA5">
      <w:tab/>
    </w:r>
    <w:r w:rsidRPr="00EB0CA5">
      <w:fldChar w:fldCharType="begin"/>
    </w:r>
    <w:r w:rsidRPr="00EB0CA5">
      <w:instrText xml:space="preserve"> PAGE  \* MERGEFORMAT </w:instrText>
    </w:r>
    <w:r w:rsidRPr="00EB0CA5">
      <w:fldChar w:fldCharType="separate"/>
    </w:r>
    <w:r w:rsidR="00D07935">
      <w:rPr>
        <w:noProof/>
      </w:rPr>
      <w:t>28</w:t>
    </w:r>
    <w:r w:rsidRPr="00EB0CA5">
      <w:fldChar w:fldCharType="end"/>
    </w:r>
    <w:r w:rsidRPr="00EB0CA5">
      <w:t>/</w:t>
    </w:r>
    <w:fldSimple w:instr=" NUMPAGES  \* MERGEFORMAT ">
      <w:r w:rsidR="00D07935">
        <w:rPr>
          <w:noProof/>
        </w:rPr>
        <w:t>33</w:t>
      </w:r>
    </w:fldSimple>
    <w:r w:rsidRPr="00EB0CA5">
      <w:tab/>
    </w:r>
    <w:r w:rsidRPr="00EB0CA5">
      <w:rPr>
        <w:rStyle w:val="HideTWBExt"/>
        <w:noProof w:val="0"/>
      </w:rPr>
      <w:t>&lt;PathFdR&gt;</w:t>
    </w:r>
    <w:r w:rsidRPr="00EB0CA5">
      <w:t>RR\1149381PL.docx</w:t>
    </w:r>
    <w:r w:rsidRPr="00EB0CA5">
      <w:rPr>
        <w:rStyle w:val="HideTWBExt"/>
        <w:noProof w:val="0"/>
      </w:rPr>
      <w:t>&lt;/PathFdR&gt;</w:t>
    </w:r>
  </w:p>
  <w:p w14:paraId="52CD770A" w14:textId="12789320" w:rsidR="000322BD" w:rsidRPr="00EB0CA5" w:rsidRDefault="00EB0CA5" w:rsidP="00EB0CA5">
    <w:pPr>
      <w:pStyle w:val="Footer2"/>
    </w:pPr>
    <w:r w:rsidRPr="00EB0CA5">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1B67" w14:textId="77777777" w:rsidR="00EB0CA5" w:rsidRPr="00EB0CA5" w:rsidRDefault="00EB0CA5" w:rsidP="00EB0CA5">
    <w:pPr>
      <w:pStyle w:val="Footer"/>
    </w:pPr>
    <w:r w:rsidRPr="00EB0CA5">
      <w:rPr>
        <w:rStyle w:val="HideTWBExt"/>
        <w:noProof w:val="0"/>
      </w:rPr>
      <w:t>&lt;PathFdR&gt;</w:t>
    </w:r>
    <w:r w:rsidRPr="00EB0CA5">
      <w:t>RR\1149381PL.docx</w:t>
    </w:r>
    <w:r w:rsidRPr="00EB0CA5">
      <w:rPr>
        <w:rStyle w:val="HideTWBExt"/>
        <w:noProof w:val="0"/>
      </w:rPr>
      <w:t>&lt;/PathFdR&gt;</w:t>
    </w:r>
    <w:r w:rsidRPr="00EB0CA5">
      <w:tab/>
    </w:r>
    <w:r w:rsidRPr="00EB0CA5">
      <w:fldChar w:fldCharType="begin"/>
    </w:r>
    <w:r w:rsidRPr="00EB0CA5">
      <w:instrText xml:space="preserve"> PAGE  \* MERGEFORMAT </w:instrText>
    </w:r>
    <w:r w:rsidRPr="00EB0CA5">
      <w:fldChar w:fldCharType="separate"/>
    </w:r>
    <w:r w:rsidR="00D07935">
      <w:rPr>
        <w:noProof/>
      </w:rPr>
      <w:t>27</w:t>
    </w:r>
    <w:r w:rsidRPr="00EB0CA5">
      <w:fldChar w:fldCharType="end"/>
    </w:r>
    <w:r w:rsidRPr="00EB0CA5">
      <w:t>/</w:t>
    </w:r>
    <w:fldSimple w:instr=" NUMPAGES  \* MERGEFORMAT ">
      <w:r w:rsidR="00D07935">
        <w:rPr>
          <w:noProof/>
        </w:rPr>
        <w:t>33</w:t>
      </w:r>
    </w:fldSimple>
    <w:r w:rsidRPr="00EB0CA5">
      <w:tab/>
      <w:t>PE</w:t>
    </w:r>
    <w:r w:rsidRPr="00EB0CA5">
      <w:rPr>
        <w:rStyle w:val="HideTWBExt"/>
        <w:noProof w:val="0"/>
      </w:rPr>
      <w:t>&lt;NoPE&gt;</w:t>
    </w:r>
    <w:r w:rsidRPr="00EB0CA5">
      <w:t>612.068</w:t>
    </w:r>
    <w:r w:rsidRPr="00EB0CA5">
      <w:rPr>
        <w:rStyle w:val="HideTWBExt"/>
        <w:noProof w:val="0"/>
      </w:rPr>
      <w:t>&lt;/NoPE&gt;&lt;Version&gt;</w:t>
    </w:r>
    <w:r w:rsidRPr="00EB0CA5">
      <w:t>v02-00</w:t>
    </w:r>
    <w:r w:rsidRPr="00EB0CA5">
      <w:rPr>
        <w:rStyle w:val="HideTWBExt"/>
        <w:noProof w:val="0"/>
      </w:rPr>
      <w:t>&lt;/Version&gt;</w:t>
    </w:r>
  </w:p>
  <w:p w14:paraId="64AAF4D9" w14:textId="6A20C976" w:rsidR="000322BD" w:rsidRPr="00EB0CA5" w:rsidRDefault="00EB0CA5" w:rsidP="00EB0CA5">
    <w:pPr>
      <w:pStyle w:val="Footer2"/>
    </w:pPr>
    <w:r w:rsidRPr="00EB0CA5">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F144" w14:textId="77777777" w:rsidR="00EB0CA5" w:rsidRPr="00EB0CA5" w:rsidRDefault="00EB0CA5" w:rsidP="00EB0CA5">
    <w:pPr>
      <w:pStyle w:val="Footer"/>
    </w:pPr>
    <w:r w:rsidRPr="00EB0CA5">
      <w:rPr>
        <w:rStyle w:val="HideTWBExt"/>
        <w:noProof w:val="0"/>
      </w:rPr>
      <w:t>&lt;PathFdR&gt;</w:t>
    </w:r>
    <w:r w:rsidRPr="00EB0CA5">
      <w:t>RR\1149381PL.docx</w:t>
    </w:r>
    <w:r w:rsidRPr="00EB0CA5">
      <w:rPr>
        <w:rStyle w:val="HideTWBExt"/>
        <w:noProof w:val="0"/>
      </w:rPr>
      <w:t>&lt;/PathFdR&gt;</w:t>
    </w:r>
    <w:r w:rsidRPr="00EB0CA5">
      <w:tab/>
    </w:r>
    <w:r w:rsidRPr="00EB0CA5">
      <w:tab/>
      <w:t>PE</w:t>
    </w:r>
    <w:r w:rsidRPr="00EB0CA5">
      <w:rPr>
        <w:rStyle w:val="HideTWBExt"/>
        <w:noProof w:val="0"/>
      </w:rPr>
      <w:t>&lt;NoPE&gt;</w:t>
    </w:r>
    <w:r w:rsidRPr="00EB0CA5">
      <w:t>612.068</w:t>
    </w:r>
    <w:r w:rsidRPr="00EB0CA5">
      <w:rPr>
        <w:rStyle w:val="HideTWBExt"/>
        <w:noProof w:val="0"/>
      </w:rPr>
      <w:t>&lt;/NoPE&gt;&lt;Version&gt;</w:t>
    </w:r>
    <w:r w:rsidRPr="00EB0CA5">
      <w:t>v02-00</w:t>
    </w:r>
    <w:r w:rsidRPr="00EB0CA5">
      <w:rPr>
        <w:rStyle w:val="HideTWBExt"/>
        <w:noProof w:val="0"/>
      </w:rPr>
      <w:t>&lt;/Version&gt;</w:t>
    </w:r>
  </w:p>
  <w:p w14:paraId="2C95FFF3" w14:textId="43578B11" w:rsidR="000322BD" w:rsidRPr="00EB0CA5" w:rsidRDefault="00EB0CA5" w:rsidP="00EB0CA5">
    <w:pPr>
      <w:pStyle w:val="Footer2"/>
      <w:tabs>
        <w:tab w:val="center" w:pos="4535"/>
        <w:tab w:val="right" w:pos="9921"/>
      </w:tabs>
    </w:pPr>
    <w:r w:rsidRPr="00EB0CA5">
      <w:t>PL</w:t>
    </w:r>
    <w:r w:rsidRPr="00EB0CA5">
      <w:tab/>
    </w:r>
    <w:r w:rsidRPr="00EB0CA5">
      <w:rPr>
        <w:b w:val="0"/>
        <w:i/>
        <w:color w:val="C0C0C0"/>
        <w:sz w:val="22"/>
      </w:rPr>
      <w:t>Zjednoczona w różnorodności</w:t>
    </w:r>
    <w:r w:rsidRPr="00EB0CA5">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C8F4" w14:textId="77777777" w:rsidR="000322BD" w:rsidRPr="00EB0CA5" w:rsidRDefault="000322BD">
      <w:r w:rsidRPr="00EB0CA5">
        <w:separator/>
      </w:r>
    </w:p>
  </w:footnote>
  <w:footnote w:type="continuationSeparator" w:id="0">
    <w:p w14:paraId="0899372A" w14:textId="77777777" w:rsidR="000322BD" w:rsidRPr="00EB0CA5" w:rsidRDefault="000322BD">
      <w:r w:rsidRPr="00EB0C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2CBA" w14:textId="77777777" w:rsidR="00D07935" w:rsidRDefault="00D0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5F5E" w14:textId="77777777" w:rsidR="00D07935" w:rsidRDefault="00D0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C02A" w14:textId="77777777" w:rsidR="00D07935" w:rsidRDefault="00D0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ITRE"/>
    <w:docVar w:name="CopyToNetwork" w:val="-1"/>
    <w:docVar w:name="DOCDT" w:val="23/03/2018"/>
    <w:docVar w:name="DOCMNU" w:val=" 1"/>
    <w:docVar w:name="EPSTATMNU" w:val=" 5"/>
    <w:docVar w:name="INSTITUTIONSMNU" w:val=" 2"/>
    <w:docVar w:name="JURI1MNU" w:val=" 1"/>
    <w:docVar w:name="JURI2MNU" w:val=" 2"/>
    <w:docVar w:name="LastEditedSection" w:val=" 1"/>
    <w:docVar w:name="OTHERSTATMNU" w:val=" 4"/>
    <w:docVar w:name="PARLIAMENTS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12447 HideTWBExt;}{\*\cs16 \additive \v\cf15 \spriority0 \styrsid9312447 HideTWBInt;}{\s17\ql \li0\ri0\sa120\nowidctlpar\wrapdefault\aspalpha\aspnum\faauto\adjustright\rin0\lin0\itap0 _x000d__x000a_\rtlch\fcs1 \af0\afs20\alang1025 \ltrch\fcs0 \fs24\lang2057\langfe2057\cgrid\langnp2057\langfenp2057 \sbasedon0 \snext17 \slink18 \spriority0 \styrsid9312447 Normal6;}{\*\cs18 \additive \fs24 \slink17 \slocked \spriority0 \styrsid9312447 Normal6 Char;}{_x000d__x000a_\s19\ql \li0\ri0\nowidctlpar\wrapdefault\aspalpha\aspnum\faauto\adjustright\rin0\lin0\itap0 \rtlch\fcs1 \af0\afs20\alang1025 \ltrch\fcs0 \b\fs24\lang2057\langfe2057\cgrid\langnp2057\langfenp2057 \sbasedon0 \snext19 \slink20 \spriority0 \styrsid9312447 _x000d__x000a_NormalBold;}{\*\cs20 \additive \b\fs24 \slink19 \slocked \spriority0 \styrsid9312447 NormalBold Char;}{\s21\ql \li0\ri0\sb240\nowidctlpar\wrapdefault\aspalpha\aspnum\faauto\adjustright\rin0\lin0\itap0 \rtlch\fcs1 \af0\afs20\alang1025 \ltrch\fcs0 _x000d__x000a_\i\fs24\lang2057\langfe2057\cgrid\langnp2057\langfenp2057 \sbasedon0 \snext21 \spriority0 \styrsid9312447 Normal12Italic;}{\s22\qc \li0\ri0\sb240\nowidctlpar\wrapdefault\aspalpha\aspnum\faauto\adjustright\rin0\lin0\itap0 \rtlch\fcs1 \af0\afs20\alang1025 _x000d__x000a_\ltrch\fcs0 \i\fs24\lang2057\langfe2057\cgrid\langnp2057\langfenp2057 \sbasedon0 \snext22 \spriority0 \styrsid9312447 CrossRef;}{\s23\qc \li0\ri0\sb240\keepn\nowidctlpar\wrapdefault\aspalpha\aspnum\faauto\adjustright\rin0\lin0\itap0 \rtlch\fcs1 _x000d__x000a_\af0\afs20\alang1025 \ltrch\fcs0 \i\fs24\lang2057\langfe2057\cgrid\langnp2057\langfenp2057 \sbasedon0 \snext0 \spriority0 \styrsid9312447 JustificationTitle;}{_x000d__x000a_\s24\qc \li0\ri0\sa240\nowidctlpar\wrapdefault\aspalpha\aspnum\faauto\adjustright\rin0\lin0\itap0 \rtlch\fcs1 \af0\afs20\alang1025 \ltrch\fcs0 \i\fs24\lang2057\langfe2057\cgrid\langnp2057\langfenp2057 \sbasedon0 \snext24 \spriority0 \styrsid9312447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9312447 AMNumberTabs;}{_x000d__x000a_\s26\ql \li0\ri0\sb240\nowidctlpar\wrapdefault\aspalpha\aspnum\faauto\adjustright\rin0\lin0\itap0 \rtlch\fcs1 \af0\afs20\alang1025 \ltrch\fcs0 \b\fs24\lang2057\langfe2057\cgrid\langnp2057\langfenp2057 \sbasedon0 \snext26 \spriority0 \styrsid9312447 _x000d__x000a_NormalBold12b;}}{\*\rsidtbl \rsid24658\rsid735077\rsid2892074\rsid4666813\rsid6641733\rsid8609841\rsid9312447\rsid9636012\rsid11215221\rsid12154954\rsid14424199\rsid15204470\rsid15285974\rsid15950462\rsid16324206\rsid16662270}{\mmathPr\mmathFont34_x000d__x000a_\mbrkBin0\mbrkBinSub0\msmallFrac0\mdispDef1\mlMargin0\mrMargin0\mdefJc1\mwrapIndent1440\mintLim0\mnaryLim1}{\info{\author HALLER-UZOCHUKWU Karin}{\operator HALLER-UZOCHUKWU Karin}{\creatim\yr2018\mo3\dy14\hr13\min10}{\revtim\yr2018\mo3\dy14\hr13\min10}_x000d__x000a_{\version1}{\edmins0}{\nofpages1}{\nofwords97}{\nofchars533}{\*\company European Parliament}{\nofcharsws62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9312447\utinl \fet0{\*\wgrffmtfilter 013f}\ilfomacatclnup0{\*\template C:\\Users\\khaller\\AppData\\Local\\Temp\\Blank1.dot}{\*\ftnsep \ltrpar _x000d__x000a_\pard\plain \ltrpar\ql \li0\ri0\widctlpar\wrapdefault\aspalpha\aspnum\faauto\adjustright\rin0\lin0\itap0 \rtlch\fcs1 \af0\afs20\alang1025 \ltrch\fcs0 \fs24\lang2057\langfe2057\cgrid\langnp2057\langfenp2057 {\rtlch\fcs1 \af0 \ltrch\fcs0 \insrsid86098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609841 \chftnsepc _x000d__x000a_\par }}{\*\aftnsep \ltrpar \pard\plain \ltrpar\ql \li0\ri0\widctlpar\wrapdefault\aspalpha\aspnum\faauto\adjustright\rin0\lin0\itap0 \rtlch\fcs1 \af0\afs20\alang1025 \ltrch\fcs0 \fs24\lang2057\langfe2057\cgrid\langnp2057\langfenp2057 {\rtlch\fcs1 \af0 _x000d__x000a_\ltrch\fcs0 \insrsid8609841 \chftnsep _x000d__x000a_\par }}{\*\aftnsepc \ltrpar \pard\plain \ltrpar\ql \li0\ri0\widctlpar\wrapdefault\aspalpha\aspnum\faauto\adjustright\rin0\lin0\itap0 \rtlch\fcs1 \af0\afs20\alang1025 \ltrch\fcs0 \fs24\lang2057\langfe2057\cgrid\langnp2057\langfenp2057 {\rtlch\fcs1 \af0 _x000d__x000a_\ltrch\fcs0 \insrsid86098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312447\charrsid8878909 {\*\bkmkstart restart}&lt;Amend&gt;}{_x000d__x000a_\rtlch\fcs1 \af0 \ltrch\fcs0 \insrsid9312447\charrsid8878909 Amendment\tab \tab }{\rtlch\fcs1 \af0 \ltrch\fcs0 \cs15\b0\v\f1\fs20\cf9\insrsid9312447\charrsid8878909 &lt;NumAm&gt;}{\rtlch\fcs1 \af0 \ltrch\fcs0 \insrsid9312447\charrsid8878909 #}{\rtlch\fcs1 \af0 _x000d__x000a_\ltrch\fcs0 \cs16\v\cf15\insrsid9312447\charrsid8878909 ENMIENDA@NRAM@}{\rtlch\fcs1 \af0 \ltrch\fcs0 \insrsid9312447\charrsid8878909 #}{\rtlch\fcs1 \af0 \ltrch\fcs0 \cs15\b0\v\f1\fs20\cf9\insrsid9312447\charrsid8878909 &lt;/NumAm&gt;}{\rtlch\fcs1 \af0 _x000d__x000a_\ltrch\fcs0 \insrsid9312447\charrsid8878909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9312447\charrsid8878909 &lt;DocAmend&gt;}{\rtlch\fcs1 \af0 \ltrch\fcs0 \insrsid9312447\charrsid8878909 Proposal for a #}{\rtlch\fcs1 \af0 \ltrch\fcs0 \cs16\v\cf15\insrsid9312447\charrsid8878909 _x000d__x000a_MNU[DOC1][DOC2][DOC3]@DOCMSG@DOCMNU}{\rtlch\fcs1 \af0 \ltrch\fcs0 \insrsid9312447\charrsid8878909 ##}{\rtlch\fcs1 \af0 \ltrch\fcs0 \cs16\v\cf15\insrsid9312447\charrsid8878909 MNU[AMACTYES][NOTAPP]@CHOICE@AMACTMNU}{\rtlch\fcs1 \af0 \ltrch\fcs0 _x000d__x000a_\insrsid9312447\charrsid8878909 #}{\rtlch\fcs1 \af0 \ltrch\fcs0 \cs15\b0\v\f1\fs20\cf9\insrsid9312447\charrsid8878909 &lt;/DocAmend&gt;}{\rtlch\fcs1 \af0 \ltrch\fcs0 \insrsid9312447\charrsid8878909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9312447\charrsid8878909 &lt;Article&gt;}{\rtlch\fcs1 \af0 \ltrch\fcs0 \insrsid9312447\charrsid8878909 #}{\rtlch\fcs1 \af0 \ltrch\fcs0 \cs16\v\cf15\insrsid9312447\charrsid8878909 _x000d__x000a_MNU[AMACTPARTYES][AMACTPARTNO]@CHOICE@AMACTMNU}{\rtlch\fcs1 \af0 \ltrch\fcs0 \insrsid9312447\charrsid8878909 #}{\rtlch\fcs1 \af0 \ltrch\fcs0 \cs15\b0\v\f1\fs20\cf9\insrsid9312447\charrsid8878909 &lt;/Article&gt;}{\rtlch\fcs1 \af0 \ltrch\fcs0 _x000d__x000a_\insrsid9312447\charrsid8878909 _x000d__x000a_\par }\pard\plain \ltrpar\ql \li0\ri0\keepn\widctlpar\wrapdefault\aspalpha\aspnum\faauto\adjustright\rin0\lin0\itap0\pararsid1856914 \rtlch\fcs1 \af0\afs20\alang1025 \ltrch\fcs0 \fs24\lang2057\langfe2057\cgrid\langnp2057\langfenp2057 {\rtlch\fcs1 \af0 _x000d__x000a_\ltrch\fcs0 \cs15\v\f1\fs20\cf9\insrsid9312447\charrsid8878909 &lt;DocAmend2&gt;&lt;OptDel&gt;}{\rtlch\fcs1 \af0 \ltrch\fcs0 \insrsid9312447\charrsid8878909 #}{\rtlch\fcs1 \af0 \ltrch\fcs0 \cs16\v\cf15\insrsid9312447\charrsid8878909 _x000d__x000a_MNU[OPTNRACTYES][NOTAPP]@CHOICE@AMACTMNU}{\rtlch\fcs1 \af0 \ltrch\fcs0 \insrsid9312447\charrsid8878909 #}{\rtlch\fcs1 \af0 \ltrch\fcs0 \cs15\v\f1\fs20\cf9\insrsid9312447\charrsid8878909 &lt;/OptDel&gt;&lt;/DocAmend2&gt;}{\rtlch\fcs1 \af0 \ltrch\fcs0 _x000d__x000a_\insrsid9312447\charrsid8878909 _x000d__x000a_\par }\pard \ltrpar\ql \li0\ri0\widctlpar\wrapdefault\aspalpha\aspnum\faauto\adjustright\rin0\lin0\itap0\pararsid2517430 {\rtlch\fcs1 \af0 \ltrch\fcs0 \cs15\v\f1\fs20\cf9\insrsid9312447\charrsid8878909 &lt;Article2&gt;&lt;OptDel&gt;}{\rtlch\fcs1 \af0 \ltrch\fcs0 _x000d__x000a_\insrsid9312447\charrsid8878909 #}{\rtlch\fcs1 \af0 \ltrch\fcs0 \cs16\v\cf15\insrsid9312447\charrsid8878909 MNU[OPTACTPARTYES][NOTAPP]@CHOICE@AMACTMNU}{\rtlch\fcs1 \af0 \ltrch\fcs0 \insrsid9312447\charrsid8878909 #}{\rtlch\fcs1 \af0 \ltrch\fcs0 _x000d__x000a_\cs15\v\f1\fs20\cf9\insrsid9312447\charrsid8878909 &lt;/OptDel&gt;&lt;/Article2&gt;}{\rtlch\fcs1 \af0 \ltrch\fcs0 \insrsid9312447\charrsid887890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312447\charrsid8878909 _x000d__x000a_\cell }\pard \ltrpar\ql \li0\ri0\widctlpar\intbl\wrapdefault\aspalpha\aspnum\faauto\adjustright\rin0\lin0 {\rtlch\fcs1 \af0 \ltrch\fcs0 \insrsid9312447\charrsid8878909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9312447\charrsid8878909 #}{\rtlch\fcs1 \af0 \ltrch\fcs0 \cs16\v\cf15\insrsid9312447\charrsid8878909 MNU[OPTLEFTAMACT][LEFTPROP]@CHOICE@AMACTMNU}{\rtlch\fcs1 \af0 \ltrch\fcs0 \insrsid9312447\charrsid8878909 #\cell _x000d__x000a_Amendment\cell }\pard\plain \ltrpar\ql \li0\ri0\widctlpar\intbl\wrapdefault\aspalpha\aspnum\faauto\adjustright\rin0\lin0 \rtlch\fcs1 \af0\afs20\alang1025 \ltrch\fcs0 \fs24\lang2057\langfe2057\cgrid\langnp2057\langfenp2057 {\rtlch\fcs1 \af0 \ltrch\fcs0 _x000d__x000a_\insrsid9312447\charrsid8878909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9312447\charrsid8878909 ##\cell ##}{\rtlch\fcs1 \af0\afs24 \ltrch\fcs0 \insrsid9312447\charrsid8878909 \cell }\pard\plain \ltrpar\ql \li0\ri0\widctlpar\intbl\wrapdefault\aspalpha\aspnum\faauto\adjustright\rin0\lin0 \rtlch\fcs1 _x000d__x000a_\af0\afs20\alang1025 \ltrch\fcs0 \fs24\lang2057\langfe2057\cgrid\langnp2057\langfenp2057 {\rtlch\fcs1 \af0 \ltrch\fcs0 \insrsid9312447\charrsid887890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9312447\charrsid8878909 &lt;OptDel&gt;}{\rtlch\fcs1 \af0 \ltrch\fcs0 \insrsid9312447\charrsid8878909 #}{\rtlch\fcs1 \af0 \ltrch\fcs0 \cs16\v\cf15\insrsid9312447\charrsid8878909 MNU[CROSSREFNO][CROSSREFYES]@CHOICE@}{\rtlch\fcs1 _x000d__x000a_\af0 \ltrch\fcs0 \insrsid9312447\charrsid8878909 #}{\rtlch\fcs1 \af0 \ltrch\fcs0 \cs15\i0\v\f1\fs20\cf9\insrsid9312447\charrsid8878909 &lt;/OptDel&gt;}{\rtlch\fcs1 \af0 \ltrch\fcs0 \insrsid9312447\charrsid8878909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9312447\charrsid8878909 &lt;TitreJust&gt;}{\rtlch\fcs1 \af0 \ltrch\fcs0 \insrsid9312447\charrsid8878909 Justification}{\rtlch\fcs1 \af0 \ltrch\fcs0 \cs15\i0\v\f1\fs20\cf9\insrsid9312447\charrsid8878909 _x000d__x000a_&lt;/TitreJust&gt;}{\rtlch\fcs1 \af0 \ltrch\fcs0 \insrsid9312447\charrsid8878909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9312447\charrsid8878909 &lt;OptDelPrev&gt;}{\rtlch\fcs1 \af0 \ltrch\fcs0 \insrsid9312447\charrsid8878909 #}{\rtlch\fcs1 \af0 \ltrch\fcs0 \cs16\v\cf15\insrsid9312447\charrsid8878909 MNU[TEXTJUSTYES][TEXTJUSTNO]@CHOICE@}{_x000d__x000a_\rtlch\fcs1 \af0 \ltrch\fcs0 \insrsid9312447\charrsid8878909 #}{\rtlch\fcs1 \af0 \ltrch\fcs0 \cs15\i0\v\f1\fs20\cf9\insrsid9312447\charrsid8878909 &lt;/OptDelPrev&gt;}{\rtlch\fcs1 \af0 \ltrch\fcs0 \insrsid9312447\charrsid8878909 _x000d__x000a_\par }\pard\plain \ltrpar\ql \li0\ri0\widctlpar\wrapdefault\aspalpha\aspnum\faauto\adjustright\rin0\lin0\itap0\pararsid16324206 \rtlch\fcs1 \af0\afs20\alang1025 \ltrch\fcs0 \fs24\lang2057\langfe2057\cgrid\langnp2057\langfenp2057 {\rtlch\fcs1 \af0 \ltrch\fcs0 _x000d__x000a_\cs15\v\f1\fs20\cf9\insrsid9312447\charrsid8878909 &lt;/Amend&gt;}{\rtlch\fcs1 \af0 \ltrch\fcs0 \insrsid931244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7_x000d__x000a_e76a8db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93311 HideTWBExt;}{\s16\ql \li0\ri0\sa120\nowidctlpar\wrapdefault\aspalpha\aspnum\faauto\adjustright\rin0\lin0\itap0 \rtlch\fcs1 \af0\afs20\alang1025 \ltrch\fcs0 _x000d__x000a_\fs24\lang2057\langfe2057\cgrid\langnp2057\langfenp2057 \sbasedon0 \snext16 \slink17 \spriority0 \styrsid4993311 Normal6;}{\*\cs17 \additive \fs24 \slink16 \slocked \spriority0 \styrsid4993311 Normal6 Char;}{_x000d__x000a_\s18\ql \li0\ri0\nowidctlpar\wrapdefault\aspalpha\aspnum\faauto\adjustright\rin0\lin0\itap0 \rtlch\fcs1 \af0\afs20\alang1025 \ltrch\fcs0 \b\fs24\lang2057\langfe2057\cgrid\langnp2057\langfenp2057 \sbasedon0 \snext18 \slink19 \spriority0 \styrsid4993311 _x000d__x000a_NormalBold;}{\*\cs19 \additive \b\fs24 \slink18 \slocked \spriority0 \styrsid4993311 NormalBold Char;}{\s20\ql \li0\ri0\sb240\nowidctlpar\wrapdefault\aspalpha\aspnum\faauto\adjustright\rin0\lin0\itap0 \rtlch\fcs1 \af0\afs20\alang1025 \ltrch\fcs0 _x000d__x000a_\i\fs24\lang2057\langfe2057\cgrid\langnp2057\langfenp2057 \sbasedon0 \snext20 \spriority0 \styrsid4993311 Normal12Italic;}{\s21\qc \li0\ri0\sb240\nowidctlpar\wrapdefault\aspalpha\aspnum\faauto\adjustright\rin0\lin0\itap0 \rtlch\fcs1 \af0\afs20\alang1025 _x000d__x000a_\ltrch\fcs0 \i\fs24\lang2057\langfe2057\cgrid\langnp2057\langfenp2057 \sbasedon0 \snext21 \spriority0 \styrsid4993311 CrossRef;}{\s22\qc \li0\ri0\sb240\keepn\nowidctlpar\wrapdefault\aspalpha\aspnum\faauto\adjustright\rin0\lin0\itap0 \rtlch\fcs1 _x000d__x000a_\af0\afs20\alang1025 \ltrch\fcs0 \i\fs24\lang2057\langfe2057\cgrid\langnp2057\langfenp2057 \sbasedon0 \snext0 \spriority0 \styrsid4993311 JustificationTitle;}{_x000d__x000a_\s23\qc \li0\ri0\sa240\nowidctlpar\wrapdefault\aspalpha\aspnum\faauto\adjustright\rin0\lin0\itap0 \rtlch\fcs1 \af0\afs20\alang1025 \ltrch\fcs0 \i\fs24\lang2057\langfe2057\cgrid\langnp2057\langfenp2057 \sbasedon0 \snext23 \spriority0 \styrsid499331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993311 AMNumberTabs;}{_x000d__x000a_\s25\ql \li0\ri0\sb240\nowidctlpar\wrapdefault\aspalpha\aspnum\faauto\adjustright\rin0\lin0\itap0 \rtlch\fcs1 \af0\afs20\alang1025 \ltrch\fcs0 \b\fs24\lang2057\langfe2057\cgrid\langnp2057\langfenp2057 \sbasedon0 \snext25 \spriority0 \styrsid4993311 _x000d__x000a_NormalBold12b;}}{\*\rsidtbl \rsid24658\rsid735077\rsid2634595\rsid2892074\rsid4666813\rsid4993311\rsid6641733\rsid9636012\rsid11215221\rsid12154954\rsid14424199\rsid15204470\rsid15285974\rsid15950462\rsid16324206\rsid16662270}{\mmathPr\mmathFont34_x000d__x000a_\mbrkBin0\mbrkBinSub0\msmallFrac0\mdispDef1\mlMargin0\mrMargin0\mdefJc1\mwrapIndent1440\mintLim0\mnaryLim1}{\info{\author HALLER-UZOCHUKWU Karin}{\operator HALLER-UZOCHUKWU Karin}{\creatim\yr2018\mo3\dy14\hr13\min10}{\revtim\yr2018\mo3\dy14\hr13\min10}_x000d__x000a_{\version1}{\edmins0}{\nofpages1}{\nofwords56}{\nofchars311}{\*\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4993311\utinl \fet0{\*\wgrffmtfilter 013f}\ilfomacatclnup0{\*\template C:\\Users\\khaller\\AppData\\Local\\Temp\\Blank1.dot}{\*\ftnsep \ltrpar _x000d__x000a_\pard\plain \ltrpar\ql \li0\ri0\widctlpar\wrapdefault\aspalpha\aspnum\faauto\adjustright\rin0\lin0\itap0 \rtlch\fcs1 \af0\afs20\alang1025 \ltrch\fcs0 \fs24\lang2057\langfe2057\cgrid\langnp2057\langfenp2057 {\rtlch\fcs1 \af0 \ltrch\fcs0 \insrsid26345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634595 \chftnsepc _x000d__x000a_\par }}{\*\aftnsep \ltrpar \pard\plain \ltrpar\ql \li0\ri0\widctlpar\wrapdefault\aspalpha\aspnum\faauto\adjustright\rin0\lin0\itap0 \rtlch\fcs1 \af0\afs20\alang1025 \ltrch\fcs0 \fs24\lang2057\langfe2057\cgrid\langnp2057\langfenp2057 {\rtlch\fcs1 \af0 _x000d__x000a_\ltrch\fcs0 \insrsid2634595 \chftnsep _x000d__x000a_\par }}{\*\aftnsepc \ltrpar \pard\plain \ltrpar\ql \li0\ri0\widctlpar\wrapdefault\aspalpha\aspnum\faauto\adjustright\rin0\lin0\itap0 \rtlch\fcs1 \af0\afs20\alang1025 \ltrch\fcs0 \fs24\lang2057\langfe2057\cgrid\langnp2057\langfenp2057 {\rtlch\fcs1 \af0 _x000d__x000a_\ltrch\fcs0 \insrsid26345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993311\charrsid4593153 {\*\bkmkstart restart}&lt;Amend&gt;}{_x000d__x000a_\rtlch\fcs1 \af0 \ltrch\fcs0 \insrsid4993311\charrsid4593153 [ZAMENDMENT]\tab \tab }{\rtlch\fcs1 \af0 \ltrch\fcs0 \cs15\b0\v\f1\fs20\cf9\insrsid4993311\charrsid4593153 &lt;NumAm&gt;}{\rtlch\fcs1 \af0 \ltrch\fcs0 \insrsid4993311\charrsid4593153 [ZNRAM]}{_x000d__x000a_\rtlch\fcs1 \af0 \ltrch\fcs0 \cs15\b0\v\f1\fs20\cf9\insrsid4993311\charrsid4593153 &lt;/NumAm&gt;}{\rtlch\fcs1 \af0 \ltrch\fcs0 \insrsid499331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4993311\charrsid4593153 &lt;DocAmend&gt;}{\rtlch\fcs1 \af0 \ltrch\fcs0 \insrsid4993311\charrsid4593153 [ZPROPOSAL][ZAMACT]}{\rtlch\fcs1 \af0 \ltrch\fcs0 _x000d__x000a_\cs15\b0\v\f1\fs20\cf9\insrsid4993311\charrsid4593153 &lt;/DocAmend&gt;}{\rtlch\fcs1 \af0 \ltrch\fcs0 \insrsid499331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4993311\charrsid4593153 &lt;Article&gt;}{\rtlch\fcs1 \af0 \ltrch\fcs0 \insrsid4993311\charrsid4593153 [ZAMPART]}{\rtlch\fcs1 \af0 \ltrch\fcs0 \cs15\b0\v\f1\fs20\cf9\insrsid4993311\charrsid4593153 &lt;/Article&gt;}{_x000d__x000a_\rtlch\fcs1 \af0 \ltrch\fcs0 \insrsid499331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4993311\charrsid4593153 &lt;DocAmend2&gt;&lt;OptDel&gt;}{\rtlch\fcs1 \af0 \ltrch\fcs0 \insrsid4993311\charrsid4593153 [ZNRACT]}{\rtlch\fcs1 \af0 \ltrch\fcs0 \cs15\v\f1\fs20\cf9\insrsid4993311\charrsid4593153 _x000d__x000a_&lt;/OptDel&gt;&lt;/DocAmend2&gt;}{\rtlch\fcs1 \af0 \ltrch\fcs0 \insrsid4993311\charrsid4593153 _x000d__x000a_\par }\pard \ltrpar\ql \li0\ri0\widctlpar\wrapdefault\aspalpha\aspnum\faauto\adjustright\rin0\lin0\itap0\pararsid2517430 {\rtlch\fcs1 \af0 \ltrch\fcs0 \cs15\v\f1\fs20\cf9\insrsid4993311\charrsid4593153 &lt;Article2&gt;&lt;OptDel&gt;}{\rtlch\fcs1 \af0 \ltrch\fcs0 _x000d__x000a_\insrsid4993311\charrsid4593153 [ZACTPART]}{\rtlch\fcs1 \af0 \ltrch\fcs0 \cs15\v\f1\fs20\cf9\insrsid4993311\charrsid4593153 &lt;/OptDel&gt;&lt;/Article2&gt;}{\rtlch\fcs1 \af0 \ltrch\fcs0 \insrsid499331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993311\charrsid4593153 _x000d__x000a_\cell }\pard \ltrpar\ql \li0\ri0\widctlpar\intbl\wrapdefault\aspalpha\aspnum\faauto\adjustright\rin0\lin0 {\rtlch\fcs1 \af0 \ltrch\fcs0 \insrsid499331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4993311\charrsid4593153 [ZLEFT]\cell [ZRIGHT]\cell }\pard\plain \ltrpar\ql \li0\ri0\widctlpar\intbl\wrapdefault\aspalpha\aspnum\faauto\adjustright\rin0\lin0 \rtlch\fcs1 \af0\afs20\alang1025 \ltrch\fcs0 _x000d__x000a_\fs24\lang2057\langfe2057\cgrid\langnp2057\langfenp2057 {\rtlch\fcs1 \af0 \ltrch\fcs0 \insrsid499331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993311\charrsid4593153 [ZTEXTL]\cell [ZTEXTR]}{\rtlch\fcs1 \af0\afs24 \ltrch\fcs0 \insrsid4993311\charrsid4593153 \cell }\pard\plain \ltrpar\ql \li0\ri0\widctlpar\intbl\wrapdefault\aspalpha\aspnum\faauto\adjustright\rin0\lin0 \rtlch\fcs1 _x000d__x000a_\af0\afs20\alang1025 \ltrch\fcs0 \fs24\lang2057\langfe2057\cgrid\langnp2057\langfenp2057 {\rtlch\fcs1 \af0 \ltrch\fcs0 \insrsid499331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4993311\charrsid4593153 &lt;OptDel&gt;}{\rtlch\fcs1 \af0 \ltrch\fcs0 \insrsid4993311\charrsid4593153 [ZCROSSREF]}{\rtlch\fcs1 \af0 \ltrch\fcs0 \cs15\i0\v\f1\fs20\cf9\insrsid4993311\charrsid4593153 &lt;/OptDel&gt;}{\rtlch\fcs1 \af0 _x000d__x000a_\ltrch\fcs0 \insrsid499331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4993311\charrsid4593153 &lt;TitreJust&gt;}{\rtlch\fcs1 \af0 \ltrch\fcs0 \insrsid4993311\charrsid4593153 [ZJUSTIFICATION]}{\rtlch\fcs1 \af0 \ltrch\fcs0 _x000d__x000a_\cs15\i0\v\f1\fs20\cf9\insrsid4993311\charrsid4593153 &lt;/TitreJust&gt;}{\rtlch\fcs1 \af0 \ltrch\fcs0 \insrsid499331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4993311\charrsid4593153 &lt;OptDelPrev&gt;}{\rtlch\fcs1 \af0 \ltrch\fcs0 \insrsid4993311\charrsid4593153 [ZTEXTJUST]}{\rtlch\fcs1 \af0 \ltrch\fcs0 \cs15\i0\v\f1\fs20\cf9\insrsid4993311\charrsid4593153 &lt;/OptDelPrev&gt;}{_x000d__x000a_\rtlch\fcs1 \af0 \ltrch\fcs0 \insrsid499331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4993311\charrsid4593153 &lt;/Amend&gt;}{\rtlch\fcs1 \af0 \ltrch\fcs0 \insrsid499331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6_x000d__x000a_4c6c8db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9"/>
    <w:docVar w:name="TXTAUTHOR" w:val="Janusz Lewandowski"/>
    <w:docVar w:name="TXTLANGUE" w:val="PL"/>
    <w:docVar w:name="TXTLANGUEMIN" w:val="pl"/>
    <w:docVar w:name="TXTNRC" w:val="0099/2017"/>
    <w:docVar w:name="TXTNRCOD" w:val="2017/0048"/>
    <w:docVar w:name="TXTNRCOM" w:val="(2017)0114"/>
    <w:docVar w:name="TXTNRFIRSTAM" w:val="1"/>
    <w:docVar w:name="TXTNRLASTAM" w:val="28"/>
    <w:docVar w:name="TXTNRPE" w:val="612.068"/>
    <w:docVar w:name="TXTPEorAP" w:val="PE"/>
    <w:docVar w:name="TXTROUTE" w:val="RR\1149381PL.docx"/>
    <w:docVar w:name="TXTTITLE" w:val="on European business statistics, amending Regulation (EC) no 184/2005 and repealing 10 legal acts in the field of business statistics"/>
    <w:docVar w:name="TXTVERSION" w:val="02-00"/>
  </w:docVars>
  <w:rsids>
    <w:rsidRoot w:val="00877B3D"/>
    <w:rsid w:val="00003E07"/>
    <w:rsid w:val="00011AAB"/>
    <w:rsid w:val="00012351"/>
    <w:rsid w:val="00022EC1"/>
    <w:rsid w:val="000322BD"/>
    <w:rsid w:val="00037AC8"/>
    <w:rsid w:val="00052776"/>
    <w:rsid w:val="00055CE3"/>
    <w:rsid w:val="00062ED1"/>
    <w:rsid w:val="000707CF"/>
    <w:rsid w:val="00084E89"/>
    <w:rsid w:val="000923B2"/>
    <w:rsid w:val="00095C00"/>
    <w:rsid w:val="000B2345"/>
    <w:rsid w:val="000D4852"/>
    <w:rsid w:val="000E6D80"/>
    <w:rsid w:val="000F1096"/>
    <w:rsid w:val="000F2C78"/>
    <w:rsid w:val="00113080"/>
    <w:rsid w:val="00123DD5"/>
    <w:rsid w:val="0013180C"/>
    <w:rsid w:val="00142215"/>
    <w:rsid w:val="00160410"/>
    <w:rsid w:val="0016536B"/>
    <w:rsid w:val="001767E2"/>
    <w:rsid w:val="00187008"/>
    <w:rsid w:val="00187740"/>
    <w:rsid w:val="001A030F"/>
    <w:rsid w:val="001B7573"/>
    <w:rsid w:val="001C5592"/>
    <w:rsid w:val="001C5B44"/>
    <w:rsid w:val="001C685B"/>
    <w:rsid w:val="001C6FFC"/>
    <w:rsid w:val="001E54DE"/>
    <w:rsid w:val="00201B14"/>
    <w:rsid w:val="00210A67"/>
    <w:rsid w:val="002117E6"/>
    <w:rsid w:val="00212B84"/>
    <w:rsid w:val="002346B0"/>
    <w:rsid w:val="002667C3"/>
    <w:rsid w:val="002669B6"/>
    <w:rsid w:val="00274304"/>
    <w:rsid w:val="00290BED"/>
    <w:rsid w:val="002A1739"/>
    <w:rsid w:val="002F40BB"/>
    <w:rsid w:val="002F4B02"/>
    <w:rsid w:val="003221A8"/>
    <w:rsid w:val="00323EF8"/>
    <w:rsid w:val="003327F2"/>
    <w:rsid w:val="00344655"/>
    <w:rsid w:val="00354DF9"/>
    <w:rsid w:val="003605DA"/>
    <w:rsid w:val="00367A9D"/>
    <w:rsid w:val="00370822"/>
    <w:rsid w:val="00370AC3"/>
    <w:rsid w:val="00376605"/>
    <w:rsid w:val="0038311B"/>
    <w:rsid w:val="00390A09"/>
    <w:rsid w:val="00392381"/>
    <w:rsid w:val="00392416"/>
    <w:rsid w:val="003C2068"/>
    <w:rsid w:val="003C3274"/>
    <w:rsid w:val="003C37CF"/>
    <w:rsid w:val="003D1998"/>
    <w:rsid w:val="003D4110"/>
    <w:rsid w:val="003D7B66"/>
    <w:rsid w:val="003E76B7"/>
    <w:rsid w:val="004100B1"/>
    <w:rsid w:val="00461601"/>
    <w:rsid w:val="0048584B"/>
    <w:rsid w:val="00486B25"/>
    <w:rsid w:val="004A4B31"/>
    <w:rsid w:val="004B19B6"/>
    <w:rsid w:val="004C0915"/>
    <w:rsid w:val="004C0954"/>
    <w:rsid w:val="004C6BBC"/>
    <w:rsid w:val="004D424E"/>
    <w:rsid w:val="004E42C8"/>
    <w:rsid w:val="0051271F"/>
    <w:rsid w:val="00521383"/>
    <w:rsid w:val="00521F46"/>
    <w:rsid w:val="00551123"/>
    <w:rsid w:val="005607D3"/>
    <w:rsid w:val="00566744"/>
    <w:rsid w:val="005707BD"/>
    <w:rsid w:val="00570A6A"/>
    <w:rsid w:val="005744B2"/>
    <w:rsid w:val="00576856"/>
    <w:rsid w:val="00586E50"/>
    <w:rsid w:val="005B6292"/>
    <w:rsid w:val="005C3957"/>
    <w:rsid w:val="005D1A99"/>
    <w:rsid w:val="005D24A2"/>
    <w:rsid w:val="005D6FAE"/>
    <w:rsid w:val="005D7609"/>
    <w:rsid w:val="005D7EE8"/>
    <w:rsid w:val="00602784"/>
    <w:rsid w:val="006066C5"/>
    <w:rsid w:val="00624EAE"/>
    <w:rsid w:val="00632876"/>
    <w:rsid w:val="00637F5A"/>
    <w:rsid w:val="00660334"/>
    <w:rsid w:val="006643BD"/>
    <w:rsid w:val="006650D7"/>
    <w:rsid w:val="0068791F"/>
    <w:rsid w:val="006957F7"/>
    <w:rsid w:val="006A417A"/>
    <w:rsid w:val="006D100F"/>
    <w:rsid w:val="006F7907"/>
    <w:rsid w:val="0070514A"/>
    <w:rsid w:val="00726D7F"/>
    <w:rsid w:val="00743189"/>
    <w:rsid w:val="00756F01"/>
    <w:rsid w:val="007576A6"/>
    <w:rsid w:val="0076058A"/>
    <w:rsid w:val="00767AA9"/>
    <w:rsid w:val="0078529D"/>
    <w:rsid w:val="007932B3"/>
    <w:rsid w:val="00793EA9"/>
    <w:rsid w:val="00794E2D"/>
    <w:rsid w:val="007D6F68"/>
    <w:rsid w:val="007E0F48"/>
    <w:rsid w:val="007E2FC9"/>
    <w:rsid w:val="008162A2"/>
    <w:rsid w:val="008633CC"/>
    <w:rsid w:val="00865190"/>
    <w:rsid w:val="0086662F"/>
    <w:rsid w:val="008719B9"/>
    <w:rsid w:val="00872AFC"/>
    <w:rsid w:val="00877B3D"/>
    <w:rsid w:val="00892E99"/>
    <w:rsid w:val="00894ECE"/>
    <w:rsid w:val="00895F0C"/>
    <w:rsid w:val="00896BB4"/>
    <w:rsid w:val="008A303C"/>
    <w:rsid w:val="008A3424"/>
    <w:rsid w:val="008A34A7"/>
    <w:rsid w:val="008A7FB8"/>
    <w:rsid w:val="008B4092"/>
    <w:rsid w:val="008C2525"/>
    <w:rsid w:val="008D2305"/>
    <w:rsid w:val="008E0B4F"/>
    <w:rsid w:val="008F2999"/>
    <w:rsid w:val="009022B8"/>
    <w:rsid w:val="00910027"/>
    <w:rsid w:val="00913968"/>
    <w:rsid w:val="00915943"/>
    <w:rsid w:val="00917CC4"/>
    <w:rsid w:val="00927871"/>
    <w:rsid w:val="009325CD"/>
    <w:rsid w:val="0094600F"/>
    <w:rsid w:val="00950F48"/>
    <w:rsid w:val="009763DA"/>
    <w:rsid w:val="009948CD"/>
    <w:rsid w:val="009B309A"/>
    <w:rsid w:val="009B4B93"/>
    <w:rsid w:val="009C14B8"/>
    <w:rsid w:val="009C2410"/>
    <w:rsid w:val="009D625E"/>
    <w:rsid w:val="009F24BE"/>
    <w:rsid w:val="009F6C2F"/>
    <w:rsid w:val="00A04C18"/>
    <w:rsid w:val="00A22533"/>
    <w:rsid w:val="00A22736"/>
    <w:rsid w:val="00A231AE"/>
    <w:rsid w:val="00A26F46"/>
    <w:rsid w:val="00A34FD3"/>
    <w:rsid w:val="00A35804"/>
    <w:rsid w:val="00A36929"/>
    <w:rsid w:val="00A51CF1"/>
    <w:rsid w:val="00A533B4"/>
    <w:rsid w:val="00A601F6"/>
    <w:rsid w:val="00A8611A"/>
    <w:rsid w:val="00A91405"/>
    <w:rsid w:val="00A92649"/>
    <w:rsid w:val="00AA35B0"/>
    <w:rsid w:val="00AA727B"/>
    <w:rsid w:val="00AB4A28"/>
    <w:rsid w:val="00AC1855"/>
    <w:rsid w:val="00AD18C8"/>
    <w:rsid w:val="00AD7FA6"/>
    <w:rsid w:val="00AE4643"/>
    <w:rsid w:val="00AF0416"/>
    <w:rsid w:val="00B06D66"/>
    <w:rsid w:val="00B10CB4"/>
    <w:rsid w:val="00B1294E"/>
    <w:rsid w:val="00B23B72"/>
    <w:rsid w:val="00B32877"/>
    <w:rsid w:val="00B42581"/>
    <w:rsid w:val="00B42702"/>
    <w:rsid w:val="00B85407"/>
    <w:rsid w:val="00B86361"/>
    <w:rsid w:val="00B95702"/>
    <w:rsid w:val="00BC095D"/>
    <w:rsid w:val="00BC6489"/>
    <w:rsid w:val="00BD480C"/>
    <w:rsid w:val="00BF2AEA"/>
    <w:rsid w:val="00C1462B"/>
    <w:rsid w:val="00C27E5E"/>
    <w:rsid w:val="00C32C48"/>
    <w:rsid w:val="00C41D8A"/>
    <w:rsid w:val="00C4794E"/>
    <w:rsid w:val="00C73602"/>
    <w:rsid w:val="00CA03B5"/>
    <w:rsid w:val="00CB7828"/>
    <w:rsid w:val="00CE4954"/>
    <w:rsid w:val="00CF60C8"/>
    <w:rsid w:val="00D021E6"/>
    <w:rsid w:val="00D07935"/>
    <w:rsid w:val="00D13D9A"/>
    <w:rsid w:val="00D170D6"/>
    <w:rsid w:val="00D32924"/>
    <w:rsid w:val="00D372FB"/>
    <w:rsid w:val="00D3765F"/>
    <w:rsid w:val="00D503A3"/>
    <w:rsid w:val="00D5541D"/>
    <w:rsid w:val="00D62E32"/>
    <w:rsid w:val="00D65613"/>
    <w:rsid w:val="00D71A19"/>
    <w:rsid w:val="00D772DE"/>
    <w:rsid w:val="00DA6ED0"/>
    <w:rsid w:val="00DC5011"/>
    <w:rsid w:val="00DC65B4"/>
    <w:rsid w:val="00DD7CDE"/>
    <w:rsid w:val="00DF3EF3"/>
    <w:rsid w:val="00E171B6"/>
    <w:rsid w:val="00E30D8E"/>
    <w:rsid w:val="00E3582A"/>
    <w:rsid w:val="00E74A7B"/>
    <w:rsid w:val="00E74DB6"/>
    <w:rsid w:val="00E919F1"/>
    <w:rsid w:val="00E93CCD"/>
    <w:rsid w:val="00E96807"/>
    <w:rsid w:val="00EB0CA5"/>
    <w:rsid w:val="00EB1753"/>
    <w:rsid w:val="00EB461D"/>
    <w:rsid w:val="00EB6CFF"/>
    <w:rsid w:val="00ED3114"/>
    <w:rsid w:val="00EE3996"/>
    <w:rsid w:val="00EF0BFB"/>
    <w:rsid w:val="00EF4DB2"/>
    <w:rsid w:val="00F1091D"/>
    <w:rsid w:val="00F904AE"/>
    <w:rsid w:val="00F934F8"/>
    <w:rsid w:val="00FA01C0"/>
    <w:rsid w:val="00FA2CAF"/>
    <w:rsid w:val="00FB52FE"/>
    <w:rsid w:val="00FC0A34"/>
    <w:rsid w:val="00FC1F6B"/>
    <w:rsid w:val="00FD1DEF"/>
    <w:rsid w:val="00FE3B3F"/>
    <w:rsid w:val="00FF3F7F"/>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009AB"/>
  <w15:chartTrackingRefBased/>
  <w15:docId w15:val="{99E56510-7DE0-4D74-AC22-0CD3A28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FC"/>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pl-P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pl-P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D24A2"/>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D24A2"/>
    <w:pPr>
      <w:spacing w:before="240" w:after="240"/>
    </w:pPr>
    <w:rPr>
      <w:b/>
      <w:i/>
      <w:snapToGrid w:val="0"/>
      <w:lang w:eastAsia="en-US"/>
    </w:rPr>
  </w:style>
  <w:style w:type="paragraph" w:customStyle="1" w:styleId="Lgendestandard">
    <w:name w:val="Légende standard"/>
    <w:basedOn w:val="Lgendesigne"/>
    <w:rsid w:val="005D24A2"/>
    <w:pPr>
      <w:ind w:left="0" w:firstLine="0"/>
    </w:pPr>
  </w:style>
  <w:style w:type="paragraph" w:styleId="CommentText">
    <w:name w:val="annotation text"/>
    <w:basedOn w:val="Normal"/>
    <w:link w:val="CommentTextChar"/>
    <w:unhideWhenUsed/>
    <w:rsid w:val="00576856"/>
    <w:pPr>
      <w:widowControl/>
      <w:jc w:val="both"/>
    </w:pPr>
    <w:rPr>
      <w:sz w:val="20"/>
    </w:rPr>
  </w:style>
  <w:style w:type="character" w:customStyle="1" w:styleId="CommentTextChar">
    <w:name w:val="Comment Text Char"/>
    <w:basedOn w:val="DefaultParagraphFont"/>
    <w:link w:val="CommentText"/>
    <w:rsid w:val="00576856"/>
  </w:style>
  <w:style w:type="character" w:styleId="CommentReference">
    <w:name w:val="annotation reference"/>
    <w:unhideWhenUsed/>
    <w:rsid w:val="00576856"/>
    <w:rPr>
      <w:sz w:val="16"/>
      <w:szCs w:val="16"/>
    </w:rPr>
  </w:style>
  <w:style w:type="character" w:customStyle="1" w:styleId="shorttext">
    <w:name w:val="short_text"/>
    <w:rsid w:val="00576856"/>
  </w:style>
  <w:style w:type="paragraph" w:styleId="FootnoteText">
    <w:name w:val="footnote text"/>
    <w:basedOn w:val="Normal"/>
    <w:link w:val="FootnoteTextChar"/>
    <w:uiPriority w:val="99"/>
    <w:unhideWhenUsed/>
    <w:rsid w:val="006650D7"/>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6650D7"/>
    <w:rPr>
      <w:rFonts w:eastAsia="Calibri"/>
      <w:lang w:eastAsia="en-US"/>
    </w:rPr>
  </w:style>
  <w:style w:type="character" w:styleId="FootnoteReference">
    <w:name w:val="footnote reference"/>
    <w:uiPriority w:val="99"/>
    <w:unhideWhenUsed/>
    <w:rsid w:val="006650D7"/>
    <w:rPr>
      <w:vertAlign w:val="superscript"/>
    </w:rPr>
  </w:style>
  <w:style w:type="paragraph" w:styleId="BalloonText">
    <w:name w:val="Balloon Text"/>
    <w:basedOn w:val="Normal"/>
    <w:link w:val="BalloonTextChar"/>
    <w:rsid w:val="009C2410"/>
    <w:rPr>
      <w:rFonts w:ascii="Segoe UI" w:hAnsi="Segoe UI" w:cs="Segoe UI"/>
      <w:sz w:val="18"/>
      <w:szCs w:val="18"/>
    </w:rPr>
  </w:style>
  <w:style w:type="character" w:customStyle="1" w:styleId="BalloonTextChar">
    <w:name w:val="Balloon Text Char"/>
    <w:basedOn w:val="DefaultParagraphFont"/>
    <w:link w:val="BalloonText"/>
    <w:rsid w:val="009C2410"/>
    <w:rPr>
      <w:rFonts w:ascii="Segoe UI" w:hAnsi="Segoe UI" w:cs="Segoe UI"/>
      <w:sz w:val="18"/>
      <w:szCs w:val="18"/>
    </w:rPr>
  </w:style>
  <w:style w:type="paragraph" w:styleId="CommentSubject">
    <w:name w:val="annotation subject"/>
    <w:basedOn w:val="CommentText"/>
    <w:next w:val="CommentText"/>
    <w:link w:val="CommentSubjectChar"/>
    <w:rsid w:val="008B4092"/>
    <w:pPr>
      <w:widowControl w:val="0"/>
      <w:jc w:val="left"/>
    </w:pPr>
    <w:rPr>
      <w:b/>
      <w:bCs/>
    </w:rPr>
  </w:style>
  <w:style w:type="character" w:customStyle="1" w:styleId="CommentSubjectChar">
    <w:name w:val="Comment Subject Char"/>
    <w:basedOn w:val="CommentTextChar"/>
    <w:link w:val="CommentSubject"/>
    <w:rsid w:val="008B4092"/>
    <w:rPr>
      <w:b/>
      <w:bCs/>
    </w:rPr>
  </w:style>
  <w:style w:type="paragraph" w:customStyle="1" w:styleId="NormalTabs">
    <w:name w:val="NormalTabs"/>
    <w:basedOn w:val="Normal"/>
    <w:qFormat/>
    <w:rsid w:val="0027430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3228">
      <w:bodyDiv w:val="1"/>
      <w:marLeft w:val="0"/>
      <w:marRight w:val="0"/>
      <w:marTop w:val="0"/>
      <w:marBottom w:val="0"/>
      <w:divBdr>
        <w:top w:val="none" w:sz="0" w:space="0" w:color="auto"/>
        <w:left w:val="none" w:sz="0" w:space="0" w:color="auto"/>
        <w:bottom w:val="none" w:sz="0" w:space="0" w:color="auto"/>
        <w:right w:val="none" w:sz="0" w:space="0" w:color="auto"/>
      </w:divBdr>
    </w:div>
    <w:div w:id="295840058">
      <w:bodyDiv w:val="1"/>
      <w:marLeft w:val="0"/>
      <w:marRight w:val="0"/>
      <w:marTop w:val="0"/>
      <w:marBottom w:val="0"/>
      <w:divBdr>
        <w:top w:val="none" w:sz="0" w:space="0" w:color="auto"/>
        <w:left w:val="none" w:sz="0" w:space="0" w:color="auto"/>
        <w:bottom w:val="none" w:sz="0" w:space="0" w:color="auto"/>
        <w:right w:val="none" w:sz="0" w:space="0" w:color="auto"/>
      </w:divBdr>
    </w:div>
    <w:div w:id="392315792">
      <w:bodyDiv w:val="1"/>
      <w:marLeft w:val="0"/>
      <w:marRight w:val="0"/>
      <w:marTop w:val="0"/>
      <w:marBottom w:val="0"/>
      <w:divBdr>
        <w:top w:val="none" w:sz="0" w:space="0" w:color="auto"/>
        <w:left w:val="none" w:sz="0" w:space="0" w:color="auto"/>
        <w:bottom w:val="none" w:sz="0" w:space="0" w:color="auto"/>
        <w:right w:val="none" w:sz="0" w:space="0" w:color="auto"/>
      </w:divBdr>
    </w:div>
    <w:div w:id="793406490">
      <w:bodyDiv w:val="1"/>
      <w:marLeft w:val="0"/>
      <w:marRight w:val="0"/>
      <w:marTop w:val="0"/>
      <w:marBottom w:val="0"/>
      <w:divBdr>
        <w:top w:val="none" w:sz="0" w:space="0" w:color="auto"/>
        <w:left w:val="none" w:sz="0" w:space="0" w:color="auto"/>
        <w:bottom w:val="none" w:sz="0" w:space="0" w:color="auto"/>
        <w:right w:val="none" w:sz="0" w:space="0" w:color="auto"/>
      </w:divBdr>
    </w:div>
    <w:div w:id="1110782643">
      <w:bodyDiv w:val="1"/>
      <w:marLeft w:val="0"/>
      <w:marRight w:val="0"/>
      <w:marTop w:val="0"/>
      <w:marBottom w:val="0"/>
      <w:divBdr>
        <w:top w:val="none" w:sz="0" w:space="0" w:color="auto"/>
        <w:left w:val="none" w:sz="0" w:space="0" w:color="auto"/>
        <w:bottom w:val="none" w:sz="0" w:space="0" w:color="auto"/>
        <w:right w:val="none" w:sz="0" w:space="0" w:color="auto"/>
      </w:divBdr>
    </w:div>
    <w:div w:id="1236630162">
      <w:bodyDiv w:val="1"/>
      <w:marLeft w:val="0"/>
      <w:marRight w:val="0"/>
      <w:marTop w:val="0"/>
      <w:marBottom w:val="0"/>
      <w:divBdr>
        <w:top w:val="none" w:sz="0" w:space="0" w:color="auto"/>
        <w:left w:val="none" w:sz="0" w:space="0" w:color="auto"/>
        <w:bottom w:val="none" w:sz="0" w:space="0" w:color="auto"/>
        <w:right w:val="none" w:sz="0" w:space="0" w:color="auto"/>
      </w:divBdr>
    </w:div>
    <w:div w:id="1303273326">
      <w:bodyDiv w:val="1"/>
      <w:marLeft w:val="0"/>
      <w:marRight w:val="0"/>
      <w:marTop w:val="0"/>
      <w:marBottom w:val="0"/>
      <w:divBdr>
        <w:top w:val="none" w:sz="0" w:space="0" w:color="auto"/>
        <w:left w:val="none" w:sz="0" w:space="0" w:color="auto"/>
        <w:bottom w:val="none" w:sz="0" w:space="0" w:color="auto"/>
        <w:right w:val="none" w:sz="0" w:space="0" w:color="auto"/>
      </w:divBdr>
    </w:div>
    <w:div w:id="1334063787">
      <w:bodyDiv w:val="1"/>
      <w:marLeft w:val="0"/>
      <w:marRight w:val="0"/>
      <w:marTop w:val="0"/>
      <w:marBottom w:val="0"/>
      <w:divBdr>
        <w:top w:val="none" w:sz="0" w:space="0" w:color="auto"/>
        <w:left w:val="none" w:sz="0" w:space="0" w:color="auto"/>
        <w:bottom w:val="none" w:sz="0" w:space="0" w:color="auto"/>
        <w:right w:val="none" w:sz="0" w:space="0" w:color="auto"/>
      </w:divBdr>
    </w:div>
    <w:div w:id="1373383882">
      <w:bodyDiv w:val="1"/>
      <w:marLeft w:val="0"/>
      <w:marRight w:val="0"/>
      <w:marTop w:val="0"/>
      <w:marBottom w:val="0"/>
      <w:divBdr>
        <w:top w:val="none" w:sz="0" w:space="0" w:color="auto"/>
        <w:left w:val="none" w:sz="0" w:space="0" w:color="auto"/>
        <w:bottom w:val="none" w:sz="0" w:space="0" w:color="auto"/>
        <w:right w:val="none" w:sz="0" w:space="0" w:color="auto"/>
      </w:divBdr>
    </w:div>
    <w:div w:id="1398942034">
      <w:bodyDiv w:val="1"/>
      <w:marLeft w:val="0"/>
      <w:marRight w:val="0"/>
      <w:marTop w:val="0"/>
      <w:marBottom w:val="0"/>
      <w:divBdr>
        <w:top w:val="none" w:sz="0" w:space="0" w:color="auto"/>
        <w:left w:val="none" w:sz="0" w:space="0" w:color="auto"/>
        <w:bottom w:val="none" w:sz="0" w:space="0" w:color="auto"/>
        <w:right w:val="none" w:sz="0" w:space="0" w:color="auto"/>
      </w:divBdr>
    </w:div>
    <w:div w:id="1483236481">
      <w:bodyDiv w:val="1"/>
      <w:marLeft w:val="0"/>
      <w:marRight w:val="0"/>
      <w:marTop w:val="0"/>
      <w:marBottom w:val="0"/>
      <w:divBdr>
        <w:top w:val="none" w:sz="0" w:space="0" w:color="auto"/>
        <w:left w:val="none" w:sz="0" w:space="0" w:color="auto"/>
        <w:bottom w:val="none" w:sz="0" w:space="0" w:color="auto"/>
        <w:right w:val="none" w:sz="0" w:space="0" w:color="auto"/>
      </w:divBdr>
    </w:div>
    <w:div w:id="1486509363">
      <w:bodyDiv w:val="1"/>
      <w:marLeft w:val="0"/>
      <w:marRight w:val="0"/>
      <w:marTop w:val="0"/>
      <w:marBottom w:val="0"/>
      <w:divBdr>
        <w:top w:val="none" w:sz="0" w:space="0" w:color="auto"/>
        <w:left w:val="none" w:sz="0" w:space="0" w:color="auto"/>
        <w:bottom w:val="none" w:sz="0" w:space="0" w:color="auto"/>
        <w:right w:val="none" w:sz="0" w:space="0" w:color="auto"/>
      </w:divBdr>
    </w:div>
    <w:div w:id="1856965198">
      <w:bodyDiv w:val="1"/>
      <w:marLeft w:val="0"/>
      <w:marRight w:val="0"/>
      <w:marTop w:val="0"/>
      <w:marBottom w:val="0"/>
      <w:divBdr>
        <w:top w:val="none" w:sz="0" w:space="0" w:color="auto"/>
        <w:left w:val="none" w:sz="0" w:space="0" w:color="auto"/>
        <w:bottom w:val="none" w:sz="0" w:space="0" w:color="auto"/>
        <w:right w:val="none" w:sz="0" w:space="0" w:color="auto"/>
      </w:divBdr>
    </w:div>
    <w:div w:id="20601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1DE2-9432-4546-B0FE-081839C8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3663B648.dotm</Template>
  <TotalTime>0</TotalTime>
  <Pages>33</Pages>
  <Words>7581</Words>
  <Characters>52089</Characters>
  <Application>Microsoft Office Word</Application>
  <DocSecurity>0</DocSecurity>
  <Lines>2003</Lines>
  <Paragraphs>670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HALLER-UZOCHUKWU Karin</dc:creator>
  <cp:keywords/>
  <dc:description/>
  <cp:lastModifiedBy>BARANIK Urszula</cp:lastModifiedBy>
  <cp:revision>2</cp:revision>
  <cp:lastPrinted>2018-03-23T12:29:00Z</cp:lastPrinted>
  <dcterms:created xsi:type="dcterms:W3CDTF">2018-04-12T14:06:00Z</dcterms:created>
  <dcterms:modified xsi:type="dcterms:W3CDTF">2018-04-12T14:06:00Z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1149381</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\\eiciBRUpr1\pdocep$\DocEP\TRANSFIL\EN\PR_COD_1amCom.EN(30/06/2017 07:41:14)</vt:lpwstr>
  </property>
  <property fmtid="{D5CDD505-2E9C-101B-9397-08002B2CF9AE}" pid="8" name="&lt;Model&gt;">
    <vt:lpwstr>PR_COD_1amCom</vt:lpwstr>
  </property>
  <property fmtid="{D5CDD505-2E9C-101B-9397-08002B2CF9AE}" pid="9" name="FooterPath">
    <vt:lpwstr>RR\1149381PL.docx</vt:lpwstr>
  </property>
  <property fmtid="{D5CDD505-2E9C-101B-9397-08002B2CF9AE}" pid="10" name="PE number">
    <vt:lpwstr>612.068</vt:lpwstr>
  </property>
  <property fmtid="{D5CDD505-2E9C-101B-9397-08002B2CF9AE}" pid="11" name="SubscribeElise">
    <vt:lpwstr/>
  </property>
  <property fmtid="{D5CDD505-2E9C-101B-9397-08002B2CF9AE}" pid="12" name="SendToEpades">
    <vt:lpwstr/>
  </property>
  <property fmtid="{D5CDD505-2E9C-101B-9397-08002B2CF9AE}" pid="13" name="CheckDocument">
    <vt:lpwstr>OK - 2018/03/23 12:13</vt:lpwstr>
  </property>
  <property fmtid="{D5CDD505-2E9C-101B-9397-08002B2CF9AE}" pid="14" name="SDLStudio">
    <vt:lpwstr/>
  </property>
  <property fmtid="{D5CDD505-2E9C-101B-9397-08002B2CF9AE}" pid="15" name="&lt;Extension&gt;">
    <vt:lpwstr>PL</vt:lpwstr>
  </property>
  <property fmtid="{D5CDD505-2E9C-101B-9397-08002B2CF9AE}" pid="16" name="Bookout">
    <vt:lpwstr>OK - 2018/04/12 16:06</vt:lpwstr>
  </property>
</Properties>
</file>