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DD" w:rsidRDefault="00BA14DD" w:rsidP="00BA14DD">
      <w:pPr>
        <w:tabs>
          <w:tab w:val="right" w:pos="9184"/>
        </w:tabs>
      </w:pPr>
    </w:p>
    <w:p w:rsidR="00BA14DD" w:rsidRDefault="00BA14DD" w:rsidP="00BA14DD">
      <w:pPr>
        <w:tabs>
          <w:tab w:val="right" w:pos="9184"/>
        </w:tabs>
      </w:pPr>
    </w:p>
    <w:p w:rsidR="00BA14DD" w:rsidRDefault="00BA14DD" w:rsidP="00BA14DD">
      <w:pPr>
        <w:tabs>
          <w:tab w:val="right" w:pos="9184"/>
        </w:tabs>
      </w:pPr>
    </w:p>
    <w:p w:rsidR="00BA14DD" w:rsidRDefault="00BA14DD" w:rsidP="00BA14DD">
      <w:pPr>
        <w:tabs>
          <w:tab w:val="right" w:pos="9184"/>
        </w:tabs>
      </w:pPr>
    </w:p>
    <w:p w:rsidR="00BA14DD" w:rsidRDefault="00BA14DD" w:rsidP="00BA14DD">
      <w:pPr>
        <w:tabs>
          <w:tab w:val="right" w:pos="9184"/>
        </w:tabs>
      </w:pPr>
      <w:r w:rsidRPr="00BA14DD">
        <w:rPr>
          <w:rStyle w:val="HideTWBExt"/>
        </w:rPr>
        <w:t>&lt;Date&gt;</w:t>
      </w:r>
      <w:r>
        <w:t>9.1.2019</w:t>
      </w:r>
      <w:r w:rsidRPr="00BA14DD">
        <w:rPr>
          <w:rStyle w:val="HideTWBExt"/>
        </w:rPr>
        <w:t>&lt;/Date&gt;</w:t>
      </w:r>
      <w:r>
        <w:tab/>
        <w:t xml:space="preserve">A8-0361/ </w:t>
      </w:r>
      <w:r w:rsidRPr="00BA14DD">
        <w:rPr>
          <w:rStyle w:val="HideTWBExt"/>
        </w:rPr>
        <w:t>&lt;NumOfAM&gt;</w:t>
      </w:r>
      <w:r>
        <w:t>001-016</w:t>
      </w:r>
      <w:bookmarkStart w:id="0" w:name="_GoBack"/>
      <w:bookmarkEnd w:id="0"/>
      <w:r w:rsidRPr="00BA14DD">
        <w:rPr>
          <w:rStyle w:val="HideTWBExt"/>
        </w:rPr>
        <w:t>&lt;/NumOfAM&gt;</w:t>
      </w:r>
    </w:p>
    <w:p w:rsidR="00BA14DD" w:rsidRDefault="00BA14DD" w:rsidP="00BA14DD">
      <w:pPr>
        <w:tabs>
          <w:tab w:val="right" w:pos="9184"/>
        </w:tabs>
      </w:pPr>
    </w:p>
    <w:p w:rsidR="00BA14DD" w:rsidRDefault="00BA14DD" w:rsidP="00BA14DD">
      <w:pPr>
        <w:tabs>
          <w:tab w:val="right" w:pos="9184"/>
        </w:tabs>
      </w:pPr>
    </w:p>
    <w:p w:rsidR="00BA14DD" w:rsidRDefault="00BA14DD" w:rsidP="00BA14DD">
      <w:pPr>
        <w:tabs>
          <w:tab w:val="right" w:pos="9184"/>
        </w:tabs>
      </w:pPr>
      <w:r>
        <w:rPr>
          <w:b/>
        </w:rPr>
        <w:t xml:space="preserve">TARKISTUKSET 001-016 </w:t>
      </w:r>
    </w:p>
    <w:p w:rsidR="00BA14DD" w:rsidRDefault="00BA14DD" w:rsidP="00BA14DD">
      <w:pPr>
        <w:tabs>
          <w:tab w:val="right" w:pos="9184"/>
        </w:tabs>
      </w:pPr>
      <w:r>
        <w:t xml:space="preserve">esittäjä(t): </w:t>
      </w:r>
      <w:r w:rsidRPr="00BA14DD">
        <w:rPr>
          <w:rStyle w:val="HideTWBExt"/>
        </w:rPr>
        <w:t>&lt;Committee&gt;</w:t>
      </w:r>
      <w:r>
        <w:t>Kansainvälisen kaupan valiokunta</w:t>
      </w:r>
      <w:r w:rsidRPr="00BA14DD">
        <w:rPr>
          <w:rStyle w:val="HideTWBExt"/>
        </w:rPr>
        <w:t>&lt;/Committee&gt;</w:t>
      </w:r>
    </w:p>
    <w:p w:rsidR="00BA14DD" w:rsidRDefault="00BA14DD" w:rsidP="00BA14DD">
      <w:pPr>
        <w:tabs>
          <w:tab w:val="right" w:pos="9184"/>
        </w:tabs>
      </w:pPr>
    </w:p>
    <w:p w:rsidR="00BA14DD" w:rsidRPr="006940CE" w:rsidRDefault="00BA14DD" w:rsidP="00BA14DD">
      <w:pPr>
        <w:tabs>
          <w:tab w:val="right" w:pos="9184"/>
        </w:tabs>
        <w:rPr>
          <w:b/>
          <w:lang w:val="en-GB"/>
        </w:rPr>
      </w:pPr>
      <w:r w:rsidRPr="006940CE">
        <w:rPr>
          <w:b/>
          <w:lang w:val="en-GB"/>
        </w:rPr>
        <w:t>Mietintö</w:t>
      </w:r>
    </w:p>
    <w:p w:rsidR="00BA14DD" w:rsidRPr="006940CE" w:rsidRDefault="00BA14DD" w:rsidP="00BA14DD">
      <w:pPr>
        <w:tabs>
          <w:tab w:val="right" w:pos="9184"/>
        </w:tabs>
        <w:rPr>
          <w:b/>
          <w:lang w:val="en-GB"/>
        </w:rPr>
      </w:pPr>
      <w:r w:rsidRPr="006940CE">
        <w:rPr>
          <w:rStyle w:val="HideTWBExt"/>
          <w:lang w:val="en-GB"/>
        </w:rPr>
        <w:t>&lt;Chairman&gt;</w:t>
      </w:r>
      <w:r w:rsidRPr="006940CE">
        <w:rPr>
          <w:b/>
          <w:lang w:val="en-GB"/>
        </w:rPr>
        <w:t>Godelieve Quisthoudt-Rowohl</w:t>
      </w:r>
      <w:r w:rsidRPr="006940CE">
        <w:rPr>
          <w:rStyle w:val="HideTWBExt"/>
          <w:lang w:val="en-GB"/>
        </w:rPr>
        <w:t>&lt;/Chairman&gt;</w:t>
      </w:r>
      <w:r w:rsidRPr="006940CE">
        <w:rPr>
          <w:b/>
          <w:lang w:val="en-GB"/>
        </w:rPr>
        <w:tab/>
      </w:r>
      <w:r w:rsidRPr="006940CE">
        <w:rPr>
          <w:rStyle w:val="HideTWBExt"/>
          <w:lang w:val="en-GB"/>
        </w:rPr>
        <w:t>&lt;A5Nr&gt;</w:t>
      </w:r>
      <w:r w:rsidRPr="006940CE">
        <w:rPr>
          <w:b/>
          <w:lang w:val="en-GB"/>
        </w:rPr>
        <w:t>A8-0361/2018</w:t>
      </w:r>
      <w:r w:rsidRPr="006940CE">
        <w:rPr>
          <w:rStyle w:val="HideTWBExt"/>
          <w:lang w:val="en-GB"/>
        </w:rPr>
        <w:t>&lt;/A5Nr&gt;</w:t>
      </w:r>
    </w:p>
    <w:p w:rsidR="00BA14DD" w:rsidRDefault="00BA14DD" w:rsidP="00BA14DD">
      <w:pPr>
        <w:tabs>
          <w:tab w:val="right" w:pos="9184"/>
        </w:tabs>
      </w:pPr>
      <w:r w:rsidRPr="00BA14DD">
        <w:rPr>
          <w:rStyle w:val="HideTWBExt"/>
        </w:rPr>
        <w:t>&lt;ShortTitel&gt;</w:t>
      </w:r>
      <w:r>
        <w:t>Unionin WTO-luetteloon sisältyvien tariffikiintiöiden jakaminen Yhdistyneen kuningaskunnan unionista eroamisen vuoksi</w:t>
      </w:r>
      <w:r w:rsidRPr="00BA14DD">
        <w:rPr>
          <w:rStyle w:val="HideTWBExt"/>
        </w:rPr>
        <w:t>&lt;/ShortTitel&gt;</w:t>
      </w:r>
    </w:p>
    <w:p w:rsidR="00BA14DD" w:rsidRDefault="00BA14DD" w:rsidP="00BA14DD">
      <w:pPr>
        <w:tabs>
          <w:tab w:val="right" w:pos="9184"/>
        </w:tabs>
      </w:pPr>
    </w:p>
    <w:p w:rsidR="00BA14DD" w:rsidRDefault="00BA14DD" w:rsidP="00BA14DD">
      <w:pPr>
        <w:tabs>
          <w:tab w:val="right" w:pos="9184"/>
        </w:tabs>
      </w:pPr>
      <w:r w:rsidRPr="00BA14DD">
        <w:rPr>
          <w:rStyle w:val="HideTWBExt"/>
        </w:rPr>
        <w:t>&lt;Procedure&gt;</w:t>
      </w:r>
      <w:r>
        <w:t>Ehdotus asetukseksi</w:t>
      </w:r>
      <w:r w:rsidRPr="00BA14DD">
        <w:rPr>
          <w:rStyle w:val="HideTWBExt"/>
        </w:rPr>
        <w:t>&lt;/Procedure&gt;</w:t>
      </w:r>
      <w:r>
        <w:t xml:space="preserve"> </w:t>
      </w:r>
      <w:r w:rsidRPr="00BA14DD">
        <w:rPr>
          <w:rStyle w:val="HideTWBExt"/>
        </w:rPr>
        <w:t>&lt;ReferenceNo&gt;</w:t>
      </w:r>
      <w:r>
        <w:t>(COM(2018)0312 – C8-0202/2018 – 2018/0158(COD))</w:t>
      </w:r>
      <w:r w:rsidRPr="00BA14DD">
        <w:rPr>
          <w:rStyle w:val="HideTWBExt"/>
        </w:rPr>
        <w:t>&lt;/ReferenceNo&gt;</w:t>
      </w:r>
    </w:p>
    <w:p w:rsidR="00BA14DD" w:rsidRDefault="00BA14DD" w:rsidP="00BA14DD">
      <w:pPr>
        <w:tabs>
          <w:tab w:val="right" w:pos="9184"/>
        </w:tabs>
      </w:pPr>
    </w:p>
    <w:p w:rsidR="00BA14DD" w:rsidRDefault="00BA14DD" w:rsidP="00BA14DD">
      <w:pPr>
        <w:tabs>
          <w:tab w:val="right" w:pos="9184"/>
        </w:tabs>
      </w:pPr>
    </w:p>
    <w:p w:rsidR="00BA14DD" w:rsidRDefault="00BA14DD" w:rsidP="00BA14DD">
      <w:pPr>
        <w:tabs>
          <w:tab w:val="right" w:pos="9184"/>
        </w:tabs>
      </w:pPr>
    </w:p>
    <w:p w:rsidR="00BA14DD" w:rsidRDefault="00BA14DD" w:rsidP="00BA14DD">
      <w:pPr>
        <w:tabs>
          <w:tab w:val="right" w:pos="9184"/>
        </w:tabs>
        <w:jc w:val="center"/>
      </w:pPr>
      <w:r>
        <w:t>_____________________________________________________________</w:t>
      </w:r>
    </w:p>
    <w:p w:rsidR="00BA14DD" w:rsidRDefault="00BA14DD" w:rsidP="00BA14DD">
      <w:pPr>
        <w:tabs>
          <w:tab w:val="right" w:pos="9184"/>
        </w:tabs>
        <w:jc w:val="center"/>
      </w:pPr>
    </w:p>
    <w:p w:rsidR="00090E20" w:rsidRPr="00BA14DD" w:rsidRDefault="00090E20" w:rsidP="00BA14DD">
      <w:pPr>
        <w:pStyle w:val="AMNumberTabs"/>
      </w:pPr>
      <w:r w:rsidRPr="00BA14DD">
        <w:t>Tarkistus</w:t>
      </w:r>
      <w:r w:rsidR="00CC5C05" w:rsidRPr="00BA14DD">
        <w:t xml:space="preserve"> </w:t>
      </w:r>
      <w:r w:rsidRPr="00BA14DD">
        <w:t>1</w:t>
      </w:r>
    </w:p>
    <w:p w:rsidR="00090E20" w:rsidRPr="00BA14DD" w:rsidRDefault="00090E20" w:rsidP="00090E20">
      <w:pPr>
        <w:pStyle w:val="NormalBold12b"/>
        <w:widowControl/>
      </w:pPr>
      <w:r w:rsidRPr="00BA14DD">
        <w:t>Ehdotus asetukseksi</w:t>
      </w:r>
    </w:p>
    <w:p w:rsidR="00090E20" w:rsidRPr="00BA14DD" w:rsidRDefault="00090E20" w:rsidP="00090E20">
      <w:pPr>
        <w:pStyle w:val="NormalBold"/>
        <w:widowControl/>
      </w:pPr>
      <w:r w:rsidRPr="00BA14DD">
        <w:t>Johdanto-osan 2 kappale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0E20" w:rsidRPr="00BA14DD" w:rsidTr="000E0DED">
        <w:trPr>
          <w:trHeight w:hRule="exact" w:val="240"/>
          <w:jc w:val="center"/>
        </w:trPr>
        <w:tc>
          <w:tcPr>
            <w:tcW w:w="9752" w:type="dxa"/>
            <w:gridSpan w:val="2"/>
          </w:tcPr>
          <w:p w:rsidR="00090E20" w:rsidRPr="00BA14DD" w:rsidRDefault="00090E20" w:rsidP="000E0DED">
            <w:pPr>
              <w:widowControl/>
            </w:pPr>
          </w:p>
        </w:tc>
      </w:tr>
      <w:tr w:rsidR="00090E20" w:rsidRPr="00BA14DD" w:rsidTr="000E0DED">
        <w:trPr>
          <w:trHeight w:val="240"/>
          <w:jc w:val="center"/>
        </w:trPr>
        <w:tc>
          <w:tcPr>
            <w:tcW w:w="4876" w:type="dxa"/>
          </w:tcPr>
          <w:p w:rsidR="00090E20" w:rsidRPr="00BA14DD" w:rsidRDefault="00090E20" w:rsidP="000E0DED">
            <w:pPr>
              <w:pStyle w:val="ColumnHeading"/>
              <w:widowControl/>
            </w:pPr>
            <w:r w:rsidRPr="00BA14DD">
              <w:t>Komission teksti</w:t>
            </w:r>
          </w:p>
        </w:tc>
        <w:tc>
          <w:tcPr>
            <w:tcW w:w="4876" w:type="dxa"/>
          </w:tcPr>
          <w:p w:rsidR="00090E20" w:rsidRPr="00BA14DD" w:rsidRDefault="00090E20" w:rsidP="000E0DED">
            <w:pPr>
              <w:pStyle w:val="ColumnHeading"/>
              <w:widowControl/>
            </w:pPr>
            <w:r w:rsidRPr="00BA14DD">
              <w:t>Tarkistus</w:t>
            </w:r>
          </w:p>
        </w:tc>
      </w:tr>
      <w:tr w:rsidR="00090E20" w:rsidRPr="00BA14DD" w:rsidTr="000E0DED">
        <w:trPr>
          <w:jc w:val="center"/>
        </w:trPr>
        <w:tc>
          <w:tcPr>
            <w:tcW w:w="4876" w:type="dxa"/>
          </w:tcPr>
          <w:p w:rsidR="00090E20" w:rsidRPr="00BA14DD" w:rsidRDefault="00090E20" w:rsidP="000E0DED">
            <w:pPr>
              <w:pStyle w:val="Normal6"/>
              <w:widowControl/>
            </w:pPr>
            <w:r w:rsidRPr="00BA14DD">
              <w:t>(2)</w:t>
            </w:r>
            <w:r w:rsidRPr="00BA14DD">
              <w:tab/>
              <w:t>Yhdistyneen kuningaskunnan unionista eroaminen vaikuttaa Yhdistyneen kuningaskunnan ja unionin suhteisiin kolmansiin maihin, erityisesti Maailman kauppajärjestön (WTO) puitteissa, jonka alkuperäisiä jäseniä molemmat ovat.</w:t>
            </w:r>
          </w:p>
        </w:tc>
        <w:tc>
          <w:tcPr>
            <w:tcW w:w="4876" w:type="dxa"/>
          </w:tcPr>
          <w:p w:rsidR="00090E20" w:rsidRPr="00BA14DD" w:rsidRDefault="00090E20" w:rsidP="000E0DED">
            <w:pPr>
              <w:pStyle w:val="Normal6"/>
              <w:widowControl/>
            </w:pPr>
            <w:r w:rsidRPr="00BA14DD">
              <w:t>(2)</w:t>
            </w:r>
            <w:r w:rsidRPr="00BA14DD">
              <w:tab/>
              <w:t xml:space="preserve">Yhdistyneen kuningaskunnan unionista eroaminen vaikuttaa Yhdistyneen kuningaskunnan ja unionin suhteisiin kolmansiin maihin, erityisesti Maailman kauppajärjestön (WTO) puitteissa, jonka alkuperäisiä jäseniä molemmat ovat. </w:t>
            </w:r>
            <w:r w:rsidRPr="00BA14DD">
              <w:rPr>
                <w:b/>
                <w:i/>
              </w:rPr>
              <w:t>Koska prosessi on meneillään samaan aikaan, kun monivuotisesta rahoituskehyksestä käydään neuvotteluja, ja kun otetaan huomioon maatalousalalle myönnetty osuus monivuotisessa rahoituskehyksessä, kyseiselle alalle voi aiheutua vakavia seurauksia ja sen vuoksi näiden neuvottelujen aikana pitää noudattaa tiettyä varovaisuutta.</w:t>
            </w:r>
          </w:p>
        </w:tc>
      </w:tr>
    </w:tbl>
    <w:p w:rsidR="00090E20" w:rsidRPr="00BA14DD" w:rsidRDefault="00090E20" w:rsidP="00090E20">
      <w:pPr>
        <w:pStyle w:val="AMNumberTabs"/>
        <w:widowControl/>
      </w:pPr>
      <w:r w:rsidRPr="00BA14DD">
        <w:lastRenderedPageBreak/>
        <w:t>Tarkistus</w:t>
      </w:r>
      <w:r w:rsidR="00CC5C05" w:rsidRPr="00BA14DD">
        <w:t xml:space="preserve"> </w:t>
      </w:r>
      <w:r w:rsidRPr="00BA14DD">
        <w:t>2</w:t>
      </w:r>
    </w:p>
    <w:p w:rsidR="00090E20" w:rsidRPr="00BA14DD" w:rsidRDefault="00090E20" w:rsidP="00090E20">
      <w:pPr>
        <w:pStyle w:val="NormalBold12b"/>
        <w:widowControl/>
      </w:pPr>
      <w:r w:rsidRPr="00BA14DD">
        <w:t>Ehdotus asetukseksi</w:t>
      </w:r>
    </w:p>
    <w:p w:rsidR="00090E20" w:rsidRPr="00BA14DD" w:rsidRDefault="00090E20" w:rsidP="00090E20">
      <w:pPr>
        <w:pStyle w:val="NormalBold"/>
        <w:keepNext/>
        <w:widowControl/>
      </w:pPr>
      <w:r w:rsidRPr="00BA14DD">
        <w:t>Johdanto-osan 4 kappale</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90E20" w:rsidRPr="00BA14DD" w:rsidTr="000E0DED">
        <w:trPr>
          <w:jc w:val="center"/>
        </w:trPr>
        <w:tc>
          <w:tcPr>
            <w:tcW w:w="9752" w:type="dxa"/>
            <w:gridSpan w:val="2"/>
          </w:tcPr>
          <w:p w:rsidR="00090E20" w:rsidRPr="00BA14DD" w:rsidRDefault="00090E20" w:rsidP="000E0DED">
            <w:pPr>
              <w:keepNext/>
              <w:widowControl/>
            </w:pPr>
          </w:p>
        </w:tc>
      </w:tr>
      <w:tr w:rsidR="00090E20" w:rsidRPr="00BA14DD" w:rsidTr="000E0DED">
        <w:trPr>
          <w:jc w:val="center"/>
        </w:trPr>
        <w:tc>
          <w:tcPr>
            <w:tcW w:w="4876" w:type="dxa"/>
          </w:tcPr>
          <w:p w:rsidR="00090E20" w:rsidRPr="00BA14DD" w:rsidRDefault="00090E20" w:rsidP="000E0DED">
            <w:pPr>
              <w:pStyle w:val="ColumnHeading"/>
              <w:keepNext/>
              <w:widowControl/>
            </w:pPr>
            <w:r w:rsidRPr="00BA14DD">
              <w:t>Komission teksti</w:t>
            </w:r>
          </w:p>
        </w:tc>
        <w:tc>
          <w:tcPr>
            <w:tcW w:w="4876" w:type="dxa"/>
          </w:tcPr>
          <w:p w:rsidR="00090E20" w:rsidRPr="00BA14DD" w:rsidRDefault="00090E20" w:rsidP="000E0DED">
            <w:pPr>
              <w:pStyle w:val="ColumnHeading"/>
              <w:keepNext/>
              <w:widowControl/>
            </w:pPr>
            <w:r w:rsidRPr="00BA14DD">
              <w:t>Tarkistus</w:t>
            </w:r>
          </w:p>
        </w:tc>
      </w:tr>
      <w:tr w:rsidR="00090E20" w:rsidRPr="00BA14DD" w:rsidTr="000E0DED">
        <w:trPr>
          <w:jc w:val="center"/>
        </w:trPr>
        <w:tc>
          <w:tcPr>
            <w:tcW w:w="4876" w:type="dxa"/>
          </w:tcPr>
          <w:p w:rsidR="00090E20" w:rsidRPr="00BA14DD" w:rsidRDefault="00090E20" w:rsidP="00CC5C05">
            <w:pPr>
              <w:pStyle w:val="Normal6"/>
              <w:widowControl/>
            </w:pPr>
            <w:r w:rsidRPr="00BA14DD">
              <w:t>(4)</w:t>
            </w:r>
            <w:r w:rsidRPr="00BA14DD">
              <w:tab/>
              <w:t>WTO:n sääntöjen mukaisesti tällainen unionin myönnytyksiä ja sitoumuksia koskevaan luetteloon sisältyvien tariffikiintiöiden jako on tehtävä vuonna 1994 tehdyn tullitariffeja ja kauppaa koskevan yleissopimuksen, jäljempänä ’GATT 1994 -sopimus’, XXVIII artiklan mukaisesti. Sen vuoksi unioni sitoutuu – alustavan yhteydenpidon jälkeen – neuvotteluihin sellaisten WTO:n jäsenten kanssa, joilla on pääasiallisen hankkijan asema tai huomattava toimittaja-asema taikka alkuperäinen neuvotteluoikeus kunkin tariffikiintiön osalta.</w:t>
            </w:r>
          </w:p>
        </w:tc>
        <w:tc>
          <w:tcPr>
            <w:tcW w:w="4876" w:type="dxa"/>
          </w:tcPr>
          <w:p w:rsidR="00090E20" w:rsidRPr="00BA14DD" w:rsidRDefault="00090E20" w:rsidP="00CC5C05">
            <w:pPr>
              <w:pStyle w:val="Normal6"/>
              <w:widowControl/>
              <w:rPr>
                <w:szCs w:val="24"/>
              </w:rPr>
            </w:pPr>
            <w:r w:rsidRPr="00BA14DD">
              <w:rPr>
                <w:szCs w:val="24"/>
              </w:rPr>
              <w:t>(4)</w:t>
            </w:r>
            <w:r w:rsidRPr="00BA14DD">
              <w:tab/>
            </w:r>
            <w:r w:rsidRPr="00BA14DD">
              <w:rPr>
                <w:szCs w:val="24"/>
              </w:rPr>
              <w:t xml:space="preserve">WTO:n sääntöjen mukaisesti tällainen unionin myönnytyksiä ja sitoumuksia koskevaan luetteloon sisältyvien tariffikiintiöiden jako on tehtävä vuonna 1994 tehdyn tullitariffeja ja kauppaa koskevan yleissopimuksen, jäljempänä ’GATT 1994 -sopimus’, XXVIII artiklan mukaisesti. Sen vuoksi unioni sitoutuu – alustavan yhteydenpidon jälkeen – neuvotteluihin sellaisten WTO:n jäsenten kanssa, joilla on pääasiallisen hankkijan asema tai huomattava toimittaja-asema taikka alkuperäinen neuvotteluoikeus kunkin tariffikiintiön osalta. </w:t>
            </w:r>
            <w:r w:rsidRPr="00BA14DD">
              <w:rPr>
                <w:b/>
                <w:i/>
                <w:szCs w:val="24"/>
              </w:rPr>
              <w:t>Kyseisten neuvottelujen olisi pysyttävä rajallisina, eikä niitä saisi missään tapauksessa laajentaa siten, että neuvotellaan uudelleen tuotteiden unionin markkinoille pääsyä koskevista yleisistä ehdoista tai markkinoille pääsyn asteesta.</w:t>
            </w:r>
          </w:p>
        </w:tc>
      </w:tr>
    </w:tbl>
    <w:p w:rsidR="00090E20" w:rsidRPr="00BA14DD" w:rsidRDefault="00090E20" w:rsidP="00090E20">
      <w:pPr>
        <w:pStyle w:val="AMNumberTabs"/>
        <w:widowControl/>
      </w:pPr>
      <w:r w:rsidRPr="00BA14DD">
        <w:t>Tarkistus</w:t>
      </w:r>
      <w:r w:rsidR="00CC5C05" w:rsidRPr="00BA14DD">
        <w:t xml:space="preserve"> </w:t>
      </w:r>
      <w:r w:rsidRPr="00BA14DD">
        <w:t>3</w:t>
      </w:r>
    </w:p>
    <w:p w:rsidR="00090E20" w:rsidRPr="00BA14DD" w:rsidRDefault="00090E20" w:rsidP="00090E20">
      <w:pPr>
        <w:pStyle w:val="NormalBold12b"/>
        <w:widowControl/>
      </w:pPr>
      <w:r w:rsidRPr="00BA14DD">
        <w:t>Ehdotus asetukseksi</w:t>
      </w:r>
    </w:p>
    <w:p w:rsidR="00090E20" w:rsidRPr="00BA14DD" w:rsidRDefault="00090E20" w:rsidP="00090E20">
      <w:pPr>
        <w:pStyle w:val="NormalBold"/>
        <w:widowControl/>
      </w:pPr>
      <w:r w:rsidRPr="00BA14DD">
        <w:t>Johdanto-osan 6 kappale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90E20" w:rsidRPr="00BA14DD" w:rsidTr="000E0DED">
        <w:trPr>
          <w:jc w:val="center"/>
        </w:trPr>
        <w:tc>
          <w:tcPr>
            <w:tcW w:w="9752" w:type="dxa"/>
            <w:gridSpan w:val="2"/>
          </w:tcPr>
          <w:p w:rsidR="00090E20" w:rsidRPr="00BA14DD" w:rsidRDefault="00090E20" w:rsidP="000E0DED">
            <w:pPr>
              <w:keepNext/>
              <w:widowControl/>
            </w:pPr>
          </w:p>
        </w:tc>
      </w:tr>
      <w:tr w:rsidR="00090E20" w:rsidRPr="00BA14DD" w:rsidTr="000E0DED">
        <w:trPr>
          <w:jc w:val="center"/>
        </w:trPr>
        <w:tc>
          <w:tcPr>
            <w:tcW w:w="4876" w:type="dxa"/>
          </w:tcPr>
          <w:p w:rsidR="00090E20" w:rsidRPr="00BA14DD" w:rsidRDefault="00090E20" w:rsidP="000E0DED">
            <w:pPr>
              <w:pStyle w:val="ColumnHeading"/>
              <w:keepNext/>
              <w:widowControl/>
            </w:pPr>
            <w:r w:rsidRPr="00BA14DD">
              <w:t>Komission teksti</w:t>
            </w:r>
          </w:p>
        </w:tc>
        <w:tc>
          <w:tcPr>
            <w:tcW w:w="4876" w:type="dxa"/>
          </w:tcPr>
          <w:p w:rsidR="00090E20" w:rsidRPr="00BA14DD" w:rsidRDefault="00090E20" w:rsidP="000E0DED">
            <w:pPr>
              <w:pStyle w:val="ColumnHeading"/>
              <w:keepNext/>
              <w:widowControl/>
            </w:pPr>
            <w:r w:rsidRPr="00BA14DD">
              <w:t>Tarkistus</w:t>
            </w:r>
          </w:p>
        </w:tc>
      </w:tr>
      <w:tr w:rsidR="00090E20" w:rsidRPr="00BA14DD" w:rsidTr="000E0DED">
        <w:trPr>
          <w:jc w:val="center"/>
        </w:trPr>
        <w:tc>
          <w:tcPr>
            <w:tcW w:w="4876" w:type="dxa"/>
          </w:tcPr>
          <w:p w:rsidR="00090E20" w:rsidRPr="00BA14DD" w:rsidRDefault="00090E20" w:rsidP="000E0DED">
            <w:pPr>
              <w:pStyle w:val="Normal6"/>
              <w:widowControl/>
            </w:pPr>
            <w:r w:rsidRPr="00BA14DD">
              <w:t>(6)</w:t>
            </w:r>
            <w:r w:rsidRPr="00BA14DD">
              <w:tab/>
              <w:t xml:space="preserve">Sen vuoksi olisi käytettävä seuraavaa menetelmää: ensimmäisessä vaiheessa olisi vahvistettava Yhdistyneen kuningaskunnan käyttöosuus kustakin yksittäisestä tariffikiintiöstä. Käyttöosuus, joka ilmaistaan prosentteina, on Yhdistyneen kuningaskunnan osuus kyseisen tariffikiintiön EU:n kokonaistuonnista tuoreen edustavan kolmivuotiskauden aikana. Tätä käyttöosuutta olisi sen jälkeen sovellettava koko luetteloon sisältyvään tariffikiintiömäärään, jotta saadaan Yhdistyneen kuningaskunnan osuus tietystä tariffikiintiöstä. Unionin kiintiö on </w:t>
            </w:r>
            <w:r w:rsidRPr="00BA14DD">
              <w:lastRenderedPageBreak/>
              <w:t>jäljelle jäävä osa kyseisestä tariffikiintiöstä. Tämä tarkoittaa sitä, että tietyn tariffikiintiön kokonaismäärä ei muutu (eli EU27-määrä = tämänhetkinen EU-28-määrä – Yhdistyneen kuningaskunnan määrä). Laskelmien pohjana olevat tiedot olisi otettava asianmukaisista komission tietokannoista.</w:t>
            </w:r>
          </w:p>
        </w:tc>
        <w:tc>
          <w:tcPr>
            <w:tcW w:w="4876" w:type="dxa"/>
          </w:tcPr>
          <w:p w:rsidR="00090E20" w:rsidRPr="00BA14DD" w:rsidRDefault="00090E20" w:rsidP="000E0DED">
            <w:pPr>
              <w:pStyle w:val="Normal6"/>
              <w:widowControl/>
              <w:rPr>
                <w:szCs w:val="24"/>
              </w:rPr>
            </w:pPr>
            <w:r w:rsidRPr="00BA14DD">
              <w:lastRenderedPageBreak/>
              <w:t>(6)</w:t>
            </w:r>
            <w:r w:rsidRPr="00BA14DD">
              <w:tab/>
              <w:t>Sen vuoksi olisi käytettävä seuraavaa menetelmää: ensimmäisessä vaiheessa olisi vahvistettava Yhdistyneen kuningaskunnan käyttöosuus kustakin yksittäisestä tariffikiintiöstä. Käyttöosuus, joka ilmaistaan prosentteina, on Yhdistyneen kuningaskunnan osuus kyseisen tariffikiintiön EU:n kokonaistuonnista tuoreen edustavan kolmivuotiskauden aikana. Tätä käyttöosuutta olisi sen jälkeen sovellettava koko luetteloon sisältyvään tariffikiintiömäärään</w:t>
            </w:r>
            <w:r w:rsidRPr="00BA14DD">
              <w:rPr>
                <w:b/>
                <w:i/>
              </w:rPr>
              <w:t xml:space="preserve"> ottaen huomioon mahdollinen täyttymättä jäänyt osuus</w:t>
            </w:r>
            <w:r w:rsidRPr="00BA14DD">
              <w:t xml:space="preserve">, jotta saadaan Yhdistyneen kuningaskunnan </w:t>
            </w:r>
            <w:r w:rsidRPr="00BA14DD">
              <w:lastRenderedPageBreak/>
              <w:t>osuus tietystä tariffikiintiöstä. Unionin kiintiö on jäljelle jäävä osa kyseisestä tariffikiintiöstä. Tämä tarkoittaa sitä, että tietyn tariffikiintiön kokonaismäärä ei muutu (eli EU27-määrä = tämänhetkinen EU-28-määrä – Yhdistyneen kuningaskunnan määrä). Laskelmien pohjana olevat tiedot olisi otettava asianmukaisista komission tietokannoista.</w:t>
            </w:r>
          </w:p>
        </w:tc>
      </w:tr>
    </w:tbl>
    <w:p w:rsidR="00090E20" w:rsidRPr="00BA14DD" w:rsidRDefault="00090E20" w:rsidP="00090E20">
      <w:pPr>
        <w:pStyle w:val="AMNumberTabs"/>
        <w:widowControl/>
      </w:pPr>
      <w:r w:rsidRPr="00BA14DD">
        <w:lastRenderedPageBreak/>
        <w:t>Tarkistus</w:t>
      </w:r>
      <w:r w:rsidR="00CC5C05" w:rsidRPr="00BA14DD">
        <w:t xml:space="preserve"> </w:t>
      </w:r>
      <w:r w:rsidRPr="00BA14DD">
        <w:t>4</w:t>
      </w:r>
    </w:p>
    <w:p w:rsidR="00090E20" w:rsidRPr="00BA14DD" w:rsidRDefault="00090E20" w:rsidP="00090E20">
      <w:pPr>
        <w:pStyle w:val="NormalBold12b"/>
        <w:widowControl/>
      </w:pPr>
      <w:r w:rsidRPr="00BA14DD">
        <w:t>Ehdotus asetukseksi</w:t>
      </w:r>
    </w:p>
    <w:p w:rsidR="00090E20" w:rsidRPr="00BA14DD" w:rsidRDefault="00090E20" w:rsidP="00090E20">
      <w:pPr>
        <w:pStyle w:val="NormalBold"/>
        <w:widowControl/>
      </w:pPr>
      <w:r w:rsidRPr="00BA14DD">
        <w:t>Johdanto-osan 6 a kappale (uusi)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0E20" w:rsidRPr="00BA14DD" w:rsidTr="000E0DED">
        <w:trPr>
          <w:trHeight w:hRule="exact" w:val="240"/>
          <w:jc w:val="center"/>
        </w:trPr>
        <w:tc>
          <w:tcPr>
            <w:tcW w:w="9752" w:type="dxa"/>
            <w:gridSpan w:val="2"/>
          </w:tcPr>
          <w:p w:rsidR="00090E20" w:rsidRPr="00BA14DD" w:rsidRDefault="00090E20" w:rsidP="000E0DED">
            <w:pPr>
              <w:widowControl/>
            </w:pPr>
          </w:p>
        </w:tc>
      </w:tr>
      <w:tr w:rsidR="00090E20" w:rsidRPr="00BA14DD" w:rsidTr="000E0DED">
        <w:trPr>
          <w:trHeight w:val="240"/>
          <w:jc w:val="center"/>
        </w:trPr>
        <w:tc>
          <w:tcPr>
            <w:tcW w:w="4876" w:type="dxa"/>
          </w:tcPr>
          <w:p w:rsidR="00090E20" w:rsidRPr="00BA14DD" w:rsidRDefault="00090E20" w:rsidP="000E0DED">
            <w:pPr>
              <w:pStyle w:val="ColumnHeading"/>
              <w:widowControl/>
            </w:pPr>
            <w:r w:rsidRPr="00BA14DD">
              <w:t>Komission teksti</w:t>
            </w:r>
          </w:p>
        </w:tc>
        <w:tc>
          <w:tcPr>
            <w:tcW w:w="4876" w:type="dxa"/>
          </w:tcPr>
          <w:p w:rsidR="00090E20" w:rsidRPr="00BA14DD" w:rsidRDefault="00090E20" w:rsidP="000E0DED">
            <w:pPr>
              <w:pStyle w:val="ColumnHeading"/>
              <w:widowControl/>
            </w:pPr>
            <w:r w:rsidRPr="00BA14DD">
              <w:t>Tarkistus</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tcPr>
          <w:p w:rsidR="00090E20" w:rsidRPr="00BA14DD" w:rsidRDefault="00090E20" w:rsidP="000E0DED">
            <w:pPr>
              <w:pStyle w:val="Normal6"/>
              <w:widowControl/>
            </w:pPr>
            <w:r w:rsidRPr="00BA14DD">
              <w:rPr>
                <w:b/>
                <w:i/>
              </w:rPr>
              <w:t>(6 a)</w:t>
            </w:r>
            <w:r w:rsidRPr="00BA14DD">
              <w:tab/>
            </w:r>
            <w:r w:rsidRPr="00BA14DD">
              <w:rPr>
                <w:b/>
                <w:i/>
              </w:rPr>
              <w:t>Unioni ja Yhdistynyt kuningaskunta ovat vahvistaneet ja hyväksyneet kunkin yksittäisen tariffikiintiön käyttöosuutta koskevan menettelyn GATT 1994 -sopimuksen XXVIII artiklan vaatimusten mukaisesti, ja siksi menettely olisi säilytettävä kokonaisuudessaan sen johdonmukaisen soveltamisen varmistamiseksi.</w:t>
            </w:r>
          </w:p>
        </w:tc>
      </w:tr>
    </w:tbl>
    <w:p w:rsidR="00090E20" w:rsidRPr="00BA14DD" w:rsidRDefault="00090E20" w:rsidP="00090E20">
      <w:pPr>
        <w:pStyle w:val="AMNumberTabs"/>
        <w:widowControl/>
      </w:pPr>
      <w:r w:rsidRPr="00BA14DD">
        <w:t>Tarkistus</w:t>
      </w:r>
      <w:r w:rsidR="00CC5C05" w:rsidRPr="00BA14DD">
        <w:t xml:space="preserve"> </w:t>
      </w:r>
      <w:r w:rsidRPr="00BA14DD">
        <w:t>5</w:t>
      </w:r>
    </w:p>
    <w:p w:rsidR="00090E20" w:rsidRPr="00BA14DD" w:rsidRDefault="00090E20" w:rsidP="00090E20">
      <w:pPr>
        <w:pStyle w:val="NormalBold12b"/>
        <w:widowControl/>
      </w:pPr>
      <w:r w:rsidRPr="00BA14DD">
        <w:t>Ehdotus asetukseksi</w:t>
      </w:r>
    </w:p>
    <w:p w:rsidR="00090E20" w:rsidRPr="00BA14DD" w:rsidRDefault="00090E20" w:rsidP="00090E20">
      <w:pPr>
        <w:pStyle w:val="NormalBold"/>
        <w:widowControl/>
      </w:pPr>
      <w:r w:rsidRPr="00BA14DD">
        <w:t>Johdanto-osan 8 kappale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0E20" w:rsidRPr="00BA14DD" w:rsidTr="000E0DED">
        <w:trPr>
          <w:trHeight w:hRule="exact" w:val="240"/>
          <w:jc w:val="center"/>
        </w:trPr>
        <w:tc>
          <w:tcPr>
            <w:tcW w:w="9752" w:type="dxa"/>
            <w:gridSpan w:val="2"/>
          </w:tcPr>
          <w:p w:rsidR="00090E20" w:rsidRPr="00BA14DD" w:rsidRDefault="00090E20" w:rsidP="000E0DED">
            <w:pPr>
              <w:widowControl/>
            </w:pPr>
          </w:p>
        </w:tc>
      </w:tr>
      <w:tr w:rsidR="00090E20" w:rsidRPr="00BA14DD" w:rsidTr="000E0DED">
        <w:trPr>
          <w:trHeight w:val="240"/>
          <w:jc w:val="center"/>
        </w:trPr>
        <w:tc>
          <w:tcPr>
            <w:tcW w:w="4876" w:type="dxa"/>
          </w:tcPr>
          <w:p w:rsidR="00090E20" w:rsidRPr="00BA14DD" w:rsidRDefault="00090E20" w:rsidP="000E0DED">
            <w:pPr>
              <w:pStyle w:val="ColumnHeading"/>
              <w:widowControl/>
            </w:pPr>
            <w:r w:rsidRPr="00BA14DD">
              <w:t>Komission teksti</w:t>
            </w:r>
          </w:p>
        </w:tc>
        <w:tc>
          <w:tcPr>
            <w:tcW w:w="4876" w:type="dxa"/>
          </w:tcPr>
          <w:p w:rsidR="00090E20" w:rsidRPr="00BA14DD" w:rsidRDefault="00090E20" w:rsidP="000E0DED">
            <w:pPr>
              <w:pStyle w:val="ColumnHeading"/>
              <w:widowControl/>
            </w:pPr>
            <w:r w:rsidRPr="00BA14DD">
              <w:t>Tarkistus</w:t>
            </w:r>
          </w:p>
        </w:tc>
      </w:tr>
      <w:tr w:rsidR="00090E20" w:rsidRPr="00BA14DD" w:rsidTr="000E0DED">
        <w:trPr>
          <w:jc w:val="center"/>
        </w:trPr>
        <w:tc>
          <w:tcPr>
            <w:tcW w:w="4876" w:type="dxa"/>
          </w:tcPr>
          <w:p w:rsidR="00090E20" w:rsidRPr="00BA14DD" w:rsidRDefault="00090E20" w:rsidP="000E0DED">
            <w:pPr>
              <w:pStyle w:val="Normal6"/>
              <w:widowControl/>
            </w:pPr>
            <w:r w:rsidRPr="00BA14DD">
              <w:t>(8)</w:t>
            </w:r>
            <w:r w:rsidRPr="00BA14DD">
              <w:tab/>
              <w:t>Maataloustuotteiden tariffikiintiöiden osalta asetuksen (EU) N:o 1308/2013</w:t>
            </w:r>
            <w:r w:rsidRPr="00BA14DD">
              <w:rPr>
                <w:rStyle w:val="Sup"/>
              </w:rPr>
              <w:t>1</w:t>
            </w:r>
            <w:r w:rsidRPr="00BA14DD">
              <w:t xml:space="preserve"> 184–188 artiklassa säädetään tarvittavasta oikeusperustasta tariffikiintiöiden hallinnointia varten, kunhan ne on jaettu tämän asetuksen mukaisesti. Kalataloustuotteiden, teollisuustuotteiden ja tiettyjen jalostettujen maataloustuotteiden tariffikiintiöiden osalta hallinnointi tapahtuu asetuksen (EY) N:o 32/2000</w:t>
            </w:r>
            <w:r w:rsidRPr="00BA14DD">
              <w:rPr>
                <w:rStyle w:val="Sup"/>
              </w:rPr>
              <w:t>2</w:t>
            </w:r>
            <w:r w:rsidRPr="00BA14DD">
              <w:t xml:space="preserve"> nojalla. Asianomaiset tariffikiintiöiden määrät vahvistetaan kyseisen asetuksen liitteessä I, ja ne olisi sen vuoksi korvattava tämän asetuksen liitteessä olevassa B osassa vahvistetuilla </w:t>
            </w:r>
            <w:r w:rsidRPr="00BA14DD">
              <w:lastRenderedPageBreak/>
              <w:t>määrillä.</w:t>
            </w:r>
          </w:p>
        </w:tc>
        <w:tc>
          <w:tcPr>
            <w:tcW w:w="4876" w:type="dxa"/>
          </w:tcPr>
          <w:p w:rsidR="00090E20" w:rsidRPr="00BA14DD" w:rsidRDefault="00090E20" w:rsidP="008C5673">
            <w:pPr>
              <w:pStyle w:val="Normal6"/>
              <w:widowControl/>
            </w:pPr>
            <w:r w:rsidRPr="00BA14DD">
              <w:lastRenderedPageBreak/>
              <w:t>(8)</w:t>
            </w:r>
            <w:r w:rsidRPr="00BA14DD">
              <w:tab/>
              <w:t>Maataloustuotteiden tariffikiintiöiden osalta asetuksen (EU) N:o 1308/2013</w:t>
            </w:r>
            <w:r w:rsidRPr="00BA14DD">
              <w:rPr>
                <w:rStyle w:val="Sup"/>
              </w:rPr>
              <w:t>1</w:t>
            </w:r>
            <w:r w:rsidRPr="00BA14DD">
              <w:t xml:space="preserve"> 184–188 artiklassa säädetään tarvittavasta oikeusperustasta tariffikiintiöiden hallinnointia varten, kunhan ne on jaettu tämän asetuksen mukaisesti.</w:t>
            </w:r>
            <w:r w:rsidR="008C5673" w:rsidRPr="00BA14DD">
              <w:t xml:space="preserve"> </w:t>
            </w:r>
            <w:r w:rsidRPr="00BA14DD">
              <w:rPr>
                <w:b/>
                <w:i/>
              </w:rPr>
              <w:t>Hallinnointi pitää sen vuoksi toteuttaa unionin maatalousmallin mukaisesti siten, että se perustuu maataloustoiminnan monitoiminnallisuuteen ja siinä korostetaan myös muiden kuin kaupallisten seikkojen nimenomaista huomioon ottamista ja väestön tarpeisiin vastaamista elintarviketurvallisuuden, ympäristönsuojelun, elintarvikkeiden laadun ja eläinten hyvinvoinnin alalla.</w:t>
            </w:r>
            <w:r w:rsidRPr="00BA14DD">
              <w:t xml:space="preserve"> </w:t>
            </w:r>
            <w:r w:rsidRPr="00BA14DD">
              <w:lastRenderedPageBreak/>
              <w:t>Kalataloustuotteiden, teollisuustuotteiden ja tiettyjen jalostettujen maataloustuotteiden tariffikiintiöiden osalta hallinnointi tapahtuu asetuksen (EY) N:o 32/2000</w:t>
            </w:r>
            <w:r w:rsidRPr="00BA14DD">
              <w:rPr>
                <w:rStyle w:val="Sup"/>
              </w:rPr>
              <w:t>2</w:t>
            </w:r>
            <w:r w:rsidRPr="00BA14DD">
              <w:t xml:space="preserve"> nojalla. Asianomaiset tariffikiintiöiden määrät vahvistetaan kyseisen asetuksen liitteessä I, ja ne olisi sen vuoksi korvattava tämän asetuksen liitteessä olevassa B osassa vahvistetuilla määrillä.</w:t>
            </w:r>
          </w:p>
        </w:tc>
      </w:tr>
      <w:tr w:rsidR="00090E20" w:rsidRPr="00BA14DD" w:rsidTr="000E0DED">
        <w:trPr>
          <w:jc w:val="center"/>
        </w:trPr>
        <w:tc>
          <w:tcPr>
            <w:tcW w:w="4876" w:type="dxa"/>
          </w:tcPr>
          <w:p w:rsidR="00090E20" w:rsidRPr="00BA14DD" w:rsidRDefault="00090E20" w:rsidP="000E0DED">
            <w:pPr>
              <w:pStyle w:val="Normal6"/>
              <w:widowControl/>
            </w:pPr>
            <w:r w:rsidRPr="00BA14DD">
              <w:lastRenderedPageBreak/>
              <w:t>_________________</w:t>
            </w:r>
          </w:p>
        </w:tc>
        <w:tc>
          <w:tcPr>
            <w:tcW w:w="4876" w:type="dxa"/>
          </w:tcPr>
          <w:p w:rsidR="00090E20" w:rsidRPr="00BA14DD" w:rsidRDefault="00090E20" w:rsidP="000E0DED">
            <w:pPr>
              <w:pStyle w:val="Normal6"/>
              <w:widowControl/>
            </w:pPr>
            <w:r w:rsidRPr="00BA14DD">
              <w:t>_________________</w:t>
            </w:r>
          </w:p>
        </w:tc>
      </w:tr>
      <w:tr w:rsidR="00090E20" w:rsidRPr="00BA14DD" w:rsidTr="000E0DED">
        <w:trPr>
          <w:jc w:val="center"/>
        </w:trPr>
        <w:tc>
          <w:tcPr>
            <w:tcW w:w="4876" w:type="dxa"/>
          </w:tcPr>
          <w:p w:rsidR="00090E20" w:rsidRPr="00BA14DD" w:rsidRDefault="00090E20" w:rsidP="00CC5C05">
            <w:pPr>
              <w:pStyle w:val="Normal6"/>
              <w:widowControl/>
            </w:pPr>
            <w:r w:rsidRPr="00BA14DD">
              <w:rPr>
                <w:rStyle w:val="Sup"/>
              </w:rPr>
              <w:t>1</w:t>
            </w:r>
            <w:r w:rsidR="00CC5C05" w:rsidRPr="00BA14DD">
              <w:rPr>
                <w:rStyle w:val="Sup"/>
              </w:rPr>
              <w:t xml:space="preserve"> </w:t>
            </w:r>
            <w:r w:rsidRPr="00BA14DD">
              <w:t>Euroopan parlamentin ja neuvoston asetus (EU) N:o 1308/2013, annettu 17 päivänä joulukuuta 2013, maataloustuotteiden yhteisestä markkinajärjestelystä ja neuvoston asetusten (ETY) N:o 922/72, (ETY) N:o 234/79, (EY) N:o 1037/2001 ja (EY) N:o 1234/2007 kumoamisesta (EUVL L 347, 20.12.2013, s. 671).</w:t>
            </w:r>
          </w:p>
        </w:tc>
        <w:tc>
          <w:tcPr>
            <w:tcW w:w="4876" w:type="dxa"/>
          </w:tcPr>
          <w:p w:rsidR="00090E20" w:rsidRPr="00BA14DD" w:rsidRDefault="00090E20" w:rsidP="00CC5C05">
            <w:pPr>
              <w:pStyle w:val="Normal6"/>
              <w:widowControl/>
            </w:pPr>
            <w:r w:rsidRPr="00BA14DD">
              <w:rPr>
                <w:rStyle w:val="Sup"/>
              </w:rPr>
              <w:t>1</w:t>
            </w:r>
            <w:r w:rsidR="00CC5C05" w:rsidRPr="00BA14DD">
              <w:rPr>
                <w:rStyle w:val="Sup"/>
              </w:rPr>
              <w:t xml:space="preserve"> </w:t>
            </w:r>
            <w:r w:rsidRPr="00BA14DD">
              <w:t>Euroopan parlamentin ja neuvoston asetus (EU) N:o 1308/2013, annettu 17 päivänä joulukuuta 2013, maataloustuotteiden yhteisestä markkinajärjestelystä ja neuvoston asetusten (ETY) N:o 922/72, (ETY) N:o 234/79, (EY) N:o 1037/2001 ja (EY) N:o 1234/2007 kumoamisesta (EUVL L 347, 20.12.2013, s. 671).</w:t>
            </w:r>
          </w:p>
        </w:tc>
      </w:tr>
      <w:tr w:rsidR="00090E20" w:rsidRPr="00BA14DD" w:rsidTr="000E0DED">
        <w:trPr>
          <w:jc w:val="center"/>
        </w:trPr>
        <w:tc>
          <w:tcPr>
            <w:tcW w:w="4876" w:type="dxa"/>
          </w:tcPr>
          <w:p w:rsidR="00090E20" w:rsidRPr="00BA14DD" w:rsidRDefault="00090E20" w:rsidP="00CC5C05">
            <w:pPr>
              <w:pStyle w:val="Normal6"/>
              <w:widowControl/>
            </w:pPr>
            <w:r w:rsidRPr="00BA14DD">
              <w:rPr>
                <w:rStyle w:val="Sup"/>
              </w:rPr>
              <w:t>2</w:t>
            </w:r>
            <w:r w:rsidR="00CC5C05" w:rsidRPr="00BA14DD">
              <w:rPr>
                <w:rStyle w:val="Sup"/>
              </w:rPr>
              <w:t xml:space="preserve"> </w:t>
            </w:r>
            <w:r w:rsidRPr="00BA14DD">
              <w:t>Neuvoston asetus (EY) N:o 32/2000, annettu 17 päivänä joulukuuta 1999, GATTiin sidottujen ja tiettyjen muiden yhteisön tariffikiintiöiden avaamisesta ja hoidosta, mainittujen kiintiöiden muuttamista tai mukauttamista koskevista yksityiskohtaisista säännöistä sekä asetuksen (EY) N:o 1808/95 kumoamisesta (EYVL L 5, 8.1.2000, s. 1).</w:t>
            </w:r>
          </w:p>
        </w:tc>
        <w:tc>
          <w:tcPr>
            <w:tcW w:w="4876" w:type="dxa"/>
          </w:tcPr>
          <w:p w:rsidR="00090E20" w:rsidRPr="00BA14DD" w:rsidRDefault="00090E20" w:rsidP="00CC5C05">
            <w:pPr>
              <w:pStyle w:val="Normal6"/>
              <w:widowControl/>
            </w:pPr>
            <w:r w:rsidRPr="00BA14DD">
              <w:rPr>
                <w:rStyle w:val="Sup"/>
              </w:rPr>
              <w:t>2</w:t>
            </w:r>
            <w:r w:rsidR="00CC5C05" w:rsidRPr="00BA14DD">
              <w:rPr>
                <w:rStyle w:val="Sup"/>
              </w:rPr>
              <w:t xml:space="preserve"> </w:t>
            </w:r>
            <w:r w:rsidRPr="00BA14DD">
              <w:t>Neuvoston asetus (EY) N:o 32/2000, annettu 17 päivänä joulukuuta 1999, GATTiin sidottujen ja tiettyjen muiden yhteisön tariffikiintiöiden avaamisesta ja hoidosta, mainittujen kiintiöiden muuttamista tai mukauttamista koskevista yksityiskohtaisista säännöistä sekä asetuksen (EY) N:o 1808/95 kumoamisesta (EYVL L 5, 8.1.2000, s. 1).</w:t>
            </w:r>
          </w:p>
        </w:tc>
      </w:tr>
    </w:tbl>
    <w:p w:rsidR="00090E20" w:rsidRPr="00BA14DD" w:rsidRDefault="00090E20" w:rsidP="00090E20">
      <w:pPr>
        <w:pStyle w:val="JustificationTitle"/>
        <w:widowControl/>
      </w:pPr>
      <w:r w:rsidRPr="00BA14DD">
        <w:t>Perustelu</w:t>
      </w:r>
    </w:p>
    <w:p w:rsidR="00090E20" w:rsidRPr="00BA14DD" w:rsidRDefault="00090E20" w:rsidP="00090E20">
      <w:pPr>
        <w:pStyle w:val="Normal12Italic"/>
        <w:widowControl/>
      </w:pPr>
      <w:r w:rsidRPr="00BA14DD">
        <w:t>Tarkistuksessa viitataan GATTin maataloussopimuksen perusperiaatteisiin, jotta niitä sovelletaan myös tariffikiintiöiden tätä jaottelua koskevaan suunnitteluun ja täytäntöönpanoon.</w:t>
      </w:r>
    </w:p>
    <w:p w:rsidR="00090E20" w:rsidRPr="00BA14DD" w:rsidRDefault="00090E20" w:rsidP="00090E20">
      <w:pPr>
        <w:pStyle w:val="AMNumberTabs"/>
        <w:widowControl/>
      </w:pPr>
      <w:r w:rsidRPr="00BA14DD">
        <w:t>Tarkistus</w:t>
      </w:r>
      <w:r w:rsidR="00CC5C05" w:rsidRPr="00BA14DD">
        <w:t xml:space="preserve"> </w:t>
      </w:r>
      <w:r w:rsidRPr="00BA14DD">
        <w:t>6</w:t>
      </w:r>
    </w:p>
    <w:p w:rsidR="00090E20" w:rsidRPr="00BA14DD" w:rsidRDefault="00090E20" w:rsidP="00090E20">
      <w:pPr>
        <w:pStyle w:val="NormalBold12b"/>
        <w:widowControl/>
      </w:pPr>
      <w:r w:rsidRPr="00BA14DD">
        <w:t>Ehdotus asetukseksi</w:t>
      </w:r>
    </w:p>
    <w:p w:rsidR="00090E20" w:rsidRPr="00BA14DD" w:rsidRDefault="00090E20" w:rsidP="00090E20">
      <w:pPr>
        <w:pStyle w:val="NormalBold"/>
        <w:widowControl/>
      </w:pPr>
      <w:r w:rsidRPr="00BA14DD">
        <w:t>Johdanto-osan 9 kappale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0E20" w:rsidRPr="00BA14DD" w:rsidTr="000E0DED">
        <w:trPr>
          <w:trHeight w:hRule="exact" w:val="240"/>
          <w:jc w:val="center"/>
        </w:trPr>
        <w:tc>
          <w:tcPr>
            <w:tcW w:w="9752" w:type="dxa"/>
            <w:gridSpan w:val="2"/>
          </w:tcPr>
          <w:p w:rsidR="00090E20" w:rsidRPr="00BA14DD" w:rsidRDefault="00090E20" w:rsidP="000E0DED">
            <w:pPr>
              <w:widowControl/>
            </w:pPr>
          </w:p>
        </w:tc>
      </w:tr>
      <w:tr w:rsidR="00090E20" w:rsidRPr="00BA14DD" w:rsidTr="000E0DED">
        <w:trPr>
          <w:trHeight w:val="240"/>
          <w:jc w:val="center"/>
        </w:trPr>
        <w:tc>
          <w:tcPr>
            <w:tcW w:w="4876" w:type="dxa"/>
          </w:tcPr>
          <w:p w:rsidR="00090E20" w:rsidRPr="00BA14DD" w:rsidRDefault="00090E20" w:rsidP="000E0DED">
            <w:pPr>
              <w:pStyle w:val="ColumnHeading"/>
              <w:widowControl/>
            </w:pPr>
            <w:r w:rsidRPr="00BA14DD">
              <w:t>Komission teksti</w:t>
            </w:r>
          </w:p>
        </w:tc>
        <w:tc>
          <w:tcPr>
            <w:tcW w:w="4876" w:type="dxa"/>
          </w:tcPr>
          <w:p w:rsidR="00090E20" w:rsidRPr="00BA14DD" w:rsidRDefault="00090E20" w:rsidP="000E0DED">
            <w:pPr>
              <w:pStyle w:val="ColumnHeading"/>
              <w:widowControl/>
            </w:pPr>
            <w:r w:rsidRPr="00BA14DD">
              <w:t>Tarkistus</w:t>
            </w:r>
          </w:p>
        </w:tc>
      </w:tr>
      <w:tr w:rsidR="00090E20" w:rsidRPr="00BA14DD" w:rsidTr="000E0DED">
        <w:trPr>
          <w:jc w:val="center"/>
        </w:trPr>
        <w:tc>
          <w:tcPr>
            <w:tcW w:w="4876" w:type="dxa"/>
          </w:tcPr>
          <w:p w:rsidR="00090E20" w:rsidRPr="00BA14DD" w:rsidRDefault="00090E20" w:rsidP="000E0DED">
            <w:pPr>
              <w:pStyle w:val="Normal6"/>
              <w:widowControl/>
            </w:pPr>
            <w:r w:rsidRPr="00BA14DD">
              <w:t>(9)</w:t>
            </w:r>
            <w:r w:rsidRPr="00BA14DD">
              <w:tab/>
              <w:t xml:space="preserve">Kun otetaan huomioon, että neuvotteluja niiden WTO-jäsenten kanssa, joita asia koskee, käydään samaan aikaan tämän asetuksen hyväksymistä koskevan tavallisen lainsäätämismenettelyn kanssa, komissiolle olisi siirrettävä valta hyväksyä </w:t>
            </w:r>
            <w:r w:rsidRPr="00BA14DD">
              <w:lastRenderedPageBreak/>
              <w:t xml:space="preserve">Euroopan unionin toiminnasta tehdyn 290 artiklan mukaisesti säädösvallan siirron nojalla annettavia delegoituja säädöksiä, joilla muutetaan tämän asetuksen liitettä ja asetuksen (EY) N:o 32/2000 liitettä I niissä lueteltujen jaettujen tariffikiintiöiden määrän osalta, </w:t>
            </w:r>
            <w:r w:rsidRPr="00BA14DD">
              <w:rPr>
                <w:b/>
                <w:i/>
              </w:rPr>
              <w:t>jotta</w:t>
            </w:r>
            <w:r w:rsidRPr="00BA14DD">
              <w:t xml:space="preserve"> voidaan ottaa huomioon mahdollisesti tehdyt sopimukset tai komission näiden neuvottelujen yhteydessä saamat tiedot, jotka osoittavat, että tietyt tekijät, jotka eivät olleet aiemmin tiedossa, edellyttävät unionin ja Yhdistyneen kuningaskunnan välisen tariffikiintiöjaon mukauttamista. </w:t>
            </w:r>
            <w:r w:rsidRPr="00BA14DD">
              <w:rPr>
                <w:b/>
                <w:i/>
              </w:rPr>
              <w:t>Samasta mahdollisuudesta olisi säädettävä myös tapauksissa, joissa tällaisia tietoja tulee esiin neuvottelujen ulkopuolella.</w:t>
            </w:r>
          </w:p>
        </w:tc>
        <w:tc>
          <w:tcPr>
            <w:tcW w:w="4876" w:type="dxa"/>
          </w:tcPr>
          <w:p w:rsidR="00090E20" w:rsidRPr="00BA14DD" w:rsidRDefault="00090E20" w:rsidP="000E0DED">
            <w:pPr>
              <w:pStyle w:val="Normal6"/>
              <w:widowControl/>
            </w:pPr>
            <w:r w:rsidRPr="00BA14DD">
              <w:lastRenderedPageBreak/>
              <w:t>(9)</w:t>
            </w:r>
            <w:r w:rsidRPr="00BA14DD">
              <w:tab/>
              <w:t xml:space="preserve">Kun otetaan huomioon, että neuvotteluja niiden WTO-jäsenten kanssa, joita asia koskee, käydään samaan aikaan tämän asetuksen hyväksymistä koskevan tavallisen lainsäätämismenettelyn kanssa, komissiolle olisi siirrettävä valta hyväksyä </w:t>
            </w:r>
            <w:r w:rsidRPr="00BA14DD">
              <w:lastRenderedPageBreak/>
              <w:t>Euroopan unionin toiminnasta tehdyn 290 artiklan mukaisesti säädösvallan siirron nojalla annettavia delegoituja säädöksiä, joilla muutetaan tämän asetuksen liitettä ja asetuksen (EY) N:o 32/2000 liitettä I niissä lueteltujen jaettujen tariffikiintiöiden määrän osalta</w:t>
            </w:r>
            <w:r w:rsidRPr="00BA14DD">
              <w:rPr>
                <w:b/>
                <w:i/>
              </w:rPr>
              <w:t>.</w:t>
            </w:r>
            <w:r w:rsidRPr="00BA14DD">
              <w:t xml:space="preserve"> </w:t>
            </w:r>
            <w:r w:rsidRPr="00BA14DD">
              <w:rPr>
                <w:b/>
                <w:i/>
              </w:rPr>
              <w:t>Näitä liitteitä olisi muutettava vain siksi</w:t>
            </w:r>
            <w:r w:rsidRPr="00BA14DD">
              <w:t xml:space="preserve">, </w:t>
            </w:r>
            <w:r w:rsidRPr="00BA14DD">
              <w:rPr>
                <w:b/>
                <w:i/>
              </w:rPr>
              <w:t>että</w:t>
            </w:r>
            <w:r w:rsidRPr="00BA14DD">
              <w:t xml:space="preserve"> voidaan ottaa huomioon mahdollisesti tehdyt</w:t>
            </w:r>
            <w:r w:rsidRPr="00BA14DD">
              <w:rPr>
                <w:b/>
                <w:i/>
              </w:rPr>
              <w:t xml:space="preserve"> kansainväliset</w:t>
            </w:r>
            <w:r w:rsidRPr="00BA14DD">
              <w:t xml:space="preserve"> sopimukset tai komission </w:t>
            </w:r>
            <w:r w:rsidRPr="00BA14DD">
              <w:rPr>
                <w:b/>
                <w:i/>
              </w:rPr>
              <w:t xml:space="preserve">joko </w:t>
            </w:r>
            <w:r w:rsidRPr="00BA14DD">
              <w:t>näiden neuvottelujen yhteydessä</w:t>
            </w:r>
            <w:r w:rsidRPr="00BA14DD">
              <w:rPr>
                <w:b/>
                <w:i/>
              </w:rPr>
              <w:t xml:space="preserve"> tai niiden ulkopuolella</w:t>
            </w:r>
            <w:r w:rsidRPr="00BA14DD">
              <w:t xml:space="preserve"> saamat tiedot, jotka osoittavat, että tietyt tekijät, jotka eivät olleet aiemmin tiedossa, edellyttävät unionin ja Yhdistyneen kuningaskunnan välisen tariffikiintiöjaon mukauttamista.</w:t>
            </w:r>
          </w:p>
        </w:tc>
      </w:tr>
    </w:tbl>
    <w:p w:rsidR="00090E20" w:rsidRPr="00BA14DD" w:rsidRDefault="00090E20" w:rsidP="00090E20">
      <w:pPr>
        <w:pStyle w:val="AMNumberTabs"/>
        <w:widowControl/>
      </w:pPr>
      <w:r w:rsidRPr="00BA14DD">
        <w:lastRenderedPageBreak/>
        <w:t>Tarkistus</w:t>
      </w:r>
      <w:r w:rsidR="00CC5C05" w:rsidRPr="00BA14DD">
        <w:t xml:space="preserve"> </w:t>
      </w:r>
      <w:r w:rsidRPr="00BA14DD">
        <w:t>7</w:t>
      </w:r>
    </w:p>
    <w:p w:rsidR="00090E20" w:rsidRPr="00BA14DD" w:rsidRDefault="00090E20" w:rsidP="00090E20">
      <w:pPr>
        <w:pStyle w:val="NormalBold12b"/>
        <w:widowControl/>
      </w:pPr>
      <w:r w:rsidRPr="00BA14DD">
        <w:t>Ehdotus asetukseksi</w:t>
      </w:r>
    </w:p>
    <w:p w:rsidR="00090E20" w:rsidRPr="00BA14DD" w:rsidRDefault="00090E20" w:rsidP="00090E20">
      <w:pPr>
        <w:pStyle w:val="NormalBold"/>
        <w:widowControl/>
      </w:pPr>
      <w:r w:rsidRPr="00BA14DD">
        <w:t>Johdanto-osan 9 a kappale (uusi)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0E20" w:rsidRPr="00BA14DD" w:rsidTr="000E0DED">
        <w:trPr>
          <w:jc w:val="center"/>
        </w:trPr>
        <w:tc>
          <w:tcPr>
            <w:tcW w:w="9752" w:type="dxa"/>
            <w:gridSpan w:val="2"/>
          </w:tcPr>
          <w:p w:rsidR="00090E20" w:rsidRPr="00BA14DD" w:rsidRDefault="00090E20" w:rsidP="000E0DED">
            <w:pPr>
              <w:keepNext/>
              <w:widowControl/>
            </w:pPr>
          </w:p>
        </w:tc>
      </w:tr>
      <w:tr w:rsidR="00090E20" w:rsidRPr="00BA14DD" w:rsidTr="000E0DED">
        <w:trPr>
          <w:jc w:val="center"/>
        </w:trPr>
        <w:tc>
          <w:tcPr>
            <w:tcW w:w="4876" w:type="dxa"/>
            <w:hideMark/>
          </w:tcPr>
          <w:p w:rsidR="00090E20" w:rsidRPr="00BA14DD" w:rsidRDefault="00090E20" w:rsidP="000E0DED">
            <w:pPr>
              <w:pStyle w:val="ColumnHeading"/>
              <w:keepNext/>
              <w:widowControl/>
            </w:pPr>
            <w:r w:rsidRPr="00BA14DD">
              <w:t>Komission teksti</w:t>
            </w:r>
          </w:p>
        </w:tc>
        <w:tc>
          <w:tcPr>
            <w:tcW w:w="4876" w:type="dxa"/>
            <w:hideMark/>
          </w:tcPr>
          <w:p w:rsidR="00090E20" w:rsidRPr="00BA14DD" w:rsidRDefault="00090E20" w:rsidP="000E0DED">
            <w:pPr>
              <w:pStyle w:val="ColumnHeading"/>
              <w:keepNext/>
              <w:widowControl/>
            </w:pPr>
            <w:r w:rsidRPr="00BA14DD">
              <w:t>Tarkistus</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(9 a)</w:t>
            </w:r>
            <w:r w:rsidRPr="00BA14DD">
              <w:rPr>
                <w:b/>
                <w:i/>
              </w:rPr>
              <w:tab/>
              <w:t>Neuvoston asetuksella (EY) N:o 32/2000 siirretään komissiolle valta panna täytäntöön joitakin mainitun asetuksen säännöksiä. Tätä valtaa olisi Lissabonin sopimuksen voimaantulon vuoksi yhdenmukaistettava Euroopan unionin toiminnasta tehdyn sopimuksen 290 ja 291 artiklan kanssa. Tällainen yhdenmukaistaminen olisi tehtävä tarpeen mukaan myöntämällä komissiolle siirrettyä toimivaltaa ja soveltamalla tiettyjä menettelyjä, joista säädetään Euroopan parlamentin ja neuvoston asetuksessa (EU) N:o 182/2011. Tämän vuoksi komissiolle mainitulla asetuksella siirretty täytäntöönpanovalta olisi korvattava vallalla antaa delegoituja säädöksiä ja täytäntöönpanosäädöksiä.</w:t>
            </w:r>
          </w:p>
        </w:tc>
      </w:tr>
    </w:tbl>
    <w:p w:rsidR="00090E20" w:rsidRPr="00BA14DD" w:rsidRDefault="00090E20" w:rsidP="00090E20">
      <w:pPr>
        <w:pStyle w:val="AMNumberTabs"/>
        <w:widowControl/>
      </w:pPr>
      <w:r w:rsidRPr="00BA14DD">
        <w:t>Tarkistus</w:t>
      </w:r>
      <w:r w:rsidR="00CC5C05" w:rsidRPr="00BA14DD">
        <w:t xml:space="preserve"> </w:t>
      </w:r>
      <w:r w:rsidRPr="00BA14DD">
        <w:t>8</w:t>
      </w:r>
    </w:p>
    <w:p w:rsidR="00090E20" w:rsidRPr="00BA14DD" w:rsidRDefault="00090E20" w:rsidP="00090E20">
      <w:pPr>
        <w:pStyle w:val="NormalBold12b"/>
        <w:widowControl/>
      </w:pPr>
      <w:r w:rsidRPr="00BA14DD">
        <w:t>Ehdotus asetukseksi</w:t>
      </w:r>
    </w:p>
    <w:p w:rsidR="00090E20" w:rsidRPr="00BA14DD" w:rsidRDefault="00090E20" w:rsidP="00090E20">
      <w:pPr>
        <w:pStyle w:val="NormalBold"/>
        <w:widowControl/>
      </w:pPr>
      <w:r w:rsidRPr="00BA14DD">
        <w:t>1 a artikla (uusi)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0E20" w:rsidRPr="00BA14DD" w:rsidTr="000E0DED">
        <w:trPr>
          <w:jc w:val="center"/>
        </w:trPr>
        <w:tc>
          <w:tcPr>
            <w:tcW w:w="9752" w:type="dxa"/>
            <w:gridSpan w:val="2"/>
          </w:tcPr>
          <w:p w:rsidR="00090E20" w:rsidRPr="00BA14DD" w:rsidRDefault="00090E20" w:rsidP="000E0DED">
            <w:pPr>
              <w:keepNext/>
              <w:widowControl/>
            </w:pPr>
          </w:p>
        </w:tc>
      </w:tr>
      <w:tr w:rsidR="00090E20" w:rsidRPr="00BA14DD" w:rsidTr="000E0DED">
        <w:trPr>
          <w:jc w:val="center"/>
        </w:trPr>
        <w:tc>
          <w:tcPr>
            <w:tcW w:w="4876" w:type="dxa"/>
            <w:hideMark/>
          </w:tcPr>
          <w:p w:rsidR="00090E20" w:rsidRPr="00BA14DD" w:rsidRDefault="00090E20" w:rsidP="000E0DED">
            <w:pPr>
              <w:pStyle w:val="ColumnHeading"/>
              <w:keepNext/>
              <w:widowControl/>
            </w:pPr>
            <w:r w:rsidRPr="00BA14DD">
              <w:t>Komission teksti</w:t>
            </w:r>
          </w:p>
        </w:tc>
        <w:tc>
          <w:tcPr>
            <w:tcW w:w="4876" w:type="dxa"/>
            <w:hideMark/>
          </w:tcPr>
          <w:p w:rsidR="00090E20" w:rsidRPr="00BA14DD" w:rsidRDefault="00090E20" w:rsidP="000E0DED">
            <w:pPr>
              <w:pStyle w:val="ColumnHeading"/>
              <w:keepNext/>
              <w:widowControl/>
            </w:pPr>
            <w:r w:rsidRPr="00BA14DD">
              <w:t>Tarkistus</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CC5C05" w:rsidP="00CC5C05">
            <w:pPr>
              <w:pStyle w:val="Normal6"/>
              <w:widowControl/>
              <w:jc w:val="center"/>
              <w:rPr>
                <w:szCs w:val="24"/>
              </w:rPr>
            </w:pPr>
            <w:r w:rsidRPr="00BA14DD">
              <w:rPr>
                <w:b/>
                <w:i/>
              </w:rPr>
              <w:t>1 a artikla</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Edellä olevan 1 artiklan mukainen unionin osuus tullikiintiöistä määritellään seuraavaa menettelyä noudattaen:</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CC5C05">
            <w:pPr>
              <w:pStyle w:val="Normal6"/>
              <w:widowControl/>
              <w:rPr>
                <w:szCs w:val="24"/>
              </w:rPr>
            </w:pPr>
            <w:r w:rsidRPr="00BA14DD">
              <w:rPr>
                <w:b/>
                <w:i/>
              </w:rPr>
              <w:t>(1)</w:t>
            </w:r>
            <w:r w:rsidRPr="00BA14DD">
              <w:rPr>
                <w:b/>
                <w:i/>
              </w:rPr>
              <w:tab/>
              <w:t>unionin käyttöosuus tuonnista prosentteina kunkin yksittäisen tariffikiintiön osalta vahvistetaan viimeisimmän kolmen vuoden viitekauden perusteella;</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CC5C05">
            <w:pPr>
              <w:pStyle w:val="Normal6"/>
              <w:widowControl/>
              <w:rPr>
                <w:szCs w:val="24"/>
              </w:rPr>
            </w:pPr>
            <w:r w:rsidRPr="00BA14DD">
              <w:rPr>
                <w:b/>
                <w:i/>
              </w:rPr>
              <w:t>(2)</w:t>
            </w:r>
            <w:r w:rsidRPr="00BA14DD">
              <w:rPr>
                <w:b/>
                <w:i/>
              </w:rPr>
              <w:tab/>
              <w:t>unionin tuonnin käyttöosuutta prosentteina on sovellettava koko luetteloon sisältyvään tariffikiintiömäärään, jotta saadaan sen osuus tietystä tariffikiintiöstä;</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CC5C05">
            <w:pPr>
              <w:pStyle w:val="Normal6"/>
              <w:widowControl/>
              <w:rPr>
                <w:szCs w:val="24"/>
              </w:rPr>
            </w:pPr>
            <w:r w:rsidRPr="00BA14DD">
              <w:rPr>
                <w:b/>
                <w:i/>
              </w:rPr>
              <w:t>(3)</w:t>
            </w:r>
            <w:r w:rsidRPr="00BA14DD">
              <w:rPr>
                <w:b/>
                <w:i/>
              </w:rPr>
              <w:tab/>
              <w:t>niiden yksittäisten tullikiintiöiden osalta, joissa ei todettu kaupankäyntiä 1 kohdan mukaisella viitekaudella, unionin osuus on sen sijaan vahvistettava 2 kohdan mukaista menettelyä noudattaen käyttäen perusteena unionin tuonnin käyttöosuutta prosentteina toisesta sellaisesta tariffikiintiöstä, jossa tuotteen määritelmä on täsmälleen sama, tai sen osuutta vastaavista tullinimikkeistä tariffikiintiöiden ulkopuolella.</w:t>
            </w:r>
          </w:p>
        </w:tc>
      </w:tr>
    </w:tbl>
    <w:p w:rsidR="00090E20" w:rsidRPr="00BA14DD" w:rsidRDefault="00090E20" w:rsidP="00090E20">
      <w:pPr>
        <w:pStyle w:val="AMNumberTabs"/>
        <w:widowControl/>
      </w:pPr>
      <w:r w:rsidRPr="00BA14DD">
        <w:t>Tarkistus</w:t>
      </w:r>
      <w:r w:rsidR="00CC5C05" w:rsidRPr="00BA14DD">
        <w:t xml:space="preserve"> </w:t>
      </w:r>
      <w:r w:rsidRPr="00BA14DD">
        <w:t>9</w:t>
      </w:r>
    </w:p>
    <w:p w:rsidR="00090E20" w:rsidRPr="00BA14DD" w:rsidRDefault="00090E20" w:rsidP="00090E20">
      <w:pPr>
        <w:pStyle w:val="NormalBold12b"/>
        <w:widowControl/>
      </w:pPr>
      <w:r w:rsidRPr="00BA14DD">
        <w:t>Ehdotus asetukseksi</w:t>
      </w:r>
    </w:p>
    <w:p w:rsidR="00090E20" w:rsidRPr="00BA14DD" w:rsidRDefault="00090E20" w:rsidP="00090E20">
      <w:pPr>
        <w:pStyle w:val="NormalBold"/>
        <w:widowControl/>
      </w:pPr>
      <w:r w:rsidRPr="00BA14DD">
        <w:t>2 artikla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0E20" w:rsidRPr="00BA14DD" w:rsidTr="000E0DED">
        <w:trPr>
          <w:jc w:val="center"/>
        </w:trPr>
        <w:tc>
          <w:tcPr>
            <w:tcW w:w="9752" w:type="dxa"/>
            <w:gridSpan w:val="2"/>
          </w:tcPr>
          <w:p w:rsidR="00090E20" w:rsidRPr="00BA14DD" w:rsidRDefault="00090E20" w:rsidP="000E0DED">
            <w:pPr>
              <w:keepNext/>
              <w:widowControl/>
            </w:pPr>
          </w:p>
        </w:tc>
      </w:tr>
      <w:tr w:rsidR="00090E20" w:rsidRPr="00BA14DD" w:rsidTr="000E0DED">
        <w:trPr>
          <w:jc w:val="center"/>
        </w:trPr>
        <w:tc>
          <w:tcPr>
            <w:tcW w:w="4876" w:type="dxa"/>
            <w:hideMark/>
          </w:tcPr>
          <w:p w:rsidR="00090E20" w:rsidRPr="00BA14DD" w:rsidRDefault="00090E20" w:rsidP="000E0DED">
            <w:pPr>
              <w:pStyle w:val="ColumnHeading"/>
              <w:keepNext/>
              <w:widowControl/>
            </w:pPr>
            <w:r w:rsidRPr="00BA14DD">
              <w:t>Komission teksti</w:t>
            </w:r>
          </w:p>
        </w:tc>
        <w:tc>
          <w:tcPr>
            <w:tcW w:w="4876" w:type="dxa"/>
            <w:hideMark/>
          </w:tcPr>
          <w:p w:rsidR="00090E20" w:rsidRPr="00BA14DD" w:rsidRDefault="00090E20" w:rsidP="000E0DED">
            <w:pPr>
              <w:pStyle w:val="ColumnHeading"/>
              <w:keepNext/>
              <w:widowControl/>
            </w:pPr>
            <w:r w:rsidRPr="00BA14DD">
              <w:t>Tarkistus</w:t>
            </w:r>
          </w:p>
        </w:tc>
      </w:tr>
      <w:tr w:rsidR="00090E20" w:rsidRPr="00BA14DD" w:rsidTr="000E0DED">
        <w:trPr>
          <w:jc w:val="center"/>
        </w:trPr>
        <w:tc>
          <w:tcPr>
            <w:tcW w:w="4876" w:type="dxa"/>
            <w:hideMark/>
          </w:tcPr>
          <w:p w:rsidR="00090E20" w:rsidRPr="00BA14DD" w:rsidRDefault="00090E20" w:rsidP="000E0DED">
            <w:pPr>
              <w:pStyle w:val="Normal6"/>
              <w:widowControl/>
              <w:jc w:val="center"/>
            </w:pPr>
            <w:r w:rsidRPr="00BA14DD">
              <w:rPr>
                <w:b/>
                <w:i/>
              </w:rPr>
              <w:t>2 artikla</w:t>
            </w:r>
          </w:p>
        </w:tc>
        <w:tc>
          <w:tcPr>
            <w:tcW w:w="4876" w:type="dxa"/>
            <w:hideMark/>
          </w:tcPr>
          <w:p w:rsidR="00090E20" w:rsidRPr="00BA14DD" w:rsidRDefault="00090E20" w:rsidP="000E0DED">
            <w:pPr>
              <w:pStyle w:val="Normal6"/>
              <w:widowControl/>
              <w:rPr>
                <w:szCs w:val="24"/>
              </w:rPr>
            </w:pPr>
            <w:r w:rsidRPr="00BA14DD">
              <w:rPr>
                <w:b/>
                <w:i/>
              </w:rPr>
              <w:t>Poistetaan.</w:t>
            </w:r>
          </w:p>
        </w:tc>
      </w:tr>
      <w:tr w:rsidR="00090E20" w:rsidRPr="00BA14DD" w:rsidTr="000E0DED">
        <w:trPr>
          <w:jc w:val="center"/>
        </w:trPr>
        <w:tc>
          <w:tcPr>
            <w:tcW w:w="4876" w:type="dxa"/>
            <w:hideMark/>
          </w:tcPr>
          <w:p w:rsidR="00090E20" w:rsidRPr="00BA14DD" w:rsidRDefault="00090E20" w:rsidP="000E0DED">
            <w:pPr>
              <w:pStyle w:val="Normal6"/>
              <w:widowControl/>
            </w:pPr>
            <w:r w:rsidRPr="00BA14DD">
              <w:rPr>
                <w:b/>
                <w:i/>
              </w:rPr>
              <w:t>Korvataan neuvoston asetuksen (EY) N:o 32/2000 liite I tämän asetuksen liitteessä olevalla B osalla.</w:t>
            </w:r>
          </w:p>
        </w:tc>
        <w:tc>
          <w:tcPr>
            <w:tcW w:w="4876" w:type="dxa"/>
          </w:tcPr>
          <w:p w:rsidR="00090E20" w:rsidRPr="00BA14DD" w:rsidRDefault="00090E20" w:rsidP="000E0DED">
            <w:pPr>
              <w:pStyle w:val="Normal6"/>
              <w:widowControl/>
              <w:rPr>
                <w:szCs w:val="24"/>
              </w:rPr>
            </w:pPr>
          </w:p>
        </w:tc>
      </w:tr>
    </w:tbl>
    <w:p w:rsidR="00090E20" w:rsidRPr="00BA14DD" w:rsidRDefault="00090E20" w:rsidP="00090E20">
      <w:pPr>
        <w:pStyle w:val="AMNumberTabs"/>
        <w:widowControl/>
      </w:pPr>
      <w:r w:rsidRPr="00BA14DD">
        <w:t>Tarkistus</w:t>
      </w:r>
      <w:r w:rsidR="00CC5C05" w:rsidRPr="00BA14DD">
        <w:t xml:space="preserve"> </w:t>
      </w:r>
      <w:r w:rsidRPr="00BA14DD">
        <w:t>10</w:t>
      </w:r>
    </w:p>
    <w:p w:rsidR="00090E20" w:rsidRPr="00BA14DD" w:rsidRDefault="00090E20" w:rsidP="00090E20">
      <w:pPr>
        <w:pStyle w:val="NormalBold12b"/>
        <w:widowControl/>
      </w:pPr>
      <w:r w:rsidRPr="00BA14DD">
        <w:t>Ehdotus asetukseksi</w:t>
      </w:r>
    </w:p>
    <w:p w:rsidR="00090E20" w:rsidRPr="00BA14DD" w:rsidRDefault="00090E20" w:rsidP="00090E20">
      <w:pPr>
        <w:pStyle w:val="NormalBold"/>
        <w:widowControl/>
      </w:pPr>
      <w:r w:rsidRPr="00BA14DD">
        <w:t>3 artikla – 1 kohta – johdantokappale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0E20" w:rsidRPr="00BA14DD" w:rsidTr="000E0DED">
        <w:trPr>
          <w:jc w:val="center"/>
        </w:trPr>
        <w:tc>
          <w:tcPr>
            <w:tcW w:w="9752" w:type="dxa"/>
            <w:gridSpan w:val="2"/>
          </w:tcPr>
          <w:p w:rsidR="00090E20" w:rsidRPr="00BA14DD" w:rsidRDefault="00090E20" w:rsidP="000E0DED">
            <w:pPr>
              <w:keepNext/>
              <w:widowControl/>
            </w:pPr>
          </w:p>
        </w:tc>
      </w:tr>
      <w:tr w:rsidR="00090E20" w:rsidRPr="00BA14DD" w:rsidTr="000E0DED">
        <w:trPr>
          <w:jc w:val="center"/>
        </w:trPr>
        <w:tc>
          <w:tcPr>
            <w:tcW w:w="4876" w:type="dxa"/>
            <w:hideMark/>
          </w:tcPr>
          <w:p w:rsidR="00090E20" w:rsidRPr="00BA14DD" w:rsidRDefault="00090E20" w:rsidP="000E0DED">
            <w:pPr>
              <w:pStyle w:val="ColumnHeading"/>
              <w:keepNext/>
              <w:widowControl/>
            </w:pPr>
            <w:r w:rsidRPr="00BA14DD">
              <w:t>Komission teksti</w:t>
            </w:r>
          </w:p>
        </w:tc>
        <w:tc>
          <w:tcPr>
            <w:tcW w:w="4876" w:type="dxa"/>
            <w:hideMark/>
          </w:tcPr>
          <w:p w:rsidR="00090E20" w:rsidRPr="00BA14DD" w:rsidRDefault="00090E20" w:rsidP="000E0DED">
            <w:pPr>
              <w:pStyle w:val="ColumnHeading"/>
              <w:keepNext/>
              <w:widowControl/>
            </w:pPr>
            <w:r w:rsidRPr="00BA14DD">
              <w:t>Tarkistus</w:t>
            </w:r>
          </w:p>
        </w:tc>
      </w:tr>
      <w:tr w:rsidR="00090E20" w:rsidRPr="00BA14DD" w:rsidTr="000E0DED">
        <w:trPr>
          <w:jc w:val="center"/>
        </w:trPr>
        <w:tc>
          <w:tcPr>
            <w:tcW w:w="4876" w:type="dxa"/>
            <w:hideMark/>
          </w:tcPr>
          <w:p w:rsidR="00090E20" w:rsidRPr="00BA14DD" w:rsidRDefault="00090E20" w:rsidP="000E0DED">
            <w:pPr>
              <w:pStyle w:val="Normal6"/>
              <w:widowControl/>
            </w:pPr>
            <w:r w:rsidRPr="00BA14DD">
              <w:t xml:space="preserve">Siirretään komissiolle valta antaa delegoituja säädöksiä 4 artiklan mukaisesti tämän asetuksen </w:t>
            </w:r>
            <w:r w:rsidRPr="00BA14DD">
              <w:rPr>
                <w:b/>
                <w:i/>
              </w:rPr>
              <w:t>liitteen</w:t>
            </w:r>
            <w:r w:rsidRPr="00BA14DD">
              <w:t xml:space="preserve"> ja </w:t>
            </w:r>
            <w:r w:rsidRPr="00BA14DD">
              <w:rPr>
                <w:b/>
                <w:i/>
              </w:rPr>
              <w:t>neuvoston asetuksen (EY) N:o 32/2000 liitteen I muuttamiseksi</w:t>
            </w:r>
            <w:r w:rsidRPr="00BA14DD">
              <w:t xml:space="preserve">, </w:t>
            </w:r>
            <w:r w:rsidRPr="00BA14DD">
              <w:rPr>
                <w:b/>
                <w:i/>
              </w:rPr>
              <w:t>jotta voidaan ottaa huomioon seuraavat</w:t>
            </w:r>
            <w:r w:rsidRPr="00BA14DD">
              <w:t>:</w:t>
            </w:r>
          </w:p>
        </w:tc>
        <w:tc>
          <w:tcPr>
            <w:tcW w:w="4876" w:type="dxa"/>
            <w:hideMark/>
          </w:tcPr>
          <w:p w:rsidR="00090E20" w:rsidRPr="00BA14DD" w:rsidRDefault="00090E20" w:rsidP="000E0DED">
            <w:pPr>
              <w:pStyle w:val="Normal6"/>
              <w:widowControl/>
              <w:rPr>
                <w:szCs w:val="24"/>
              </w:rPr>
            </w:pPr>
            <w:r w:rsidRPr="00BA14DD">
              <w:t xml:space="preserve">Siirretään komissiolle valta antaa delegoituja säädöksiä 4 artiklan mukaisesti tämän asetuksen </w:t>
            </w:r>
            <w:r w:rsidRPr="00BA14DD">
              <w:rPr>
                <w:b/>
                <w:i/>
              </w:rPr>
              <w:t>liitteessä olevan A osan muuttamiseksi, jotta voidaan ottaa huomioon seuraavat seikat</w:t>
            </w:r>
            <w:r w:rsidRPr="00BA14DD">
              <w:t xml:space="preserve"> ja </w:t>
            </w:r>
            <w:r w:rsidRPr="00BA14DD">
              <w:rPr>
                <w:b/>
                <w:i/>
              </w:rPr>
              <w:t>varmistaa johdonmukaisuus yhdessä Yhdistyneen kuningaskunnan kanssa sovitun yhteisen menetelmän kanssa ja erityisesti varmistaa</w:t>
            </w:r>
            <w:r w:rsidRPr="00BA14DD">
              <w:t xml:space="preserve">, </w:t>
            </w:r>
            <w:r w:rsidRPr="00BA14DD">
              <w:rPr>
                <w:b/>
                <w:i/>
              </w:rPr>
              <w:t>että pääsy Yhdistyneen kuningaskunnan eron jälkeisen unionin markkinoille ei ylitä vastaavaa osuutta kauppavirroista viitekaudella</w:t>
            </w:r>
            <w:r w:rsidRPr="00BA14DD">
              <w:t>:</w:t>
            </w:r>
          </w:p>
        </w:tc>
      </w:tr>
    </w:tbl>
    <w:p w:rsidR="00090E20" w:rsidRPr="00BA14DD" w:rsidRDefault="00090E20" w:rsidP="00090E20">
      <w:pPr>
        <w:pStyle w:val="AMNumberTabs"/>
        <w:widowControl/>
      </w:pPr>
      <w:r w:rsidRPr="00BA14DD">
        <w:t>Tarkistus</w:t>
      </w:r>
      <w:r w:rsidR="00CC5C05" w:rsidRPr="00BA14DD">
        <w:t xml:space="preserve"> </w:t>
      </w:r>
      <w:r w:rsidRPr="00BA14DD">
        <w:t>11</w:t>
      </w:r>
    </w:p>
    <w:p w:rsidR="00090E20" w:rsidRPr="00BA14DD" w:rsidRDefault="00090E20" w:rsidP="00090E20">
      <w:pPr>
        <w:pStyle w:val="NormalBold12b"/>
        <w:widowControl/>
      </w:pPr>
      <w:r w:rsidRPr="00BA14DD">
        <w:t>Ehdotus asetukseksi</w:t>
      </w:r>
    </w:p>
    <w:p w:rsidR="00090E20" w:rsidRPr="00BA14DD" w:rsidRDefault="00090E20" w:rsidP="00090E20">
      <w:pPr>
        <w:pStyle w:val="NormalBold"/>
        <w:widowControl/>
      </w:pPr>
      <w:r w:rsidRPr="00BA14DD">
        <w:t>3 artikla – 1 kohta – b alakohta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0E20" w:rsidRPr="00BA14DD" w:rsidTr="000E0DED">
        <w:trPr>
          <w:jc w:val="center"/>
        </w:trPr>
        <w:tc>
          <w:tcPr>
            <w:tcW w:w="9752" w:type="dxa"/>
            <w:gridSpan w:val="2"/>
          </w:tcPr>
          <w:p w:rsidR="00090E20" w:rsidRPr="00BA14DD" w:rsidRDefault="00090E20" w:rsidP="000E0DED">
            <w:pPr>
              <w:keepNext/>
              <w:widowControl/>
            </w:pPr>
          </w:p>
        </w:tc>
      </w:tr>
      <w:tr w:rsidR="00090E20" w:rsidRPr="00BA14DD" w:rsidTr="000E0DED">
        <w:trPr>
          <w:jc w:val="center"/>
        </w:trPr>
        <w:tc>
          <w:tcPr>
            <w:tcW w:w="4876" w:type="dxa"/>
            <w:hideMark/>
          </w:tcPr>
          <w:p w:rsidR="00090E20" w:rsidRPr="00BA14DD" w:rsidRDefault="00090E20" w:rsidP="000E0DED">
            <w:pPr>
              <w:pStyle w:val="ColumnHeading"/>
              <w:keepNext/>
              <w:widowControl/>
            </w:pPr>
            <w:r w:rsidRPr="00BA14DD">
              <w:t>Komission teksti</w:t>
            </w:r>
          </w:p>
        </w:tc>
        <w:tc>
          <w:tcPr>
            <w:tcW w:w="4876" w:type="dxa"/>
            <w:hideMark/>
          </w:tcPr>
          <w:p w:rsidR="00090E20" w:rsidRPr="00BA14DD" w:rsidRDefault="00090E20" w:rsidP="000E0DED">
            <w:pPr>
              <w:pStyle w:val="ColumnHeading"/>
              <w:keepNext/>
              <w:widowControl/>
            </w:pPr>
            <w:r w:rsidRPr="00BA14DD">
              <w:t>Tarkistus</w:t>
            </w:r>
          </w:p>
        </w:tc>
      </w:tr>
      <w:tr w:rsidR="00090E20" w:rsidRPr="00BA14DD" w:rsidTr="000E0DED">
        <w:trPr>
          <w:jc w:val="center"/>
        </w:trPr>
        <w:tc>
          <w:tcPr>
            <w:tcW w:w="4876" w:type="dxa"/>
            <w:hideMark/>
          </w:tcPr>
          <w:p w:rsidR="00090E20" w:rsidRPr="00BA14DD" w:rsidRDefault="00090E20" w:rsidP="000E0DED">
            <w:pPr>
              <w:pStyle w:val="Normal6"/>
              <w:widowControl/>
            </w:pPr>
            <w:r w:rsidRPr="00BA14DD">
              <w:t>(b)</w:t>
            </w:r>
            <w:r w:rsidRPr="00BA14DD">
              <w:tab/>
              <w:t xml:space="preserve">merkitykselliset tiedot, jotka se saattaa saada vuonna 1994 tehdyn tullitariffeja ja kauppaa koskevan yleissopimuksen XXVIII artiklan nojalla käytyjen neuvottelujen yhteydessä tai </w:t>
            </w:r>
            <w:r w:rsidRPr="00BA14DD">
              <w:rPr>
                <w:b/>
                <w:i/>
              </w:rPr>
              <w:t>muulla tavalla</w:t>
            </w:r>
            <w:r w:rsidRPr="00BA14DD">
              <w:t>.</w:t>
            </w:r>
          </w:p>
        </w:tc>
        <w:tc>
          <w:tcPr>
            <w:tcW w:w="4876" w:type="dxa"/>
            <w:hideMark/>
          </w:tcPr>
          <w:p w:rsidR="00090E20" w:rsidRPr="00BA14DD" w:rsidRDefault="00090E20" w:rsidP="000E0DED">
            <w:pPr>
              <w:pStyle w:val="Normal6"/>
              <w:widowControl/>
              <w:rPr>
                <w:szCs w:val="24"/>
              </w:rPr>
            </w:pPr>
            <w:r w:rsidRPr="00BA14DD">
              <w:t>(b)</w:t>
            </w:r>
            <w:r w:rsidRPr="00BA14DD">
              <w:tab/>
              <w:t xml:space="preserve">merkitykselliset tiedot, jotka se saattaa saada vuonna 1994 tehdyn tullitariffeja ja kauppaa koskevan yleissopimuksen XXVIII artiklan nojalla käytyjen neuvottelujen yhteydessä tai </w:t>
            </w:r>
            <w:r w:rsidRPr="00BA14DD">
              <w:rPr>
                <w:b/>
                <w:i/>
              </w:rPr>
              <w:t>muista lähteistä, joille erityisellä tullikiintiöllä on merkitystä</w:t>
            </w:r>
            <w:r w:rsidRPr="00BA14DD">
              <w:t>.</w:t>
            </w:r>
          </w:p>
        </w:tc>
      </w:tr>
    </w:tbl>
    <w:p w:rsidR="00090E20" w:rsidRPr="00BA14DD" w:rsidRDefault="00090E20" w:rsidP="00090E20">
      <w:pPr>
        <w:pStyle w:val="AMNumberTabs"/>
        <w:widowControl/>
      </w:pPr>
      <w:r w:rsidRPr="00BA14DD">
        <w:t>Tarkistus</w:t>
      </w:r>
      <w:r w:rsidR="00CC5C05" w:rsidRPr="00BA14DD">
        <w:t xml:space="preserve"> </w:t>
      </w:r>
      <w:r w:rsidRPr="00BA14DD">
        <w:t>12</w:t>
      </w:r>
    </w:p>
    <w:p w:rsidR="00090E20" w:rsidRPr="00BA14DD" w:rsidRDefault="00090E20" w:rsidP="00090E20">
      <w:pPr>
        <w:pStyle w:val="NormalBold12b"/>
        <w:widowControl/>
      </w:pPr>
      <w:r w:rsidRPr="00BA14DD">
        <w:t>Ehdotus asetukseksi</w:t>
      </w:r>
    </w:p>
    <w:p w:rsidR="00090E20" w:rsidRPr="00BA14DD" w:rsidRDefault="00090E20" w:rsidP="00090E20">
      <w:pPr>
        <w:pStyle w:val="NormalBold"/>
        <w:widowControl/>
      </w:pPr>
      <w:r w:rsidRPr="00BA14DD">
        <w:t>3 a artikla (uusi)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0E20" w:rsidRPr="00BA14DD" w:rsidTr="000E0DED">
        <w:trPr>
          <w:jc w:val="center"/>
        </w:trPr>
        <w:tc>
          <w:tcPr>
            <w:tcW w:w="9752" w:type="dxa"/>
            <w:gridSpan w:val="2"/>
          </w:tcPr>
          <w:p w:rsidR="00090E20" w:rsidRPr="00BA14DD" w:rsidRDefault="00090E20" w:rsidP="000E0DED">
            <w:pPr>
              <w:keepNext/>
              <w:widowControl/>
            </w:pPr>
          </w:p>
        </w:tc>
      </w:tr>
      <w:tr w:rsidR="00090E20" w:rsidRPr="00BA14DD" w:rsidTr="000E0DED">
        <w:trPr>
          <w:jc w:val="center"/>
        </w:trPr>
        <w:tc>
          <w:tcPr>
            <w:tcW w:w="4876" w:type="dxa"/>
            <w:hideMark/>
          </w:tcPr>
          <w:p w:rsidR="00090E20" w:rsidRPr="00BA14DD" w:rsidRDefault="00090E20" w:rsidP="000E0DED">
            <w:pPr>
              <w:pStyle w:val="ColumnHeading"/>
              <w:keepNext/>
              <w:widowControl/>
            </w:pPr>
            <w:r w:rsidRPr="00BA14DD">
              <w:t>Komission teksti</w:t>
            </w:r>
          </w:p>
        </w:tc>
        <w:tc>
          <w:tcPr>
            <w:tcW w:w="4876" w:type="dxa"/>
            <w:hideMark/>
          </w:tcPr>
          <w:p w:rsidR="00090E20" w:rsidRPr="00BA14DD" w:rsidRDefault="00090E20" w:rsidP="000E0DED">
            <w:pPr>
              <w:pStyle w:val="ColumnHeading"/>
              <w:keepNext/>
              <w:widowControl/>
            </w:pPr>
            <w:r w:rsidRPr="00BA14DD">
              <w:t>Tarkistus</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jc w:val="center"/>
              <w:rPr>
                <w:szCs w:val="24"/>
              </w:rPr>
            </w:pPr>
            <w:r w:rsidRPr="00BA14DD">
              <w:rPr>
                <w:b/>
                <w:i/>
              </w:rPr>
              <w:t xml:space="preserve">3 a artikla </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Muutetaan neuvoston asetus (EY) N:o 32/2000 seuraavasti:</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CC5C05">
            <w:pPr>
              <w:pStyle w:val="Normal6"/>
              <w:widowControl/>
              <w:rPr>
                <w:szCs w:val="24"/>
              </w:rPr>
            </w:pPr>
            <w:r w:rsidRPr="00BA14DD">
              <w:rPr>
                <w:b/>
                <w:i/>
              </w:rPr>
              <w:t>(1)</w:t>
            </w:r>
            <w:r w:rsidRPr="00BA14DD">
              <w:rPr>
                <w:b/>
                <w:i/>
              </w:rPr>
              <w:tab/>
              <w:t>Korvataan 6 artiklan 2 kohta seuraavasti:</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CC5C05">
            <w:pPr>
              <w:pStyle w:val="Normal6"/>
              <w:widowControl/>
              <w:rPr>
                <w:szCs w:val="24"/>
              </w:rPr>
            </w:pPr>
            <w:r w:rsidRPr="00BA14DD">
              <w:rPr>
                <w:b/>
                <w:i/>
              </w:rPr>
              <w:t>”2.</w:t>
            </w:r>
            <w:r w:rsidR="00CC5C05" w:rsidRPr="00BA14DD">
              <w:rPr>
                <w:b/>
                <w:i/>
              </w:rPr>
              <w:tab/>
            </w:r>
            <w:r w:rsidRPr="00BA14DD">
              <w:rPr>
                <w:b/>
                <w:i/>
              </w:rPr>
              <w:t xml:space="preserve">Päätös 1 kohdassa tarkoitettuihin tariffikiintiöihin pääsyn peruuttamisesta väliaikaisesti kokonaan tai osittain tehdään täytäntöönpanosäädöksillä sen jälkeen, kun komission ja kyseisen </w:t>
            </w:r>
            <w:r w:rsidRPr="00BA14DD">
              <w:rPr>
                <w:b/>
                <w:i/>
              </w:rPr>
              <w:lastRenderedPageBreak/>
              <w:t>edunsaajamaan välillä on ensin neuvoteltu asiasta. Nämä täytäntöönpanosäädökset hyväksytään 10 artiklan 2 kohdassa tarkoitettua tarkastelumenettelyä noudattaen.”</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CC5C05">
            <w:pPr>
              <w:pStyle w:val="Normal6"/>
              <w:widowControl/>
              <w:rPr>
                <w:szCs w:val="24"/>
              </w:rPr>
            </w:pPr>
            <w:r w:rsidRPr="00BA14DD">
              <w:rPr>
                <w:b/>
                <w:i/>
              </w:rPr>
              <w:t>(2)</w:t>
            </w:r>
            <w:r w:rsidRPr="00BA14DD">
              <w:rPr>
                <w:b/>
                <w:i/>
              </w:rPr>
              <w:tab/>
              <w:t>Korvataan 9 artiklan 1 kohta seuraavasti:</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CC5C05" w:rsidP="000E0DED">
            <w:pPr>
              <w:pStyle w:val="Normal6"/>
              <w:widowControl/>
              <w:rPr>
                <w:szCs w:val="24"/>
              </w:rPr>
            </w:pPr>
            <w:r w:rsidRPr="00BA14DD">
              <w:rPr>
                <w:b/>
                <w:i/>
              </w:rPr>
              <w:t>”1.</w:t>
            </w:r>
            <w:r w:rsidRPr="00BA14DD">
              <w:rPr>
                <w:b/>
                <w:i/>
              </w:rPr>
              <w:tab/>
            </w:r>
            <w:r w:rsidR="00090E20" w:rsidRPr="00BA14DD">
              <w:rPr>
                <w:b/>
                <w:i/>
              </w:rPr>
              <w:t>Siirretään komissiolle valta antaa 10 a artiklan mukaisesti delegoituja säädöksiä liitteiden I–VII muuttamiseksi, jos</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CC5C05">
            <w:pPr>
              <w:pStyle w:val="Normal6"/>
              <w:widowControl/>
              <w:rPr>
                <w:szCs w:val="24"/>
              </w:rPr>
            </w:pPr>
            <w:r w:rsidRPr="00BA14DD">
              <w:rPr>
                <w:b/>
                <w:i/>
              </w:rPr>
              <w:t>(a)</w:t>
            </w:r>
            <w:r w:rsidRPr="00BA14DD">
              <w:rPr>
                <w:b/>
                <w:i/>
              </w:rPr>
              <w:tab/>
              <w:t>tekniset muutokset ja mukautukset ovat tarpeen yhdistetyn nimikkeistön tai Taric-koodien muutosten vuoksi;</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CC5C05">
            <w:pPr>
              <w:pStyle w:val="Normal6"/>
              <w:widowControl/>
              <w:rPr>
                <w:szCs w:val="24"/>
              </w:rPr>
            </w:pPr>
            <w:r w:rsidRPr="00BA14DD">
              <w:rPr>
                <w:b/>
                <w:i/>
              </w:rPr>
              <w:t>(b)</w:t>
            </w:r>
            <w:r w:rsidRPr="00BA14DD">
              <w:rPr>
                <w:b/>
                <w:i/>
              </w:rPr>
              <w:tab/>
              <w:t>mukautukset ovat tarpeellisia</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—neuvoston GATTin yhteydessä tekemien sopimusten tai kirjeenvaihdon vuoksi tai unionin GATTin yhteydessä tiettyihin maihin nähden tekemien sitoumusten vuoksi, tai</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—yleisen tullietuusjärjestelmän voimassaolon pidentämisen vuoksi juutista ja kookoskuiduista valmistettujen tuotteiden osalta;</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(c)</w:t>
            </w:r>
            <w:r w:rsidRPr="00BA14DD">
              <w:rPr>
                <w:b/>
                <w:i/>
              </w:rPr>
              <w:tab/>
              <w:t>lisätään kehitysmaita liitteissä IV ja V oleviin luetteloihin, kun maa on sitä virallisesti pyytänyt ja antanut tarvittavat takeet kyseisten tuotteiden aitouden valvonnasta;</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(d)</w:t>
            </w:r>
            <w:r w:rsidRPr="00BA14DD">
              <w:rPr>
                <w:b/>
                <w:i/>
              </w:rPr>
              <w:tab/>
              <w:t>käsintehtyjä tuotteita ja käsikangaspuilla kudottuja kankaita koskevien määritelmiin sekä aitoustodistusten malleihin on tehtävä muutoksia ja mukautuksia.</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1 a.</w:t>
            </w:r>
            <w:r w:rsidRPr="00BA14DD">
              <w:rPr>
                <w:b/>
                <w:i/>
              </w:rPr>
              <w:tab/>
              <w:t>Edellä 1 kohdan mukaisissa liitteen I muutoksissa, jotka ovat seurausta Yhdistyneen kuningaskunnan unionista eroamisesta,</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(a)</w:t>
            </w:r>
            <w:r w:rsidRPr="00BA14DD">
              <w:rPr>
                <w:b/>
                <w:i/>
              </w:rPr>
              <w:tab/>
              <w:t xml:space="preserve">on varmistettava johdonmukaisuus yhdessä Yhdistyneen kuningaskunnan kanssa sovitun yhteisen menetelmän kanssa ja erityisesti varmistettava, että pääsy Yhdistyneen kuningaskunnan eron jälkeisen unionin markkinoille ei ylitä vastaavaa osuutta kauppavirroista </w:t>
            </w:r>
            <w:r w:rsidRPr="00BA14DD">
              <w:rPr>
                <w:b/>
                <w:i/>
              </w:rPr>
              <w:lastRenderedPageBreak/>
              <w:t>viitekaudella, ja</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(b)</w:t>
            </w:r>
            <w:r w:rsidRPr="00BA14DD">
              <w:rPr>
                <w:b/>
                <w:i/>
              </w:rPr>
              <w:tab/>
              <w:t>voidaan myös ottaa huomioon merkitykselliset tiedot, jotka komissio saattaa saada vuonna 1994 tehdyn tullitariffeja ja kauppaa koskevan yleissopimuksen XXVIII artiklan nojalla käytyjen neuvottelujen yhteydessä tai muista lähteistä, joille erityisellä tullikiintiöllä on merkitystä.”</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(3)</w:t>
            </w:r>
            <w:r w:rsidRPr="00BA14DD">
              <w:rPr>
                <w:b/>
                <w:i/>
              </w:rPr>
              <w:tab/>
              <w:t>Korvataan 10 artikla seuraavasti:</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CC5C05">
            <w:pPr>
              <w:pStyle w:val="Normal6"/>
              <w:widowControl/>
              <w:rPr>
                <w:szCs w:val="24"/>
              </w:rPr>
            </w:pPr>
            <w:r w:rsidRPr="00BA14DD">
              <w:rPr>
                <w:b/>
                <w:i/>
              </w:rPr>
              <w:t>”1.</w:t>
            </w:r>
            <w:r w:rsidR="00CC5C05" w:rsidRPr="00BA14DD">
              <w:rPr>
                <w:b/>
                <w:i/>
              </w:rPr>
              <w:tab/>
            </w:r>
            <w:r w:rsidRPr="00BA14DD">
              <w:rPr>
                <w:b/>
                <w:i/>
              </w:rPr>
              <w:t>Komissiota avustaa asetuksen (EU) N:o 952/2013 285 artiklalla perustettu tullikoodeksikomitea.</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CC5C05">
            <w:pPr>
              <w:pStyle w:val="Normal6"/>
              <w:widowControl/>
              <w:rPr>
                <w:szCs w:val="24"/>
              </w:rPr>
            </w:pPr>
            <w:r w:rsidRPr="00BA14DD">
              <w:rPr>
                <w:b/>
                <w:i/>
              </w:rPr>
              <w:t>2.</w:t>
            </w:r>
            <w:r w:rsidR="00CC5C05" w:rsidRPr="00BA14DD">
              <w:rPr>
                <w:b/>
                <w:i/>
              </w:rPr>
              <w:tab/>
            </w:r>
            <w:r w:rsidRPr="00BA14DD">
              <w:rPr>
                <w:b/>
                <w:i/>
              </w:rPr>
              <w:t>Kun viitataan tähän kohtaan, sovelletaan asetuksen (EU) N:o 182/2011 5 artiklaa.”</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(4)</w:t>
            </w:r>
            <w:r w:rsidRPr="00BA14DD">
              <w:rPr>
                <w:b/>
                <w:i/>
              </w:rPr>
              <w:tab/>
              <w:t>Lisätään artikla seuraavasti:</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”10 a artikla</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1.</w:t>
            </w:r>
            <w:r w:rsidRPr="00BA14DD">
              <w:rPr>
                <w:b/>
                <w:i/>
              </w:rPr>
              <w:tab/>
              <w:t>Komissiolle siirrettyä valtaa antaa delegoituja säädöksiä koskevat tässä artiklassa säädetyt edellytykset.</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2.</w:t>
            </w:r>
            <w:r w:rsidRPr="00BA14DD">
              <w:rPr>
                <w:b/>
                <w:i/>
              </w:rPr>
              <w:tab/>
              <w:t>Siirretään komissiolle … päivästä …kuuta … [tämän muutosasetuksen voimaantulopäivä] viiden vuoden ajaksi 9 artiklassa tarkoitettu valta antaa delegoituja säädöksiä. Komissio laatii siirrettyä säädösvaltaa koskevan kertomuksen viimeistään yhdeksän kuukautta ennen tämän viiden vuoden kauden päättymistä. Säädösvallan siirtoa jatketaan ilman eri toimenpiteitä samanpituisiksi kausiksi, jollei Euroopan parlamentti tai neuvosto vastusta tällaista jatkamista viimeistään kolme kuukautta ennen kunkin kauden päättymistä.</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3.</w:t>
            </w:r>
            <w:r w:rsidRPr="00BA14DD">
              <w:rPr>
                <w:b/>
                <w:i/>
              </w:rPr>
              <w:tab/>
              <w:t xml:space="preserve">Euroopan parlamentti tai neuvosto voi milloin tahansa peruuttaa 9 artiklassa tarkoitetun säädösvallan siirron. Peruuttamispäätöksellä lopetetaan tuossa päätöksessä mainittu säädösvallan siirto. Peruuttaminen tulee voimaan sitä päivää seuraavana päivänä, jona sitä koskeva päätös julkaistaan Euroopan unionin virallisessa lehdessä, tai jonakin myöhempänä, kyseisessä päätöksessä mainittuna päivänä. Peruuttamispäätös ei </w:t>
            </w:r>
            <w:r w:rsidRPr="00BA14DD">
              <w:rPr>
                <w:b/>
                <w:i/>
              </w:rPr>
              <w:lastRenderedPageBreak/>
              <w:t>vaikuta jo voimassa olevien delegoitujen säädösten pätevyyteen.</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4.</w:t>
            </w:r>
            <w:r w:rsidRPr="00BA14DD">
              <w:rPr>
                <w:b/>
                <w:i/>
              </w:rPr>
              <w:tab/>
              <w:t>Ennen kuin komissio hyväksyy delegoidun säädöksen, se kuulee kunkin jäsenvaltion nimeämiä asiantuntijoita paremmasta lainsäädännöstä 13 päivänä huhtikuuta 2016 tehdyssä toimielinten välisessä sopimuksessa vahvistettujen periaatteiden mukaisesti.</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5.</w:t>
            </w:r>
            <w:r w:rsidRPr="00BA14DD">
              <w:rPr>
                <w:b/>
                <w:i/>
              </w:rPr>
              <w:tab/>
              <w:t>Heti kun komissio on antanut delegoidun säädöksen, komissio antaa sen tiedoksi yhtäaikaisesti Euroopan parlamentille ja neuvostolle.</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6.</w:t>
            </w:r>
            <w:r w:rsidRPr="00BA14DD">
              <w:rPr>
                <w:b/>
                <w:i/>
              </w:rPr>
              <w:tab/>
              <w:t>Edellä olevan 9 artiklan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tc>
      </w:tr>
      <w:tr w:rsidR="00090E20" w:rsidRPr="00BA14DD" w:rsidTr="000E0DED">
        <w:trPr>
          <w:jc w:val="center"/>
        </w:trPr>
        <w:tc>
          <w:tcPr>
            <w:tcW w:w="4876" w:type="dxa"/>
          </w:tcPr>
          <w:p w:rsidR="00090E20" w:rsidRPr="00BA14DD" w:rsidRDefault="00090E20" w:rsidP="000E0DED">
            <w:pPr>
              <w:pStyle w:val="Normal6"/>
              <w:widowControl/>
            </w:pPr>
          </w:p>
        </w:tc>
        <w:tc>
          <w:tcPr>
            <w:tcW w:w="4876" w:type="dxa"/>
            <w:hideMark/>
          </w:tcPr>
          <w:p w:rsidR="00090E20" w:rsidRPr="00BA14DD" w:rsidRDefault="00090E20" w:rsidP="000E0DED">
            <w:pPr>
              <w:pStyle w:val="Normal6"/>
              <w:widowControl/>
              <w:rPr>
                <w:szCs w:val="24"/>
              </w:rPr>
            </w:pPr>
            <w:r w:rsidRPr="00BA14DD">
              <w:rPr>
                <w:b/>
                <w:i/>
              </w:rPr>
              <w:t>(5)</w:t>
            </w:r>
            <w:r w:rsidRPr="00BA14DD">
              <w:rPr>
                <w:b/>
                <w:i/>
              </w:rPr>
              <w:tab/>
              <w:t>Korvataan liite I tämän asetuksen liitteen B osalla.</w:t>
            </w:r>
          </w:p>
        </w:tc>
      </w:tr>
    </w:tbl>
    <w:p w:rsidR="00090E20" w:rsidRPr="00BA14DD" w:rsidRDefault="00090E20" w:rsidP="00090E20">
      <w:pPr>
        <w:pStyle w:val="AMNumberTabs"/>
        <w:widowControl/>
      </w:pPr>
      <w:r w:rsidRPr="00BA14DD">
        <w:t>Tarkistus</w:t>
      </w:r>
      <w:r w:rsidR="00CC5C05" w:rsidRPr="00BA14DD">
        <w:t xml:space="preserve"> </w:t>
      </w:r>
      <w:r w:rsidRPr="00BA14DD">
        <w:t>13</w:t>
      </w:r>
    </w:p>
    <w:p w:rsidR="00090E20" w:rsidRPr="00BA14DD" w:rsidRDefault="00090E20" w:rsidP="00090E20">
      <w:pPr>
        <w:pStyle w:val="NormalBold12b"/>
        <w:widowControl/>
      </w:pPr>
      <w:r w:rsidRPr="00BA14DD">
        <w:t>Ehdotus asetukseksi</w:t>
      </w:r>
    </w:p>
    <w:p w:rsidR="00090E20" w:rsidRPr="00BA14DD" w:rsidRDefault="00090E20" w:rsidP="00090E20">
      <w:pPr>
        <w:pStyle w:val="NormalBold"/>
        <w:widowControl/>
      </w:pPr>
      <w:r w:rsidRPr="00BA14DD">
        <w:t>4 artikla – 2 kohta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0E20" w:rsidRPr="00BA14DD" w:rsidTr="000E0DED">
        <w:trPr>
          <w:jc w:val="center"/>
        </w:trPr>
        <w:tc>
          <w:tcPr>
            <w:tcW w:w="9752" w:type="dxa"/>
            <w:gridSpan w:val="2"/>
          </w:tcPr>
          <w:p w:rsidR="00090E20" w:rsidRPr="00BA14DD" w:rsidRDefault="00090E20" w:rsidP="000E0DED">
            <w:pPr>
              <w:keepNext/>
              <w:widowControl/>
            </w:pPr>
          </w:p>
        </w:tc>
      </w:tr>
      <w:tr w:rsidR="00090E20" w:rsidRPr="00BA14DD" w:rsidTr="000E0DED">
        <w:trPr>
          <w:jc w:val="center"/>
        </w:trPr>
        <w:tc>
          <w:tcPr>
            <w:tcW w:w="4876" w:type="dxa"/>
            <w:hideMark/>
          </w:tcPr>
          <w:p w:rsidR="00090E20" w:rsidRPr="00BA14DD" w:rsidRDefault="00090E20" w:rsidP="000E0DED">
            <w:pPr>
              <w:pStyle w:val="ColumnHeading"/>
              <w:keepNext/>
              <w:widowControl/>
            </w:pPr>
            <w:r w:rsidRPr="00BA14DD">
              <w:t>Komission teksti</w:t>
            </w:r>
          </w:p>
        </w:tc>
        <w:tc>
          <w:tcPr>
            <w:tcW w:w="4876" w:type="dxa"/>
            <w:hideMark/>
          </w:tcPr>
          <w:p w:rsidR="00090E20" w:rsidRPr="00BA14DD" w:rsidRDefault="00090E20" w:rsidP="000E0DED">
            <w:pPr>
              <w:pStyle w:val="ColumnHeading"/>
              <w:keepNext/>
              <w:widowControl/>
            </w:pPr>
            <w:r w:rsidRPr="00BA14DD">
              <w:t>Tarkistus</w:t>
            </w:r>
          </w:p>
        </w:tc>
      </w:tr>
      <w:tr w:rsidR="00090E20" w:rsidRPr="00BA14DD" w:rsidTr="000E0DED">
        <w:trPr>
          <w:jc w:val="center"/>
        </w:trPr>
        <w:tc>
          <w:tcPr>
            <w:tcW w:w="4876" w:type="dxa"/>
            <w:hideMark/>
          </w:tcPr>
          <w:p w:rsidR="00090E20" w:rsidRPr="00BA14DD" w:rsidRDefault="00090E20" w:rsidP="000E0DED">
            <w:pPr>
              <w:pStyle w:val="Normal6"/>
              <w:widowControl/>
            </w:pPr>
            <w:r w:rsidRPr="00BA14DD">
              <w:t>(2)</w:t>
            </w:r>
            <w:r w:rsidRPr="00BA14DD">
              <w:tab/>
              <w:t xml:space="preserve">Siirretään 3 artiklassa tarkoitettu valta antaa delegoituja säädöksiä komissiolle </w:t>
            </w:r>
            <w:r w:rsidRPr="00BA14DD">
              <w:rPr>
                <w:b/>
                <w:i/>
              </w:rPr>
              <w:t>[4]</w:t>
            </w:r>
            <w:r w:rsidRPr="00BA14DD">
              <w:t xml:space="preserve"> vuodeksi tämän asetuksen voimaantulopäivästä.</w:t>
            </w:r>
          </w:p>
        </w:tc>
        <w:tc>
          <w:tcPr>
            <w:tcW w:w="4876" w:type="dxa"/>
            <w:hideMark/>
          </w:tcPr>
          <w:p w:rsidR="00090E20" w:rsidRPr="00BA14DD" w:rsidRDefault="00090E20" w:rsidP="000E0DED">
            <w:pPr>
              <w:pStyle w:val="Normal6"/>
              <w:widowControl/>
              <w:rPr>
                <w:szCs w:val="24"/>
              </w:rPr>
            </w:pPr>
            <w:r w:rsidRPr="00BA14DD">
              <w:t>(2)</w:t>
            </w:r>
            <w:r w:rsidRPr="00BA14DD">
              <w:tab/>
              <w:t xml:space="preserve">Siirretään 3 artiklassa tarkoitettu valta antaa delegoituja säädöksiä komissiolle </w:t>
            </w:r>
            <w:r w:rsidRPr="00BA14DD">
              <w:rPr>
                <w:b/>
                <w:i/>
              </w:rPr>
              <w:t>viideksi</w:t>
            </w:r>
            <w:r w:rsidRPr="00BA14DD">
              <w:t xml:space="preserve"> vuodeksi tämän asetuksen voimaantulopäivästä. </w:t>
            </w:r>
            <w:r w:rsidRPr="00BA14DD">
              <w:rPr>
                <w:b/>
                <w:i/>
              </w:rPr>
              <w:t xml:space="preserve">Komissio laatii siirrettyä säädösvaltaa koskevan kertomuksen viimeistään yhdeksän kuukautta ennen tämän viiden vuoden kauden päättymistä. Säädösvallan siirtoa jatketaan ilman eri toimenpiteitä samanpituisiksi kausiksi, jollei Euroopan parlamentti tai neuvosto vastusta tällaista </w:t>
            </w:r>
            <w:r w:rsidRPr="00BA14DD">
              <w:rPr>
                <w:b/>
                <w:i/>
              </w:rPr>
              <w:lastRenderedPageBreak/>
              <w:t>jatkamista viimeistään kolme kuukautta ennen kunkin kauden päättymistä.</w:t>
            </w:r>
          </w:p>
        </w:tc>
      </w:tr>
    </w:tbl>
    <w:p w:rsidR="00090E20" w:rsidRPr="00BA14DD" w:rsidRDefault="00090E20" w:rsidP="00090E20">
      <w:pPr>
        <w:pStyle w:val="AMNumberTabs"/>
        <w:widowControl/>
      </w:pPr>
      <w:r w:rsidRPr="00BA14DD">
        <w:lastRenderedPageBreak/>
        <w:t>Tarkistus</w:t>
      </w:r>
      <w:r w:rsidR="00CC5C05" w:rsidRPr="00BA14DD">
        <w:t xml:space="preserve"> </w:t>
      </w:r>
      <w:r w:rsidRPr="00BA14DD">
        <w:t>14</w:t>
      </w:r>
    </w:p>
    <w:p w:rsidR="00090E20" w:rsidRPr="00BA14DD" w:rsidRDefault="00090E20" w:rsidP="00090E20">
      <w:pPr>
        <w:pStyle w:val="NormalBold12b"/>
        <w:widowControl/>
      </w:pPr>
      <w:r w:rsidRPr="00BA14DD">
        <w:t>Ehdotus asetukseksi</w:t>
      </w:r>
    </w:p>
    <w:p w:rsidR="00090E20" w:rsidRPr="00BA14DD" w:rsidRDefault="00090E20" w:rsidP="00090E20">
      <w:pPr>
        <w:pStyle w:val="NormalBold"/>
        <w:widowControl/>
      </w:pPr>
      <w:r w:rsidRPr="00BA14DD">
        <w:t>4 artikla – 4 kohta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90E20" w:rsidRPr="00BA14DD" w:rsidTr="000E0DED">
        <w:trPr>
          <w:jc w:val="center"/>
        </w:trPr>
        <w:tc>
          <w:tcPr>
            <w:tcW w:w="9752" w:type="dxa"/>
            <w:gridSpan w:val="2"/>
          </w:tcPr>
          <w:p w:rsidR="00090E20" w:rsidRPr="00BA14DD" w:rsidRDefault="00090E20" w:rsidP="000E0DED">
            <w:pPr>
              <w:keepNext/>
              <w:widowControl/>
            </w:pPr>
          </w:p>
        </w:tc>
      </w:tr>
      <w:tr w:rsidR="00090E20" w:rsidRPr="00BA14DD" w:rsidTr="000E0DED">
        <w:trPr>
          <w:jc w:val="center"/>
        </w:trPr>
        <w:tc>
          <w:tcPr>
            <w:tcW w:w="4876" w:type="dxa"/>
          </w:tcPr>
          <w:p w:rsidR="00090E20" w:rsidRPr="00BA14DD" w:rsidRDefault="00090E20" w:rsidP="000E0DED">
            <w:pPr>
              <w:pStyle w:val="ColumnHeading"/>
              <w:keepNext/>
              <w:widowControl/>
            </w:pPr>
            <w:r w:rsidRPr="00BA14DD">
              <w:t>Komission teksti</w:t>
            </w:r>
          </w:p>
        </w:tc>
        <w:tc>
          <w:tcPr>
            <w:tcW w:w="4876" w:type="dxa"/>
          </w:tcPr>
          <w:p w:rsidR="00090E20" w:rsidRPr="00BA14DD" w:rsidRDefault="00090E20" w:rsidP="000E0DED">
            <w:pPr>
              <w:pStyle w:val="ColumnHeading"/>
              <w:keepNext/>
              <w:widowControl/>
            </w:pPr>
            <w:r w:rsidRPr="00BA14DD">
              <w:t>Tarkistus</w:t>
            </w:r>
          </w:p>
        </w:tc>
      </w:tr>
      <w:tr w:rsidR="00090E20" w:rsidRPr="00BA14DD" w:rsidTr="000E0DED">
        <w:trPr>
          <w:jc w:val="center"/>
        </w:trPr>
        <w:tc>
          <w:tcPr>
            <w:tcW w:w="4876" w:type="dxa"/>
          </w:tcPr>
          <w:p w:rsidR="00090E20" w:rsidRPr="00BA14DD" w:rsidRDefault="00090E20" w:rsidP="000E0DED">
            <w:pPr>
              <w:pStyle w:val="Normal6"/>
              <w:widowControl/>
            </w:pPr>
            <w:r w:rsidRPr="00BA14DD">
              <w:t>(4)</w:t>
            </w:r>
            <w:r w:rsidRPr="00BA14DD">
              <w:tab/>
              <w:t>Ennen kuin komissio hyväksyy delegoidun säädöksen, se kuulee kunkin jäsenvaltion nimeämiä asiantuntijoita paremmasta lainsäädännöstä 13 päivänä huhtikuuta 2016 tehdyssä toimielinten välisessä sopimuksessa vahvistettujen periaatteiden mukaisesti.</w:t>
            </w:r>
          </w:p>
        </w:tc>
        <w:tc>
          <w:tcPr>
            <w:tcW w:w="4876" w:type="dxa"/>
          </w:tcPr>
          <w:p w:rsidR="00090E20" w:rsidRPr="00BA14DD" w:rsidRDefault="00090E20" w:rsidP="000E0DED">
            <w:pPr>
              <w:pStyle w:val="Normal6"/>
              <w:widowControl/>
              <w:rPr>
                <w:szCs w:val="24"/>
              </w:rPr>
            </w:pPr>
            <w:r w:rsidRPr="00BA14DD">
              <w:t>(4)</w:t>
            </w:r>
            <w:r w:rsidRPr="00BA14DD">
              <w:tab/>
              <w:t xml:space="preserve">Ennen kuin komissio hyväksyy delegoidun säädöksen, se kuulee kunkin jäsenvaltion nimeämiä asiantuntijoita paremmasta lainsäädännöstä 13 päivänä huhtikuuta 2016 tehdyssä toimielinten välisessä sopimuksessa vahvistettujen periaatteiden mukaisesti. </w:t>
            </w:r>
            <w:r w:rsidRPr="00BA14DD">
              <w:rPr>
                <w:b/>
                <w:i/>
              </w:rPr>
              <w:t>Jotta voitaisiin varmistaa kaikkien tietojen yhdenvertainen saatavuus, Euroopan parlamentille ja neuvostolle toimitetaan kaikki asiakirjat samaan aikaan kuin jäsenvaltioiden asiantuntijoille.</w:t>
            </w:r>
          </w:p>
        </w:tc>
      </w:tr>
    </w:tbl>
    <w:p w:rsidR="00090E20" w:rsidRPr="00BA14DD" w:rsidRDefault="00090E20" w:rsidP="00090E20">
      <w:pPr>
        <w:pStyle w:val="AMNumberTabs"/>
        <w:widowControl/>
      </w:pPr>
      <w:r w:rsidRPr="00BA14DD">
        <w:t>Tarkistus</w:t>
      </w:r>
      <w:r w:rsidR="00CC5C05" w:rsidRPr="00BA14DD">
        <w:t xml:space="preserve"> </w:t>
      </w:r>
      <w:r w:rsidRPr="00BA14DD">
        <w:t>15</w:t>
      </w:r>
    </w:p>
    <w:p w:rsidR="00090E20" w:rsidRPr="00BA14DD" w:rsidRDefault="00090E20" w:rsidP="00090E20">
      <w:pPr>
        <w:pStyle w:val="NormalBold12b"/>
        <w:widowControl/>
      </w:pPr>
      <w:r w:rsidRPr="00BA14DD">
        <w:t>Ehdotus asetukseksi</w:t>
      </w:r>
    </w:p>
    <w:p w:rsidR="00090E20" w:rsidRPr="00BA14DD" w:rsidRDefault="00090E20" w:rsidP="00090E20">
      <w:pPr>
        <w:pStyle w:val="NormalBold"/>
        <w:widowControl/>
      </w:pPr>
      <w:r w:rsidRPr="00BA14DD">
        <w:t>4 artikla – 6 kohta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0E20" w:rsidRPr="00BA14DD" w:rsidTr="000E0DED">
        <w:trPr>
          <w:jc w:val="center"/>
        </w:trPr>
        <w:tc>
          <w:tcPr>
            <w:tcW w:w="9752" w:type="dxa"/>
            <w:gridSpan w:val="2"/>
          </w:tcPr>
          <w:p w:rsidR="00090E20" w:rsidRPr="00BA14DD" w:rsidRDefault="00090E20" w:rsidP="000E0DED">
            <w:pPr>
              <w:keepNext/>
              <w:widowControl/>
            </w:pPr>
          </w:p>
        </w:tc>
      </w:tr>
      <w:tr w:rsidR="00090E20" w:rsidRPr="00BA14DD" w:rsidTr="000E0DED">
        <w:trPr>
          <w:jc w:val="center"/>
        </w:trPr>
        <w:tc>
          <w:tcPr>
            <w:tcW w:w="4876" w:type="dxa"/>
            <w:hideMark/>
          </w:tcPr>
          <w:p w:rsidR="00090E20" w:rsidRPr="00BA14DD" w:rsidRDefault="00090E20" w:rsidP="000E0DED">
            <w:pPr>
              <w:pStyle w:val="ColumnHeading"/>
              <w:keepNext/>
              <w:widowControl/>
            </w:pPr>
            <w:r w:rsidRPr="00BA14DD">
              <w:t>Komission teksti</w:t>
            </w:r>
          </w:p>
        </w:tc>
        <w:tc>
          <w:tcPr>
            <w:tcW w:w="4876" w:type="dxa"/>
            <w:hideMark/>
          </w:tcPr>
          <w:p w:rsidR="00090E20" w:rsidRPr="00BA14DD" w:rsidRDefault="00090E20" w:rsidP="000E0DED">
            <w:pPr>
              <w:pStyle w:val="ColumnHeading"/>
              <w:keepNext/>
              <w:widowControl/>
            </w:pPr>
            <w:r w:rsidRPr="00BA14DD">
              <w:t>Tarkistus</w:t>
            </w:r>
          </w:p>
        </w:tc>
      </w:tr>
      <w:tr w:rsidR="00090E20" w:rsidRPr="00BA14DD" w:rsidTr="000E0DED">
        <w:trPr>
          <w:jc w:val="center"/>
        </w:trPr>
        <w:tc>
          <w:tcPr>
            <w:tcW w:w="4876" w:type="dxa"/>
            <w:hideMark/>
          </w:tcPr>
          <w:p w:rsidR="00090E20" w:rsidRPr="00BA14DD" w:rsidRDefault="00090E20" w:rsidP="000E0DED">
            <w:pPr>
              <w:pStyle w:val="Normal6"/>
              <w:widowControl/>
            </w:pPr>
            <w:r w:rsidRPr="00BA14DD">
              <w:t>(6)</w:t>
            </w:r>
            <w:r w:rsidRPr="00BA14DD">
              <w:tab/>
              <w:t xml:space="preserve">Edellä olevan 3 artiklan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w:t>
            </w:r>
            <w:r w:rsidRPr="00BA14DD">
              <w:rPr>
                <w:b/>
                <w:i/>
              </w:rPr>
              <w:t>[yhdellä</w:t>
            </w:r>
            <w:r w:rsidRPr="00BA14DD">
              <w:t xml:space="preserve"> kuukaudella].</w:t>
            </w:r>
          </w:p>
        </w:tc>
        <w:tc>
          <w:tcPr>
            <w:tcW w:w="4876" w:type="dxa"/>
            <w:hideMark/>
          </w:tcPr>
          <w:p w:rsidR="00090E20" w:rsidRPr="00BA14DD" w:rsidRDefault="00090E20" w:rsidP="000E0DED">
            <w:pPr>
              <w:pStyle w:val="Normal6"/>
              <w:widowControl/>
              <w:rPr>
                <w:szCs w:val="24"/>
              </w:rPr>
            </w:pPr>
            <w:r w:rsidRPr="00BA14DD">
              <w:t>(6)</w:t>
            </w:r>
            <w:r w:rsidRPr="00BA14DD">
              <w:tab/>
              <w:t xml:space="preserve">Edellä olevan 3 artiklan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w:t>
            </w:r>
            <w:r w:rsidRPr="00BA14DD">
              <w:rPr>
                <w:b/>
                <w:i/>
              </w:rPr>
              <w:t>[kahdella</w:t>
            </w:r>
            <w:r w:rsidRPr="00BA14DD">
              <w:t xml:space="preserve"> kuukaudella].</w:t>
            </w:r>
          </w:p>
        </w:tc>
      </w:tr>
    </w:tbl>
    <w:p w:rsidR="00090E20" w:rsidRPr="00BA14DD" w:rsidRDefault="00090E20" w:rsidP="00090E20">
      <w:pPr>
        <w:pStyle w:val="AMNumberTabs"/>
        <w:widowControl/>
      </w:pPr>
      <w:r w:rsidRPr="00BA14DD">
        <w:t>Tarkistus</w:t>
      </w:r>
      <w:r w:rsidR="00CC5C05" w:rsidRPr="00BA14DD">
        <w:t xml:space="preserve"> </w:t>
      </w:r>
      <w:r w:rsidRPr="00BA14DD">
        <w:t>16</w:t>
      </w:r>
    </w:p>
    <w:p w:rsidR="00090E20" w:rsidRPr="00BA14DD" w:rsidRDefault="00090E20" w:rsidP="00090E20">
      <w:pPr>
        <w:pStyle w:val="NormalBold12b"/>
        <w:widowControl/>
      </w:pPr>
      <w:r w:rsidRPr="00BA14DD">
        <w:t>Ehdotus asetukseksi</w:t>
      </w:r>
    </w:p>
    <w:p w:rsidR="00090E20" w:rsidRPr="00BA14DD" w:rsidRDefault="00090E20" w:rsidP="00090E20">
      <w:pPr>
        <w:pStyle w:val="NormalBold"/>
        <w:widowControl/>
      </w:pPr>
      <w:r w:rsidRPr="00BA14DD">
        <w:t>4 artikla – 2 kohta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90E20" w:rsidRPr="00BA14DD" w:rsidTr="000E0DED">
        <w:trPr>
          <w:jc w:val="center"/>
        </w:trPr>
        <w:tc>
          <w:tcPr>
            <w:tcW w:w="9752" w:type="dxa"/>
            <w:gridSpan w:val="2"/>
          </w:tcPr>
          <w:p w:rsidR="00090E20" w:rsidRPr="00BA14DD" w:rsidRDefault="00090E20" w:rsidP="000E0DED">
            <w:pPr>
              <w:keepNext/>
              <w:widowControl/>
            </w:pPr>
          </w:p>
        </w:tc>
      </w:tr>
      <w:tr w:rsidR="00090E20" w:rsidRPr="00BA14DD" w:rsidTr="000E0DED">
        <w:trPr>
          <w:jc w:val="center"/>
        </w:trPr>
        <w:tc>
          <w:tcPr>
            <w:tcW w:w="4876" w:type="dxa"/>
            <w:hideMark/>
          </w:tcPr>
          <w:p w:rsidR="00090E20" w:rsidRPr="00BA14DD" w:rsidRDefault="00090E20" w:rsidP="000E0DED">
            <w:pPr>
              <w:pStyle w:val="ColumnHeading"/>
              <w:keepNext/>
              <w:widowControl/>
            </w:pPr>
            <w:r w:rsidRPr="00BA14DD">
              <w:t>Komission teksti</w:t>
            </w:r>
          </w:p>
        </w:tc>
        <w:tc>
          <w:tcPr>
            <w:tcW w:w="4876" w:type="dxa"/>
            <w:hideMark/>
          </w:tcPr>
          <w:p w:rsidR="00090E20" w:rsidRPr="00BA14DD" w:rsidRDefault="00090E20" w:rsidP="000E0DED">
            <w:pPr>
              <w:pStyle w:val="ColumnHeading"/>
              <w:keepNext/>
              <w:widowControl/>
            </w:pPr>
            <w:r w:rsidRPr="00BA14DD">
              <w:t>Tarkistus</w:t>
            </w:r>
          </w:p>
        </w:tc>
      </w:tr>
      <w:tr w:rsidR="00090E20" w:rsidRPr="00BA14DD" w:rsidTr="000E0DED">
        <w:trPr>
          <w:jc w:val="center"/>
        </w:trPr>
        <w:tc>
          <w:tcPr>
            <w:tcW w:w="4876" w:type="dxa"/>
            <w:hideMark/>
          </w:tcPr>
          <w:p w:rsidR="00090E20" w:rsidRPr="00BA14DD" w:rsidRDefault="00090E20" w:rsidP="000E0DED">
            <w:pPr>
              <w:pStyle w:val="Normal6"/>
              <w:widowControl/>
            </w:pPr>
            <w:r w:rsidRPr="00BA14DD">
              <w:t xml:space="preserve">Sen 1 </w:t>
            </w:r>
            <w:r w:rsidRPr="00BA14DD">
              <w:rPr>
                <w:b/>
                <w:i/>
              </w:rPr>
              <w:t xml:space="preserve">ja 2 </w:t>
            </w:r>
            <w:r w:rsidRPr="00BA14DD">
              <w:t>artiklaa sovelletaan siitä päivästä, jona unionin lainsäädäntöä lakataan soveltamasta Yhdistyneeseen kuningaskuntaan Euroopan unionista tehdyn sopimuksen 50 artiklan nojalla unionin ja Yhdistyneen kuningaskunnan tekemän sopimuksen mukaisesti, tai jos tällaista sopimusta ei ole, 30 päivästä maaliskuuta 2019.</w:t>
            </w:r>
          </w:p>
        </w:tc>
        <w:tc>
          <w:tcPr>
            <w:tcW w:w="4876" w:type="dxa"/>
            <w:hideMark/>
          </w:tcPr>
          <w:p w:rsidR="00090E20" w:rsidRPr="00BA14DD" w:rsidRDefault="00090E20" w:rsidP="000E0DED">
            <w:pPr>
              <w:pStyle w:val="Normal6"/>
              <w:widowControl/>
              <w:rPr>
                <w:szCs w:val="24"/>
              </w:rPr>
            </w:pPr>
            <w:r w:rsidRPr="00BA14DD">
              <w:t>Sen 1 artiklaa</w:t>
            </w:r>
            <w:r w:rsidRPr="00BA14DD">
              <w:rPr>
                <w:b/>
                <w:i/>
              </w:rPr>
              <w:t xml:space="preserve"> ja 3 a artiklan 5 kohtaa</w:t>
            </w:r>
            <w:r w:rsidRPr="00BA14DD">
              <w:t xml:space="preserve"> sovelletaan siitä päivästä, jona unionin lainsäädäntöä lakataan soveltamasta Yhdistyneeseen kuningaskuntaan Euroopan unionista tehdyn sopimuksen 50 artiklan nojalla unionin ja Yhdistyneen kuningaskunnan tekemän sopimuksen mukaisesti, tai jos tällaista sopimusta ei ole, 30 päivästä maaliskuuta 2019.</w:t>
            </w:r>
          </w:p>
        </w:tc>
      </w:tr>
    </w:tbl>
    <w:p w:rsidR="00090E20" w:rsidRPr="00BA14DD" w:rsidRDefault="00090E20" w:rsidP="00090E20">
      <w:pPr>
        <w:pStyle w:val="CrossRef"/>
        <w:widowControl/>
      </w:pPr>
      <w:r w:rsidRPr="00BA14DD">
        <w:t>(Artiklojen numerointi ei ole oikein komission ehdotuksessa. Siinä on kaksi artiklaa numeroitu virheellisesti 4 artiklaksi.)</w:t>
      </w:r>
    </w:p>
    <w:p w:rsidR="00E365E1" w:rsidRPr="00BA14DD" w:rsidRDefault="00E365E1" w:rsidP="00090E20">
      <w:bookmarkStart w:id="1" w:name="TextBodyEnd"/>
      <w:bookmarkEnd w:id="1"/>
    </w:p>
    <w:sectPr w:rsidR="00E365E1" w:rsidRPr="00BA14DD" w:rsidSect="0064785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DDA" w:rsidRPr="00647859" w:rsidRDefault="00BE4DDA">
      <w:r w:rsidRPr="00647859">
        <w:separator/>
      </w:r>
    </w:p>
  </w:endnote>
  <w:endnote w:type="continuationSeparator" w:id="0">
    <w:p w:rsidR="00BE4DDA" w:rsidRPr="00647859" w:rsidRDefault="00BE4DDA">
      <w:r w:rsidRPr="006478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DD" w:rsidRDefault="00BA1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DD" w:rsidRDefault="00BA14DD" w:rsidP="00BA14DD">
    <w:pPr>
      <w:pStyle w:val="Footer"/>
      <w:tabs>
        <w:tab w:val="clear" w:pos="9639"/>
        <w:tab w:val="right" w:pos="9184"/>
      </w:tabs>
    </w:pPr>
  </w:p>
  <w:p w:rsidR="00BA14DD" w:rsidRDefault="00BA14DD" w:rsidP="00BA14DD">
    <w:pPr>
      <w:pStyle w:val="Footer"/>
      <w:pBdr>
        <w:top w:val="single" w:sz="2" w:space="1" w:color="000000"/>
      </w:pBdr>
      <w:tabs>
        <w:tab w:val="clear" w:pos="9639"/>
        <w:tab w:val="right" w:pos="9184"/>
      </w:tabs>
    </w:pPr>
    <w:r>
      <w:tab/>
    </w:r>
    <w:r w:rsidRPr="00BA14DD">
      <w:rPr>
        <w:rStyle w:val="HideTWBExt"/>
      </w:rPr>
      <w:t>&lt;NuPE&gt;</w:t>
    </w:r>
    <w:r>
      <w:t>PE631.622</w:t>
    </w:r>
    <w:r w:rsidRPr="00BA14DD">
      <w:rPr>
        <w:rStyle w:val="HideTWBExt"/>
      </w:rPr>
      <w:t>&lt;/NuPE&gt;</w:t>
    </w:r>
    <w:r>
      <w:t xml:space="preserve">/ </w:t>
    </w:r>
    <w:r>
      <w:fldChar w:fldCharType="begin"/>
    </w:r>
    <w:r>
      <w:instrText xml:space="preserve"> PAGE  \* MERGEFORMAT </w:instrText>
    </w:r>
    <w:r>
      <w:fldChar w:fldCharType="separate"/>
    </w:r>
    <w:r w:rsidR="006940CE">
      <w:rPr>
        <w:noProof/>
      </w:rPr>
      <w:t>1</w:t>
    </w:r>
    <w:r>
      <w:fldChar w:fldCharType="end"/>
    </w:r>
  </w:p>
  <w:p w:rsidR="00BA14DD" w:rsidRPr="00BA14DD" w:rsidRDefault="00BA14DD" w:rsidP="00BA14DD">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DD" w:rsidRDefault="00BA1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DDA" w:rsidRPr="00647859" w:rsidRDefault="00BE4DDA">
      <w:r w:rsidRPr="00647859">
        <w:separator/>
      </w:r>
    </w:p>
  </w:footnote>
  <w:footnote w:type="continuationSeparator" w:id="0">
    <w:p w:rsidR="00BE4DDA" w:rsidRPr="00647859" w:rsidRDefault="00BE4DDA">
      <w:r w:rsidRPr="0064785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DD" w:rsidRDefault="00BA1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DD" w:rsidRDefault="00BA1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DD" w:rsidRDefault="00BA1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61/2018"/>
    <w:docVar w:name="dvlangue" w:val="FI"/>
    <w:docVar w:name="dvnumam" w:val="30"/>
    <w:docVar w:name="dvpe" w:val="627.022"/>
    <w:docVar w:name="dvrapporteur" w:val="Esittelijä: "/>
    <w:docVar w:name="dvtitre" w:val="Euroopan parlamentin lainsäädäntöpäätöslauselma xx. tammikuuta 2019 ehdotuksesta Euroopan parlamentin ja neuvoston asetukseksi unionin WTO-luetteloon sisältyvien tariffikiintiöiden jakamisesta Yhdistyneen kuningaskunnan unionista eroamisen vuoksi ja neuvoston asetuksen (EY) N:o 32/2000 muuttamisesta(COM(2018)0312 – C8-0202/2018– 2018/0158(COD))"/>
    <w:docVar w:name="TA_Comm_A5Nr" w:val="A8-0361/2018"/>
    <w:docVar w:name="TA_Comm_Langue" w:val="FI"/>
    <w:docVar w:name="TA_Comm_NrAM" w:val="001-016"/>
    <w:docVar w:name="TA_Type" w:val="TA_COMM"/>
  </w:docVars>
  <w:rsids>
    <w:rsidRoot w:val="00BE4DDA"/>
    <w:rsid w:val="00002272"/>
    <w:rsid w:val="000677B9"/>
    <w:rsid w:val="00090E20"/>
    <w:rsid w:val="000E7DD9"/>
    <w:rsid w:val="0010095E"/>
    <w:rsid w:val="00125B37"/>
    <w:rsid w:val="001C4EFF"/>
    <w:rsid w:val="002767FF"/>
    <w:rsid w:val="002B5493"/>
    <w:rsid w:val="00361C00"/>
    <w:rsid w:val="00395FA1"/>
    <w:rsid w:val="003E15D4"/>
    <w:rsid w:val="00411CCE"/>
    <w:rsid w:val="0041666E"/>
    <w:rsid w:val="00421060"/>
    <w:rsid w:val="00494A28"/>
    <w:rsid w:val="0050519A"/>
    <w:rsid w:val="005072A1"/>
    <w:rsid w:val="00514517"/>
    <w:rsid w:val="006037C0"/>
    <w:rsid w:val="00647859"/>
    <w:rsid w:val="00680577"/>
    <w:rsid w:val="006940CE"/>
    <w:rsid w:val="006F74FA"/>
    <w:rsid w:val="00731ADD"/>
    <w:rsid w:val="00734777"/>
    <w:rsid w:val="00751A4A"/>
    <w:rsid w:val="00756632"/>
    <w:rsid w:val="007D1690"/>
    <w:rsid w:val="008511B9"/>
    <w:rsid w:val="00865F67"/>
    <w:rsid w:val="00881A7B"/>
    <w:rsid w:val="008840E5"/>
    <w:rsid w:val="008C2AC6"/>
    <w:rsid w:val="008C5673"/>
    <w:rsid w:val="009509D8"/>
    <w:rsid w:val="00981893"/>
    <w:rsid w:val="00A4678D"/>
    <w:rsid w:val="00AF3B82"/>
    <w:rsid w:val="00B558F0"/>
    <w:rsid w:val="00BA14DD"/>
    <w:rsid w:val="00BD7BD8"/>
    <w:rsid w:val="00BE4DDA"/>
    <w:rsid w:val="00C05BFE"/>
    <w:rsid w:val="00C23CD4"/>
    <w:rsid w:val="00C941CB"/>
    <w:rsid w:val="00CC2357"/>
    <w:rsid w:val="00CC5C05"/>
    <w:rsid w:val="00D058B8"/>
    <w:rsid w:val="00D834A0"/>
    <w:rsid w:val="00D91E21"/>
    <w:rsid w:val="00DC7D65"/>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DB65C8-C0EE-4F34-ACED-019F57F8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05"/>
    <w:pPr>
      <w:widowControl w:val="0"/>
    </w:pPr>
    <w:rPr>
      <w:sz w:val="24"/>
      <w:lang w:val="fi-F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090E20"/>
    <w:rPr>
      <w:sz w:val="24"/>
      <w:lang w:val="fi-FI"/>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090E20"/>
    <w:rPr>
      <w:b/>
      <w:sz w:val="24"/>
      <w:lang w:val="fi-FI"/>
    </w:rPr>
  </w:style>
  <w:style w:type="paragraph" w:customStyle="1" w:styleId="Normal12Italic">
    <w:name w:val="Normal12Italic"/>
    <w:basedOn w:val="Normal"/>
    <w:rsid w:val="00090E20"/>
    <w:pPr>
      <w:spacing w:before="240"/>
    </w:pPr>
    <w:rPr>
      <w:i/>
    </w:rPr>
  </w:style>
  <w:style w:type="paragraph" w:customStyle="1" w:styleId="CrossRef">
    <w:name w:val="CrossRef"/>
    <w:basedOn w:val="Normal"/>
    <w:rsid w:val="00090E20"/>
    <w:pPr>
      <w:spacing w:before="240"/>
      <w:jc w:val="center"/>
    </w:pPr>
    <w:rPr>
      <w:i/>
    </w:rPr>
  </w:style>
  <w:style w:type="paragraph" w:customStyle="1" w:styleId="JustificationTitle">
    <w:name w:val="JustificationTitle"/>
    <w:basedOn w:val="Normal"/>
    <w:next w:val="Normal12"/>
    <w:rsid w:val="00090E20"/>
    <w:pPr>
      <w:keepNext/>
      <w:spacing w:before="240"/>
      <w:jc w:val="center"/>
    </w:pPr>
    <w:rPr>
      <w:i/>
    </w:rPr>
  </w:style>
  <w:style w:type="paragraph" w:customStyle="1" w:styleId="ColumnHeading">
    <w:name w:val="ColumnHeading"/>
    <w:basedOn w:val="Normal"/>
    <w:rsid w:val="00090E20"/>
    <w:pPr>
      <w:spacing w:after="240"/>
      <w:jc w:val="center"/>
    </w:pPr>
    <w:rPr>
      <w:i/>
    </w:rPr>
  </w:style>
  <w:style w:type="paragraph" w:customStyle="1" w:styleId="AMNumberTabs">
    <w:name w:val="AMNumberTabs"/>
    <w:basedOn w:val="Normal"/>
    <w:rsid w:val="00CC5C05"/>
    <w:pPr>
      <w:keepNext/>
      <w:spacing w:before="240"/>
    </w:pPr>
    <w:rPr>
      <w:b/>
    </w:rPr>
  </w:style>
  <w:style w:type="paragraph" w:customStyle="1" w:styleId="NormalBold12b">
    <w:name w:val="NormalBold12b"/>
    <w:basedOn w:val="Normal"/>
    <w:rsid w:val="00CC5C05"/>
    <w:pPr>
      <w:keepNext/>
      <w:spacing w:before="240"/>
    </w:pPr>
    <w:rPr>
      <w:b/>
    </w:rPr>
  </w:style>
  <w:style w:type="character" w:customStyle="1" w:styleId="Sup">
    <w:name w:val="Sup"/>
    <w:rsid w:val="00090E20"/>
    <w:rPr>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2371</Words>
  <Characters>19014</Characters>
  <Application>Microsoft Office Word</Application>
  <DocSecurity>0</DocSecurity>
  <Lines>704</Lines>
  <Paragraphs>178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KINNUNEN Hannele</dc:creator>
  <cp:keywords/>
  <cp:lastModifiedBy>KINNUNEN Hannele</cp:lastModifiedBy>
  <cp:revision>2</cp:revision>
  <cp:lastPrinted>2004-11-19T15:42:00Z</cp:lastPrinted>
  <dcterms:created xsi:type="dcterms:W3CDTF">2019-01-09T10:07:00Z</dcterms:created>
  <dcterms:modified xsi:type="dcterms:W3CDTF">2019-01-09T10:07:00Z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A8-0361_001-016</vt:lpwstr>
  </property>
  <property fmtid="{D5CDD505-2E9C-101B-9397-08002B2CF9AE}" pid="4" name="&lt;Type&gt;">
    <vt:lpwstr>AM</vt:lpwstr>
  </property>
</Properties>
</file>