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A527D5" w:rsidTr="006F7907">
        <w:trPr>
          <w:trHeight w:hRule="exact" w:val="1418"/>
        </w:trPr>
        <w:tc>
          <w:tcPr>
            <w:tcW w:w="6804" w:type="dxa"/>
            <w:shd w:val="clear" w:color="auto" w:fill="auto"/>
            <w:vAlign w:val="center"/>
          </w:tcPr>
          <w:p w:rsidR="006F7907" w:rsidRPr="00A527D5" w:rsidRDefault="006F7A23" w:rsidP="00FD1DEF">
            <w:pPr>
              <w:pStyle w:val="EPName"/>
              <w:rPr>
                <w:noProof/>
              </w:rPr>
            </w:pPr>
            <w:r>
              <w:t>Europaparlamentet</w:t>
            </w:r>
          </w:p>
          <w:p w:rsidR="006F7907" w:rsidRPr="00A527D5" w:rsidRDefault="0040054F" w:rsidP="0040054F">
            <w:pPr>
              <w:pStyle w:val="EPTerm"/>
              <w:rPr>
                <w:rStyle w:val="HideTWBExt"/>
                <w:vanish w:val="0"/>
                <w:color w:val="auto"/>
              </w:rPr>
            </w:pPr>
            <w:r>
              <w:t>2014-2019</w:t>
            </w:r>
          </w:p>
        </w:tc>
        <w:tc>
          <w:tcPr>
            <w:tcW w:w="2268" w:type="dxa"/>
            <w:shd w:val="clear" w:color="auto" w:fill="auto"/>
          </w:tcPr>
          <w:p w:rsidR="006F7907" w:rsidRPr="00A527D5" w:rsidRDefault="007358DF" w:rsidP="00896BB4">
            <w:pPr>
              <w:pStyle w:val="EPLogo"/>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0.4pt">
                  <v:imagedata r:id="rId8" o:title="EP logo RGB_Mute"/>
                </v:shape>
              </w:pict>
            </w:r>
          </w:p>
        </w:tc>
      </w:tr>
    </w:tbl>
    <w:p w:rsidR="00461601" w:rsidRPr="00A527D5" w:rsidRDefault="00461601" w:rsidP="00461601">
      <w:pPr>
        <w:pStyle w:val="LineTop"/>
        <w:rPr>
          <w:noProof/>
        </w:rPr>
      </w:pPr>
    </w:p>
    <w:p w:rsidR="00461601" w:rsidRPr="00A527D5" w:rsidRDefault="00073B57" w:rsidP="00461601">
      <w:pPr>
        <w:pStyle w:val="ZCommittee"/>
        <w:rPr>
          <w:noProof/>
        </w:rPr>
      </w:pPr>
      <w:r>
        <w:t>Plenarhandling</w:t>
      </w:r>
    </w:p>
    <w:p w:rsidR="00461601" w:rsidRPr="00A527D5" w:rsidRDefault="00461601" w:rsidP="00461601">
      <w:pPr>
        <w:pStyle w:val="LineBottom"/>
        <w:rPr>
          <w:noProof/>
        </w:rPr>
      </w:pPr>
    </w:p>
    <w:p w:rsidR="00793EA9" w:rsidRPr="00A527D5" w:rsidRDefault="00073B57">
      <w:pPr>
        <w:pStyle w:val="RefProc"/>
        <w:rPr>
          <w:noProof/>
        </w:rPr>
      </w:pPr>
      <w:r>
        <w:rPr>
          <w:rStyle w:val="HideTWBExt"/>
        </w:rPr>
        <w:t>&lt;NoDocSe&gt;</w:t>
      </w:r>
      <w:r w:rsidRPr="00E775E0">
        <w:t>A8-0370/2018</w:t>
      </w:r>
      <w:r>
        <w:rPr>
          <w:rStyle w:val="HideTWBExt"/>
        </w:rPr>
        <w:t>&lt;/NoDocSe&gt;</w:t>
      </w:r>
    </w:p>
    <w:p w:rsidR="00793EA9" w:rsidRPr="00A527D5" w:rsidRDefault="00793EA9">
      <w:pPr>
        <w:pStyle w:val="ZDate"/>
        <w:rPr>
          <w:noProof/>
        </w:rPr>
      </w:pPr>
      <w:r>
        <w:rPr>
          <w:rStyle w:val="HideTWBExt"/>
        </w:rPr>
        <w:t>&lt;Date&gt;</w:t>
      </w:r>
      <w:r w:rsidRPr="00E775E0">
        <w:rPr>
          <w:rStyle w:val="HideTWBInt"/>
          <w:color w:val="auto"/>
        </w:rPr>
        <w:t>{19/11/2018}</w:t>
      </w:r>
      <w:r w:rsidRPr="00E775E0">
        <w:t>19.11.2018</w:t>
      </w:r>
      <w:r>
        <w:rPr>
          <w:rStyle w:val="HideTWBExt"/>
        </w:rPr>
        <w:t>&lt;/Date&gt;</w:t>
      </w:r>
    </w:p>
    <w:p w:rsidR="00793EA9" w:rsidRPr="00A527D5" w:rsidRDefault="00793EA9">
      <w:pPr>
        <w:pStyle w:val="StarsAndIs"/>
        <w:rPr>
          <w:noProof/>
        </w:rPr>
      </w:pPr>
      <w:r>
        <w:rPr>
          <w:rStyle w:val="HideTWBExt"/>
          <w:b w:val="0"/>
        </w:rPr>
        <w:t>&lt;RefProcLect&gt;</w:t>
      </w:r>
      <w:r w:rsidRPr="00E775E0">
        <w:t>***I</w:t>
      </w:r>
      <w:r>
        <w:rPr>
          <w:rStyle w:val="HideTWBExt"/>
          <w:b w:val="0"/>
        </w:rPr>
        <w:t>&lt;/RefProcLect&gt;</w:t>
      </w:r>
    </w:p>
    <w:p w:rsidR="00793EA9" w:rsidRPr="00A527D5" w:rsidRDefault="00793EA9">
      <w:pPr>
        <w:pStyle w:val="TypeDoc"/>
        <w:rPr>
          <w:noProof/>
        </w:rPr>
      </w:pPr>
      <w:r>
        <w:rPr>
          <w:rStyle w:val="HideTWBExt"/>
          <w:b w:val="0"/>
        </w:rPr>
        <w:t>&lt;TitreType&gt;</w:t>
      </w:r>
      <w:r w:rsidRPr="00E775E0">
        <w:t>BETÄNKANDE</w:t>
      </w:r>
      <w:r>
        <w:rPr>
          <w:rStyle w:val="HideTWBExt"/>
          <w:b w:val="0"/>
        </w:rPr>
        <w:t>&lt;/TitreType&gt;</w:t>
      </w:r>
    </w:p>
    <w:p w:rsidR="00793EA9" w:rsidRPr="00A527D5" w:rsidRDefault="00793EA9">
      <w:pPr>
        <w:pStyle w:val="CoverNormal"/>
        <w:rPr>
          <w:noProof/>
        </w:rPr>
      </w:pPr>
      <w:r>
        <w:rPr>
          <w:rStyle w:val="HideTWBExt"/>
        </w:rPr>
        <w:t>&lt;Titre&gt;</w:t>
      </w:r>
      <w:r>
        <w:t>om förslaget till Europaparlamentets och rådets förordning om ändring av Europaparlamentets och rådets förordning (EU) nr 516/2014 vad gäller förnyade åtaganden för de återstående belopp som anslagits till stöd för genomförandet av rådets beslut (EU) 2015/1523 och (EU) 2015/1601 eller omfördelning av dessa till andra åtgärder inom ramen för de nationella programmen</w:t>
      </w:r>
      <w:r>
        <w:rPr>
          <w:rStyle w:val="HideTWBExt"/>
        </w:rPr>
        <w:t>&lt;/Titre&gt;</w:t>
      </w:r>
    </w:p>
    <w:p w:rsidR="00793EA9" w:rsidRPr="00A527D5" w:rsidRDefault="00793EA9">
      <w:pPr>
        <w:pStyle w:val="Cover24"/>
        <w:rPr>
          <w:noProof/>
        </w:rPr>
      </w:pPr>
      <w:r>
        <w:rPr>
          <w:rStyle w:val="HideTWBExt"/>
        </w:rPr>
        <w:t>&lt;DocRef&gt;</w:t>
      </w:r>
      <w:r w:rsidRPr="00E775E0">
        <w:t>(COM(2018)0719 – C8-0448/2018 – 2018/0371(COD))</w:t>
      </w:r>
      <w:r>
        <w:rPr>
          <w:rStyle w:val="HideTWBExt"/>
        </w:rPr>
        <w:t>&lt;/DocRef&gt;</w:t>
      </w:r>
    </w:p>
    <w:p w:rsidR="00793EA9" w:rsidRPr="00A527D5" w:rsidRDefault="00793EA9">
      <w:pPr>
        <w:pStyle w:val="Cover24"/>
        <w:rPr>
          <w:noProof/>
        </w:rPr>
      </w:pPr>
      <w:r>
        <w:rPr>
          <w:rStyle w:val="HideTWBExt"/>
        </w:rPr>
        <w:t>&lt;Commission&gt;</w:t>
      </w:r>
      <w:r w:rsidRPr="00E775E0">
        <w:rPr>
          <w:rStyle w:val="HideTWBInt"/>
          <w:color w:val="auto"/>
        </w:rPr>
        <w:t>{LIBE}</w:t>
      </w:r>
      <w:r w:rsidRPr="00E775E0">
        <w:t>Utskottet för medborgerliga fri- och rättigheter samt rättsliga och inrikes frågor</w:t>
      </w:r>
      <w:r>
        <w:rPr>
          <w:rStyle w:val="HideTWBExt"/>
        </w:rPr>
        <w:t>&lt;/Commission&gt;</w:t>
      </w:r>
    </w:p>
    <w:p w:rsidR="00793EA9" w:rsidRPr="007358DF" w:rsidRDefault="006F7A23">
      <w:pPr>
        <w:pStyle w:val="Cover24"/>
        <w:rPr>
          <w:noProof/>
          <w:lang w:val="pt-PT"/>
        </w:rPr>
      </w:pPr>
      <w:r w:rsidRPr="007358DF">
        <w:rPr>
          <w:lang w:val="pt-PT"/>
        </w:rPr>
        <w:t xml:space="preserve">Föredragande: </w:t>
      </w:r>
      <w:r>
        <w:rPr>
          <w:rStyle w:val="HideTWBExt"/>
          <w:lang w:val="pt-PT"/>
        </w:rPr>
        <w:t>&lt;Depute&gt;</w:t>
      </w:r>
      <w:r w:rsidRPr="007358DF">
        <w:rPr>
          <w:lang w:val="pt-PT"/>
        </w:rPr>
        <w:t>Miriam Dalli</w:t>
      </w:r>
      <w:r>
        <w:rPr>
          <w:rStyle w:val="HideTWBExt"/>
          <w:lang w:val="pt-PT"/>
        </w:rPr>
        <w:t>&lt;/Depute&gt;</w:t>
      </w:r>
    </w:p>
    <w:p w:rsidR="001C5B44" w:rsidRPr="00FD4DF0" w:rsidRDefault="001C5B44" w:rsidP="001C5B44">
      <w:pPr>
        <w:pStyle w:val="CoverNormal"/>
        <w:rPr>
          <w:noProof/>
          <w:lang w:val="pt-PT"/>
        </w:rPr>
      </w:pPr>
    </w:p>
    <w:p w:rsidR="00793EA9" w:rsidRPr="007358DF" w:rsidRDefault="00793EA9" w:rsidP="00187008">
      <w:pPr>
        <w:widowControl/>
        <w:tabs>
          <w:tab w:val="center" w:pos="4677"/>
        </w:tabs>
        <w:rPr>
          <w:noProof/>
          <w:lang w:val="pt-PT"/>
        </w:rPr>
      </w:pPr>
      <w:r w:rsidRPr="007358DF">
        <w:rPr>
          <w:lang w:val="pt-PT"/>
        </w:rPr>
        <w:br w:type="page"/>
      </w:r>
    </w:p>
    <w:p w:rsidR="0040054F" w:rsidRPr="007358DF" w:rsidRDefault="006E3170">
      <w:pPr>
        <w:rPr>
          <w:noProof/>
          <w:lang w:val="pt-PT"/>
        </w:rPr>
      </w:pPr>
      <w:r>
        <w:fldChar w:fldCharType="begin"/>
      </w:r>
      <w:r w:rsidRPr="007358DF">
        <w:rPr>
          <w:lang w:val="pt-PT"/>
        </w:rPr>
        <w:instrText xml:space="preserve"> TITLE  \* MERGEFORMAT </w:instrText>
      </w:r>
      <w:r>
        <w:fldChar w:fldCharType="separate"/>
      </w:r>
      <w:r w:rsidR="007358DF">
        <w:rPr>
          <w:noProof/>
          <w:lang w:val="pt-PT"/>
        </w:rPr>
        <w:t>PR_COD_1amCom</w:t>
      </w:r>
      <w:r>
        <w:rPr>
          <w:noProof/>
        </w:rPr>
        <w:fldChar w:fldCharType="end"/>
      </w:r>
    </w:p>
    <w:p w:rsidR="0040054F" w:rsidRPr="00FD4DF0" w:rsidRDefault="0040054F">
      <w:pPr>
        <w:rPr>
          <w:noProof/>
          <w:lang w:val="pt-PT"/>
        </w:rPr>
      </w:pPr>
    </w:p>
    <w:p w:rsidR="0040054F" w:rsidRPr="00FD4DF0" w:rsidRDefault="0040054F">
      <w:pPr>
        <w:rPr>
          <w:noProof/>
          <w:lang w:val="pt-PT"/>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40054F" w:rsidRPr="00A527D5">
        <w:tc>
          <w:tcPr>
            <w:tcW w:w="5811" w:type="dxa"/>
          </w:tcPr>
          <w:p w:rsidR="0040054F" w:rsidRPr="00A527D5" w:rsidRDefault="0040054F">
            <w:pPr>
              <w:pStyle w:val="Lgendetitre"/>
              <w:rPr>
                <w:noProof/>
              </w:rPr>
            </w:pPr>
            <w:r>
              <w:t>Teckenförklaring</w:t>
            </w:r>
          </w:p>
        </w:tc>
      </w:tr>
      <w:tr w:rsidR="0040054F" w:rsidRPr="00A527D5" w:rsidTr="00C50C36">
        <w:trPr>
          <w:cantSplit/>
          <w:trHeight w:val="1944"/>
        </w:trPr>
        <w:tc>
          <w:tcPr>
            <w:tcW w:w="5811" w:type="dxa"/>
            <w:tcBorders>
              <w:bottom w:val="single" w:sz="4" w:space="0" w:color="auto"/>
            </w:tcBorders>
          </w:tcPr>
          <w:p w:rsidR="0040054F" w:rsidRPr="00A527D5" w:rsidRDefault="0040054F">
            <w:pPr>
              <w:pStyle w:val="Lgendesigne"/>
              <w:rPr>
                <w:noProof/>
              </w:rPr>
            </w:pPr>
            <w:r>
              <w:tab/>
              <w:t>*</w:t>
            </w:r>
            <w:r>
              <w:tab/>
              <w:t>Samrådsförfarande</w:t>
            </w:r>
          </w:p>
          <w:p w:rsidR="0040054F" w:rsidRPr="00A527D5" w:rsidRDefault="0040054F">
            <w:pPr>
              <w:pStyle w:val="Lgendesigne"/>
              <w:rPr>
                <w:noProof/>
              </w:rPr>
            </w:pPr>
            <w:r>
              <w:tab/>
              <w:t>***</w:t>
            </w:r>
            <w:r>
              <w:tab/>
              <w:t>Godkännandeförfarande</w:t>
            </w:r>
          </w:p>
          <w:p w:rsidR="0040054F" w:rsidRPr="00A527D5" w:rsidRDefault="0040054F">
            <w:pPr>
              <w:pStyle w:val="Lgendesigne"/>
              <w:rPr>
                <w:noProof/>
              </w:rPr>
            </w:pPr>
            <w:r>
              <w:tab/>
              <w:t>***I</w:t>
            </w:r>
            <w:r>
              <w:tab/>
              <w:t>Ordinarie lagstiftningsförfarande (första behandlingen)</w:t>
            </w:r>
          </w:p>
          <w:p w:rsidR="0040054F" w:rsidRPr="00A527D5" w:rsidRDefault="0040054F">
            <w:pPr>
              <w:pStyle w:val="Lgendesigne"/>
              <w:rPr>
                <w:noProof/>
              </w:rPr>
            </w:pPr>
            <w:r>
              <w:tab/>
              <w:t>***II</w:t>
            </w:r>
            <w:r>
              <w:tab/>
              <w:t>Ordinarie lagstiftningsförfarande (andra behandlingen)</w:t>
            </w:r>
          </w:p>
          <w:p w:rsidR="0040054F" w:rsidRPr="00A527D5" w:rsidRDefault="0040054F">
            <w:pPr>
              <w:pStyle w:val="Lgendesigne"/>
              <w:rPr>
                <w:noProof/>
              </w:rPr>
            </w:pPr>
            <w:r>
              <w:tab/>
              <w:t>***III</w:t>
            </w:r>
            <w:r>
              <w:tab/>
              <w:t>Ordinarie lagstiftningsförfarande (tredje behandlingen)</w:t>
            </w:r>
          </w:p>
          <w:p w:rsidR="0040054F" w:rsidRPr="00A527D5" w:rsidRDefault="0040054F">
            <w:pPr>
              <w:pStyle w:val="Lgendesigne"/>
              <w:ind w:left="0" w:firstLine="0"/>
              <w:rPr>
                <w:noProof/>
              </w:rPr>
            </w:pPr>
          </w:p>
          <w:p w:rsidR="0040054F" w:rsidRPr="00A527D5" w:rsidRDefault="0040054F">
            <w:pPr>
              <w:pStyle w:val="Lgendestandard"/>
              <w:rPr>
                <w:noProof/>
              </w:rPr>
            </w:pPr>
            <w:r>
              <w:t>(Det angivna förfarandet baseras på den rättsliga grund som angetts i förslaget till akt.)</w:t>
            </w:r>
          </w:p>
          <w:p w:rsidR="0040054F" w:rsidRPr="00A527D5" w:rsidRDefault="0040054F">
            <w:pPr>
              <w:pStyle w:val="Lgendesigne"/>
              <w:ind w:left="0" w:firstLine="0"/>
              <w:rPr>
                <w:noProof/>
              </w:rPr>
            </w:pPr>
          </w:p>
        </w:tc>
      </w:tr>
    </w:tbl>
    <w:p w:rsidR="0040054F" w:rsidRPr="00A527D5" w:rsidRDefault="0040054F">
      <w:pPr>
        <w:rPr>
          <w:noProof/>
        </w:rPr>
      </w:pPr>
    </w:p>
    <w:p w:rsidR="0040054F" w:rsidRPr="00A527D5" w:rsidRDefault="0040054F">
      <w:pPr>
        <w:rPr>
          <w:noProof/>
        </w:rPr>
      </w:pPr>
    </w:p>
    <w:p w:rsidR="0040054F" w:rsidRPr="00A527D5" w:rsidRDefault="0040054F">
      <w:pPr>
        <w:rPr>
          <w:noProof/>
        </w:rPr>
      </w:pPr>
    </w:p>
    <w:p w:rsidR="0040054F" w:rsidRPr="00A527D5" w:rsidRDefault="0040054F">
      <w:pPr>
        <w:rPr>
          <w:noProof/>
        </w:rPr>
      </w:pPr>
    </w:p>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40054F" w:rsidRPr="00A527D5">
        <w:tc>
          <w:tcPr>
            <w:tcW w:w="5811" w:type="dxa"/>
          </w:tcPr>
          <w:p w:rsidR="0040054F" w:rsidRPr="00A527D5" w:rsidRDefault="0040054F">
            <w:pPr>
              <w:pStyle w:val="Lgendetitre"/>
              <w:rPr>
                <w:noProof/>
              </w:rPr>
            </w:pPr>
            <w:r>
              <w:t>Ändringsförslag till ett förslag till akt</w:t>
            </w:r>
          </w:p>
        </w:tc>
      </w:tr>
      <w:tr w:rsidR="0040054F" w:rsidRPr="00A527D5">
        <w:tc>
          <w:tcPr>
            <w:tcW w:w="5811" w:type="dxa"/>
          </w:tcPr>
          <w:p w:rsidR="0040054F" w:rsidRPr="00A527D5" w:rsidRDefault="0040054F" w:rsidP="00A55AC8">
            <w:pPr>
              <w:pStyle w:val="Lgendestandard"/>
              <w:rPr>
                <w:noProof/>
                <w:szCs w:val="24"/>
              </w:rPr>
            </w:pPr>
            <w:r>
              <w:rPr>
                <w:b/>
                <w:szCs w:val="24"/>
              </w:rPr>
              <w:t>När parlamentets ändringsförslag utformas i två spalter gäller följande:</w:t>
            </w:r>
          </w:p>
          <w:p w:rsidR="0040054F" w:rsidRPr="00A527D5" w:rsidRDefault="0040054F" w:rsidP="00A55AC8">
            <w:pPr>
              <w:pStyle w:val="Lgendestandard"/>
              <w:rPr>
                <w:noProof/>
                <w:szCs w:val="24"/>
              </w:rPr>
            </w:pPr>
          </w:p>
          <w:p w:rsidR="0040054F" w:rsidRPr="00A527D5" w:rsidRDefault="0040054F" w:rsidP="00A55AC8">
            <w:pPr>
              <w:pStyle w:val="Lgendestandard"/>
              <w:rPr>
                <w:noProof/>
                <w:szCs w:val="24"/>
              </w:rPr>
            </w:pPr>
            <w:r>
              <w:t xml:space="preserve">Text som utgår markeras med </w:t>
            </w:r>
            <w:r>
              <w:rPr>
                <w:b/>
                <w:i/>
              </w:rPr>
              <w:t>fetkursiv stil</w:t>
            </w:r>
            <w:r>
              <w:t xml:space="preserve"> i vänsterspalten. Text som ersätts markeras med </w:t>
            </w:r>
            <w:r>
              <w:rPr>
                <w:b/>
                <w:i/>
              </w:rPr>
              <w:t>fetkursiv stil</w:t>
            </w:r>
            <w:r>
              <w:t xml:space="preserve"> i båda spalterna. Ny text markeras med </w:t>
            </w:r>
            <w:r>
              <w:rPr>
                <w:b/>
                <w:i/>
              </w:rPr>
              <w:t>fetkursiv stil</w:t>
            </w:r>
            <w:r>
              <w:t xml:space="preserve"> i högerspalten.</w:t>
            </w:r>
          </w:p>
          <w:p w:rsidR="0040054F" w:rsidRPr="00A527D5" w:rsidRDefault="0040054F" w:rsidP="00A55AC8">
            <w:pPr>
              <w:pStyle w:val="Lgendestandard"/>
              <w:rPr>
                <w:noProof/>
                <w:szCs w:val="24"/>
              </w:rPr>
            </w:pPr>
          </w:p>
          <w:p w:rsidR="0040054F" w:rsidRPr="00A527D5" w:rsidRDefault="0040054F" w:rsidP="00A55AC8">
            <w:pPr>
              <w:pStyle w:val="Lgendestandard"/>
              <w:rPr>
                <w:noProof/>
                <w:szCs w:val="24"/>
              </w:rPr>
            </w:pPr>
            <w:r>
              <w:t>De två första raderna i hänvisningen ovanför varje ändringsförslag anger vilket textavsnitt som avses i det förslag till akt som behandlas. Om ett ändringsförslag avser en befintlig akt som förslaget till akt är avsett att ändra innehåller hänvisningen även en tredje och en fjärde rad. Den tredje raden anger den befintliga akten och den fjärde vilken bestämmelse i denna akt som ändringsförslaget avser.</w:t>
            </w:r>
          </w:p>
          <w:p w:rsidR="0040054F" w:rsidRPr="00A527D5" w:rsidRDefault="0040054F" w:rsidP="00A55AC8">
            <w:pPr>
              <w:pStyle w:val="Lgendestandard"/>
              <w:rPr>
                <w:noProof/>
                <w:szCs w:val="24"/>
              </w:rPr>
            </w:pPr>
          </w:p>
          <w:p w:rsidR="0040054F" w:rsidRPr="00A527D5" w:rsidRDefault="0040054F" w:rsidP="00A55AC8">
            <w:pPr>
              <w:pStyle w:val="Lgendestandard"/>
              <w:rPr>
                <w:b/>
                <w:noProof/>
                <w:szCs w:val="24"/>
              </w:rPr>
            </w:pPr>
            <w:r>
              <w:rPr>
                <w:b/>
                <w:szCs w:val="24"/>
              </w:rPr>
              <w:t>När parlamentets ändringsförslag utformas som en konsoliderad text gäller följande:</w:t>
            </w:r>
          </w:p>
          <w:p w:rsidR="0040054F" w:rsidRPr="00A527D5" w:rsidRDefault="0040054F" w:rsidP="00A55AC8">
            <w:pPr>
              <w:pStyle w:val="Lgendestandard"/>
              <w:rPr>
                <w:noProof/>
                <w:szCs w:val="24"/>
              </w:rPr>
            </w:pPr>
          </w:p>
          <w:p w:rsidR="0040054F" w:rsidRPr="00A527D5" w:rsidRDefault="0040054F" w:rsidP="00A55AC8">
            <w:pPr>
              <w:pStyle w:val="Lgendestandard"/>
              <w:rPr>
                <w:noProof/>
                <w:szCs w:val="24"/>
              </w:rPr>
            </w:pPr>
            <w:r>
              <w:t xml:space="preserve">Nya textdelar markeras med </w:t>
            </w:r>
            <w:r>
              <w:rPr>
                <w:b/>
                <w:i/>
              </w:rPr>
              <w:t>fetkursiv stil.</w:t>
            </w:r>
            <w:r>
              <w:t xml:space="preserve"> Textdelar som utgår markeras med symbolen ▌eller med genomstrykning. Textdelar som ersätts anges genom att ny text markeras med </w:t>
            </w:r>
            <w:r>
              <w:rPr>
                <w:b/>
                <w:i/>
              </w:rPr>
              <w:t>fetkursiv stil</w:t>
            </w:r>
            <w:r>
              <w:t xml:space="preserve"> och text som utgår stryks eller markeras med genomstrykning. </w:t>
            </w:r>
          </w:p>
          <w:p w:rsidR="0040054F" w:rsidRPr="00A527D5" w:rsidRDefault="0040054F" w:rsidP="00A55AC8">
            <w:pPr>
              <w:pStyle w:val="Lgendestandard"/>
              <w:rPr>
                <w:noProof/>
                <w:szCs w:val="24"/>
              </w:rPr>
            </w:pPr>
            <w:r>
              <w:t>Sådana ändringar som endast är tekniska och som gjorts av de berörda avdelningarna vid färdigställandet av den slutliga texten markeras däremot inte.</w:t>
            </w:r>
          </w:p>
          <w:p w:rsidR="0040054F" w:rsidRPr="00A527D5" w:rsidRDefault="0040054F">
            <w:pPr>
              <w:pStyle w:val="Lgendestandard"/>
              <w:rPr>
                <w:noProof/>
              </w:rPr>
            </w:pPr>
          </w:p>
        </w:tc>
      </w:tr>
    </w:tbl>
    <w:p w:rsidR="0040054F" w:rsidRPr="00A527D5" w:rsidRDefault="0040054F">
      <w:pPr>
        <w:rPr>
          <w:noProof/>
        </w:rPr>
      </w:pPr>
    </w:p>
    <w:p w:rsidR="00793EA9" w:rsidRPr="00A527D5" w:rsidRDefault="00793EA9" w:rsidP="00012351">
      <w:pPr>
        <w:widowControl/>
        <w:tabs>
          <w:tab w:val="center" w:pos="4677"/>
        </w:tabs>
        <w:rPr>
          <w:noProof/>
        </w:rPr>
      </w:pPr>
    </w:p>
    <w:p w:rsidR="00793EA9" w:rsidRPr="00A527D5" w:rsidRDefault="00793EA9">
      <w:pPr>
        <w:pStyle w:val="TOCHeading"/>
        <w:rPr>
          <w:noProof/>
        </w:rPr>
      </w:pPr>
      <w:r>
        <w:br w:type="page"/>
      </w:r>
      <w:r>
        <w:lastRenderedPageBreak/>
        <w:t>INNEHÅLL</w:t>
      </w:r>
    </w:p>
    <w:p w:rsidR="00793EA9" w:rsidRPr="00A527D5" w:rsidRDefault="006F7A23">
      <w:pPr>
        <w:pStyle w:val="TOCPage"/>
        <w:rPr>
          <w:noProof/>
        </w:rPr>
      </w:pPr>
      <w:r>
        <w:t>Sida</w:t>
      </w:r>
    </w:p>
    <w:p w:rsidR="007358DF" w:rsidRDefault="001767E2">
      <w:pPr>
        <w:pStyle w:val="TOC1"/>
        <w:tabs>
          <w:tab w:val="right" w:leader="dot" w:pos="9060"/>
        </w:tabs>
        <w:rPr>
          <w:rFonts w:asciiTheme="minorHAnsi" w:eastAsiaTheme="minorEastAsia" w:hAnsiTheme="minorHAnsi" w:cstheme="minorBidi"/>
          <w:noProof/>
          <w:sz w:val="22"/>
          <w:szCs w:val="22"/>
          <w:lang w:val="en-GB"/>
        </w:rPr>
      </w:pPr>
      <w:r w:rsidRPr="00A527D5">
        <w:rPr>
          <w:b/>
        </w:rPr>
        <w:fldChar w:fldCharType="begin"/>
      </w:r>
      <w:r w:rsidRPr="00A527D5">
        <w:rPr>
          <w:b/>
        </w:rPr>
        <w:instrText xml:space="preserve"> TOC \t "PageHeading</w:instrText>
      </w:r>
      <w:r w:rsidR="00073B57">
        <w:rPr>
          <w:b/>
        </w:rPr>
        <w:instrText>;</w:instrText>
      </w:r>
      <w:r w:rsidRPr="00A527D5">
        <w:rPr>
          <w:b/>
        </w:rPr>
        <w:instrText xml:space="preserve">1" </w:instrText>
      </w:r>
      <w:r w:rsidRPr="00A527D5">
        <w:rPr>
          <w:b/>
        </w:rPr>
        <w:fldChar w:fldCharType="separate"/>
      </w:r>
      <w:r w:rsidR="007358DF">
        <w:rPr>
          <w:noProof/>
        </w:rPr>
        <w:t>FÖRSLAG TILL EUROPAPARLAMENTETS LAGSTIFTNINGSRESOLUTION</w:t>
      </w:r>
      <w:r w:rsidR="007358DF">
        <w:rPr>
          <w:noProof/>
        </w:rPr>
        <w:tab/>
      </w:r>
      <w:r w:rsidR="007358DF">
        <w:rPr>
          <w:noProof/>
        </w:rPr>
        <w:fldChar w:fldCharType="begin"/>
      </w:r>
      <w:r w:rsidR="007358DF">
        <w:rPr>
          <w:noProof/>
        </w:rPr>
        <w:instrText xml:space="preserve"> PAGEREF _Toc531007180 \h </w:instrText>
      </w:r>
      <w:r w:rsidR="007358DF">
        <w:rPr>
          <w:noProof/>
        </w:rPr>
      </w:r>
      <w:r w:rsidR="007358DF">
        <w:rPr>
          <w:noProof/>
        </w:rPr>
        <w:fldChar w:fldCharType="separate"/>
      </w:r>
      <w:r w:rsidR="007358DF">
        <w:rPr>
          <w:noProof/>
        </w:rPr>
        <w:t>5</w:t>
      </w:r>
      <w:r w:rsidR="007358DF">
        <w:rPr>
          <w:noProof/>
        </w:rPr>
        <w:fldChar w:fldCharType="end"/>
      </w:r>
    </w:p>
    <w:p w:rsidR="007358DF" w:rsidRDefault="007358DF">
      <w:pPr>
        <w:pStyle w:val="TOC1"/>
        <w:tabs>
          <w:tab w:val="right" w:leader="dot" w:pos="9060"/>
        </w:tabs>
        <w:rPr>
          <w:rFonts w:asciiTheme="minorHAnsi" w:eastAsiaTheme="minorEastAsia" w:hAnsiTheme="minorHAnsi" w:cstheme="minorBidi"/>
          <w:noProof/>
          <w:sz w:val="22"/>
          <w:szCs w:val="22"/>
          <w:lang w:val="en-GB"/>
        </w:rPr>
      </w:pPr>
      <w:r>
        <w:rPr>
          <w:noProof/>
        </w:rPr>
        <w:t>ÄRENDETS GÅNG I DET ANSVARIGA UTSKOTTET</w:t>
      </w:r>
      <w:r>
        <w:rPr>
          <w:noProof/>
        </w:rPr>
        <w:tab/>
      </w:r>
      <w:r>
        <w:rPr>
          <w:noProof/>
        </w:rPr>
        <w:fldChar w:fldCharType="begin"/>
      </w:r>
      <w:r>
        <w:rPr>
          <w:noProof/>
        </w:rPr>
        <w:instrText xml:space="preserve"> PAGEREF _Toc531007181 \h </w:instrText>
      </w:r>
      <w:r>
        <w:rPr>
          <w:noProof/>
        </w:rPr>
      </w:r>
      <w:r>
        <w:rPr>
          <w:noProof/>
        </w:rPr>
        <w:fldChar w:fldCharType="separate"/>
      </w:r>
      <w:r>
        <w:rPr>
          <w:noProof/>
        </w:rPr>
        <w:t>14</w:t>
      </w:r>
      <w:r>
        <w:rPr>
          <w:noProof/>
        </w:rPr>
        <w:fldChar w:fldCharType="end"/>
      </w:r>
    </w:p>
    <w:p w:rsidR="007358DF" w:rsidRDefault="007358DF">
      <w:pPr>
        <w:pStyle w:val="TOC1"/>
        <w:tabs>
          <w:tab w:val="right" w:leader="dot" w:pos="9060"/>
        </w:tabs>
        <w:rPr>
          <w:rFonts w:asciiTheme="minorHAnsi" w:eastAsiaTheme="minorEastAsia" w:hAnsiTheme="minorHAnsi" w:cstheme="minorBidi"/>
          <w:noProof/>
          <w:sz w:val="22"/>
          <w:szCs w:val="22"/>
          <w:lang w:val="en-GB"/>
        </w:rPr>
      </w:pPr>
      <w:r>
        <w:rPr>
          <w:noProof/>
        </w:rPr>
        <w:t>SLUTOMRÖSTNING MED NAMNUPPROP I DET ANSVARIGA UTSKOTTET</w:t>
      </w:r>
      <w:r>
        <w:rPr>
          <w:noProof/>
        </w:rPr>
        <w:tab/>
      </w:r>
      <w:r>
        <w:rPr>
          <w:noProof/>
        </w:rPr>
        <w:fldChar w:fldCharType="begin"/>
      </w:r>
      <w:r>
        <w:rPr>
          <w:noProof/>
        </w:rPr>
        <w:instrText xml:space="preserve"> PAGEREF _Toc531007182 \h </w:instrText>
      </w:r>
      <w:r>
        <w:rPr>
          <w:noProof/>
        </w:rPr>
      </w:r>
      <w:r>
        <w:rPr>
          <w:noProof/>
        </w:rPr>
        <w:fldChar w:fldCharType="separate"/>
      </w:r>
      <w:r>
        <w:rPr>
          <w:noProof/>
        </w:rPr>
        <w:t>15</w:t>
      </w:r>
      <w:r>
        <w:rPr>
          <w:noProof/>
        </w:rPr>
        <w:fldChar w:fldCharType="end"/>
      </w:r>
    </w:p>
    <w:p w:rsidR="002346B0" w:rsidRPr="00A527D5" w:rsidRDefault="001767E2" w:rsidP="00FD4DF0">
      <w:r w:rsidRPr="00A527D5">
        <w:rPr>
          <w:b/>
        </w:rPr>
        <w:fldChar w:fldCharType="end"/>
      </w:r>
    </w:p>
    <w:p w:rsidR="00793EA9" w:rsidRPr="00A527D5" w:rsidRDefault="00793EA9">
      <w:pPr>
        <w:pStyle w:val="PageHeading"/>
        <w:rPr>
          <w:noProof/>
        </w:rPr>
      </w:pPr>
      <w:r>
        <w:br w:type="page"/>
      </w:r>
      <w:r>
        <w:lastRenderedPageBreak/>
        <w:br w:type="page"/>
      </w:r>
      <w:bookmarkStart w:id="0" w:name="_Toc531007180"/>
      <w:r>
        <w:lastRenderedPageBreak/>
        <w:t>FÖRSLAG TILL EUROPAPARLAMENTETS LAGSTIFTNINGSRESOLUTION</w:t>
      </w:r>
      <w:bookmarkEnd w:id="0"/>
    </w:p>
    <w:p w:rsidR="00793EA9" w:rsidRPr="00A527D5" w:rsidRDefault="006F7A23">
      <w:pPr>
        <w:pStyle w:val="NormalBold"/>
        <w:rPr>
          <w:noProof/>
        </w:rPr>
      </w:pPr>
      <w:r>
        <w:t>om förslaget till Europaparlamentets och rådets förordning om ändring av Europaparlamentets och rådets förordning (EU) nr 516/2014 vad gäller förnyade åtaganden för de återstående belopp som anslagits till stöd för genomförandet av rådets beslut (EU) 2015/1523 och (EU) 2015/1601 eller omfördelning av dessa till andra åtgärder inom ramen för de nationella programmen</w:t>
      </w:r>
    </w:p>
    <w:p w:rsidR="00793EA9" w:rsidRPr="00A527D5" w:rsidRDefault="006F7A23">
      <w:pPr>
        <w:pStyle w:val="Normal12Bold"/>
        <w:rPr>
          <w:noProof/>
        </w:rPr>
      </w:pPr>
      <w:r>
        <w:t>(COM(2018)0719 – C8-0448/2018 – 2018/0371(COD))</w:t>
      </w:r>
    </w:p>
    <w:p w:rsidR="00793EA9" w:rsidRPr="00A527D5" w:rsidRDefault="006F7A23">
      <w:pPr>
        <w:pStyle w:val="Normal12Bold"/>
        <w:rPr>
          <w:noProof/>
        </w:rPr>
      </w:pPr>
      <w:r>
        <w:t>(Ordinarie lagstiftningsförfarande: första behandlingen)</w:t>
      </w:r>
    </w:p>
    <w:p w:rsidR="00793EA9" w:rsidRPr="00A527D5" w:rsidRDefault="006F7A23">
      <w:pPr>
        <w:pStyle w:val="Normal12"/>
        <w:rPr>
          <w:noProof/>
        </w:rPr>
      </w:pPr>
      <w:r>
        <w:rPr>
          <w:i/>
        </w:rPr>
        <w:t>Europaparlamentet utfärdar denna resolution</w:t>
      </w:r>
    </w:p>
    <w:p w:rsidR="00FD4DF0" w:rsidRPr="00FD4DF0" w:rsidRDefault="00793EA9" w:rsidP="00FD4DF0">
      <w:pPr>
        <w:pStyle w:val="Normal12Hanging"/>
        <w:rPr>
          <w:noProof/>
        </w:rPr>
      </w:pPr>
      <w:r>
        <w:t>–</w:t>
      </w:r>
      <w:r>
        <w:tab/>
        <w:t>med beaktande av kommissionens förslag till Europaparlamentet och rådet (COM(2018)0719),</w:t>
      </w:r>
    </w:p>
    <w:p w:rsidR="00FD4DF0" w:rsidRPr="00FD4DF0" w:rsidRDefault="00FD4DF0" w:rsidP="00FD4DF0">
      <w:pPr>
        <w:pStyle w:val="Normal12Hanging"/>
        <w:rPr>
          <w:noProof/>
        </w:rPr>
      </w:pPr>
      <w:r>
        <w:t>–</w:t>
      </w:r>
      <w:r>
        <w:tab/>
        <w:t>med beaktande av artiklarna 294.2 och artiklarna 78.2, 79.2 samt 79.4 i fördraget om Europeiska unionens funktionssätt, i enlighet med vilka kommissionen har lagt fram sitt förslag för parlamentet (C8 0448/2018),</w:t>
      </w:r>
    </w:p>
    <w:p w:rsidR="00FD4DF0" w:rsidRPr="00FD4DF0" w:rsidRDefault="00FD4DF0" w:rsidP="00FD4DF0">
      <w:pPr>
        <w:pStyle w:val="Normal12Hanging"/>
        <w:rPr>
          <w:noProof/>
        </w:rPr>
      </w:pPr>
      <w:r>
        <w:t>–</w:t>
      </w:r>
      <w:r>
        <w:tab/>
        <w:t>med beaktande av artikel 294.3 i fördraget om Europeiska unionens funktionssätt,</w:t>
      </w:r>
    </w:p>
    <w:p w:rsidR="00FD4DF0" w:rsidRPr="00FD4DF0" w:rsidRDefault="00FD4DF0" w:rsidP="00FD4DF0">
      <w:pPr>
        <w:pStyle w:val="Normal12Hanging"/>
        <w:rPr>
          <w:noProof/>
        </w:rPr>
      </w:pPr>
      <w:r>
        <w:t>–</w:t>
      </w:r>
      <w:r>
        <w:tab/>
        <w:t>med beaktande av artikel 59 i arbetsordningen,</w:t>
      </w:r>
    </w:p>
    <w:p w:rsidR="00FD4DF0" w:rsidRPr="00FD4DF0" w:rsidRDefault="00FD4DF0" w:rsidP="00FD4DF0">
      <w:pPr>
        <w:pStyle w:val="Normal12Hanging"/>
        <w:rPr>
          <w:noProof/>
        </w:rPr>
      </w:pPr>
      <w:r>
        <w:t>–</w:t>
      </w:r>
      <w:r>
        <w:tab/>
        <w:t>med beaktande av betänkandet från utskottet för medborgerliga fri- och rättigheter samt rättsliga och inrikes frågor (A8–0370/2018), och av följande skäl:</w:t>
      </w:r>
    </w:p>
    <w:p w:rsidR="00FD4DF0" w:rsidRPr="00FD4DF0" w:rsidRDefault="00FD4DF0" w:rsidP="00FD4DF0">
      <w:pPr>
        <w:pStyle w:val="Normal12Hanging"/>
        <w:rPr>
          <w:noProof/>
        </w:rPr>
      </w:pPr>
      <w:r>
        <w:t>A.</w:t>
      </w:r>
      <w:r>
        <w:tab/>
        <w:t>Ärendets brådska gör det befogat att gå vidare till omröstning före utgången av den tidsfrist på åtta veckor som fastställs i artikel 6 i protokoll nr 2 om tillämpning av subsidiaritets- och proportionalitetsprinciperna.</w:t>
      </w:r>
    </w:p>
    <w:p w:rsidR="00FD4DF0" w:rsidRPr="00FD4DF0" w:rsidRDefault="00FD4DF0" w:rsidP="00FD4DF0">
      <w:pPr>
        <w:pStyle w:val="Normal12Hanging"/>
        <w:rPr>
          <w:noProof/>
        </w:rPr>
      </w:pPr>
      <w:r>
        <w:t>1.</w:t>
      </w:r>
      <w:r>
        <w:tab/>
        <w:t>Europaparlamentet antar nedanstående ståndpunkt vid första behandlingen.</w:t>
      </w:r>
    </w:p>
    <w:p w:rsidR="00FD4DF0" w:rsidRPr="00FD4DF0" w:rsidRDefault="00FD4DF0" w:rsidP="00FD4DF0">
      <w:pPr>
        <w:pStyle w:val="Normal12Hanging"/>
        <w:rPr>
          <w:noProof/>
        </w:rPr>
      </w:pPr>
      <w:r>
        <w:t>2.</w:t>
      </w:r>
      <w:r>
        <w:tab/>
        <w:t>Europaparlamentet uppmanar kommissionen att på nytt lägga fram ärendet för parlamentet om den ersätter, väsentligt ändrar eller har för avsikt att väsentligt ändra sitt förslag.</w:t>
      </w:r>
    </w:p>
    <w:p w:rsidR="00FD4DF0" w:rsidRPr="00FD4DF0" w:rsidRDefault="00FD4DF0" w:rsidP="00FD4DF0">
      <w:pPr>
        <w:pStyle w:val="Normal12Hanging"/>
        <w:rPr>
          <w:noProof/>
        </w:rPr>
      </w:pPr>
      <w:r>
        <w:t>3.</w:t>
      </w:r>
      <w:r>
        <w:tab/>
        <w:t>Europaparlamentet uppdrar åt talmannen att översända parlamentets ståndpunkt till rådet, kommissionen och de nationella parlamenten.</w:t>
      </w:r>
      <w:bookmarkStart w:id="1" w:name="PasteOldAMStart"/>
      <w:bookmarkStart w:id="2" w:name="PasteOldAMEnd"/>
      <w:bookmarkEnd w:id="1"/>
      <w:bookmarkEnd w:id="2"/>
      <w:r w:rsidRPr="007358DF">
        <w:rPr>
          <w:rStyle w:val="HideTWBExt"/>
        </w:rPr>
        <w:t>&lt;RepeatBlock-Amend&gt;</w:t>
      </w:r>
    </w:p>
    <w:p w:rsidR="00FD4DF0" w:rsidRPr="00FD4DF0" w:rsidRDefault="00FD4DF0" w:rsidP="00FD4DF0">
      <w:pPr>
        <w:pStyle w:val="AMNumberTabs"/>
        <w:keepNext/>
        <w:rPr>
          <w:noProof/>
        </w:rPr>
      </w:pPr>
      <w:r w:rsidRPr="007358DF">
        <w:rPr>
          <w:rStyle w:val="HideTWBExt"/>
          <w:b w:val="0"/>
        </w:rPr>
        <w:t>&lt;Amend&gt;</w:t>
      </w:r>
      <w:r w:rsidRPr="00E775E0">
        <w:t>Ändringsförslag</w:t>
      </w:r>
      <w:r w:rsidRPr="00E775E0">
        <w:tab/>
      </w:r>
      <w:r w:rsidRPr="00E775E0">
        <w:tab/>
      </w:r>
      <w:r w:rsidRPr="007358DF">
        <w:rPr>
          <w:rStyle w:val="HideTWBExt"/>
          <w:b w:val="0"/>
        </w:rPr>
        <w:t>&lt;NumAm&gt;</w:t>
      </w:r>
      <w:r w:rsidRPr="00E775E0">
        <w:t>1</w:t>
      </w:r>
      <w:r w:rsidRPr="007358DF">
        <w:rPr>
          <w:rStyle w:val="HideTWBExt"/>
          <w:b w:val="0"/>
        </w:rPr>
        <w:t>&lt;/NumAm&gt;</w:t>
      </w:r>
    </w:p>
    <w:p w:rsidR="00FD4DF0" w:rsidRPr="00FD4DF0" w:rsidRDefault="00FD4DF0" w:rsidP="00FD4DF0">
      <w:pPr>
        <w:pStyle w:val="NormalBold12b"/>
        <w:rPr>
          <w:noProof/>
        </w:rPr>
      </w:pPr>
      <w:r w:rsidRPr="007358DF">
        <w:rPr>
          <w:rStyle w:val="HideTWBExt"/>
          <w:b w:val="0"/>
        </w:rPr>
        <w:t>&lt;DocAmend&gt;</w:t>
      </w:r>
      <w:r w:rsidRPr="00E775E0">
        <w:t>Förslag till förordning</w:t>
      </w:r>
      <w:r w:rsidRPr="007358DF">
        <w:rPr>
          <w:rStyle w:val="HideTWBExt"/>
          <w:b w:val="0"/>
        </w:rPr>
        <w:t>&lt;/DocAmend&gt;</w:t>
      </w:r>
    </w:p>
    <w:p w:rsidR="00FD4DF0" w:rsidRPr="00E70835" w:rsidRDefault="00FD4DF0" w:rsidP="00FD4DF0">
      <w:pPr>
        <w:pStyle w:val="NormalBold"/>
        <w:keepNext/>
        <w:rPr>
          <w:noProof/>
        </w:rPr>
      </w:pPr>
      <w:r>
        <w:rPr>
          <w:rStyle w:val="HideTWBExt"/>
          <w:b w:val="0"/>
        </w:rPr>
        <w:t>&lt;Article&gt;</w:t>
      </w:r>
      <w:r w:rsidRPr="00E775E0">
        <w:t>Skäl 1</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D4DF0" w:rsidRPr="00E70835" w:rsidTr="00FD4DF0">
        <w:trPr>
          <w:jc w:val="center"/>
        </w:trPr>
        <w:tc>
          <w:tcPr>
            <w:tcW w:w="9752" w:type="dxa"/>
            <w:gridSpan w:val="2"/>
          </w:tcPr>
          <w:p w:rsidR="00FD4DF0" w:rsidRPr="00E70835" w:rsidRDefault="00FD4DF0" w:rsidP="000048AB">
            <w:pPr>
              <w:keepNext/>
              <w:rPr>
                <w:noProof/>
              </w:rPr>
            </w:pPr>
          </w:p>
        </w:tc>
      </w:tr>
      <w:tr w:rsidR="00FD4DF0" w:rsidRPr="00E70835" w:rsidTr="00FD4DF0">
        <w:trPr>
          <w:jc w:val="center"/>
        </w:trPr>
        <w:tc>
          <w:tcPr>
            <w:tcW w:w="4876" w:type="dxa"/>
            <w:hideMark/>
          </w:tcPr>
          <w:p w:rsidR="00FD4DF0" w:rsidRPr="00E775E0" w:rsidRDefault="00FD4DF0" w:rsidP="000048AB">
            <w:pPr>
              <w:pStyle w:val="ColumnHeading"/>
              <w:keepNext/>
              <w:rPr>
                <w:noProof/>
              </w:rPr>
            </w:pPr>
            <w:r w:rsidRPr="00E775E0">
              <w:t>Kommissionens förslag</w:t>
            </w:r>
          </w:p>
        </w:tc>
        <w:tc>
          <w:tcPr>
            <w:tcW w:w="4876" w:type="dxa"/>
            <w:hideMark/>
          </w:tcPr>
          <w:p w:rsidR="00FD4DF0" w:rsidRPr="00E775E0" w:rsidRDefault="00FD4DF0" w:rsidP="000048AB">
            <w:pPr>
              <w:pStyle w:val="ColumnHeading"/>
              <w:keepNext/>
              <w:rPr>
                <w:noProof/>
              </w:rPr>
            </w:pPr>
            <w:r w:rsidRPr="00E775E0">
              <w:t>Ändringsförslag</w:t>
            </w:r>
          </w:p>
        </w:tc>
      </w:tr>
      <w:tr w:rsidR="00FD4DF0" w:rsidRPr="00FD4DF0" w:rsidTr="00FD4DF0">
        <w:trPr>
          <w:jc w:val="center"/>
        </w:trPr>
        <w:tc>
          <w:tcPr>
            <w:tcW w:w="4876" w:type="dxa"/>
            <w:hideMark/>
          </w:tcPr>
          <w:p w:rsidR="00FD4DF0" w:rsidRPr="00E775E0" w:rsidRDefault="00FD4DF0" w:rsidP="000048AB">
            <w:pPr>
              <w:pStyle w:val="Normal6"/>
              <w:rPr>
                <w:noProof/>
              </w:rPr>
            </w:pPr>
            <w:r w:rsidRPr="00E775E0">
              <w:t>(1)</w:t>
            </w:r>
            <w:r w:rsidRPr="00E775E0">
              <w:tab/>
              <w:t xml:space="preserve">Syftet med denna förordning är att möjliggöra förnyade åtaganden för de </w:t>
            </w:r>
            <w:r w:rsidRPr="00E775E0">
              <w:lastRenderedPageBreak/>
              <w:t>återstående belopp som anslagits till stöd för genomförandet av rådets beslut (EU) 2015/1523 och (EU) 2015/1601, vilka föreskrivs enligt Europaparlamentets och rådets förordning (EU) nr 516/2014</w:t>
            </w:r>
            <w:r w:rsidRPr="00E775E0">
              <w:rPr>
                <w:vertAlign w:val="superscript"/>
              </w:rPr>
              <w:t>8</w:t>
            </w:r>
            <w:r w:rsidRPr="00E775E0">
              <w:t xml:space="preserve">, eller omfördelning av dessa till andra åtgärder inom de nationella programmen i enlighet med unionens prioriteringar och medlemsstaternas behov på </w:t>
            </w:r>
            <w:r w:rsidRPr="00E775E0">
              <w:rPr>
                <w:b/>
                <w:i/>
              </w:rPr>
              <w:t>området</w:t>
            </w:r>
            <w:r w:rsidRPr="00E775E0">
              <w:t xml:space="preserve"> migration och asyl.</w:t>
            </w:r>
          </w:p>
        </w:tc>
        <w:tc>
          <w:tcPr>
            <w:tcW w:w="4876" w:type="dxa"/>
            <w:hideMark/>
          </w:tcPr>
          <w:p w:rsidR="00FD4DF0" w:rsidRPr="00E775E0" w:rsidRDefault="00FD4DF0" w:rsidP="000048AB">
            <w:pPr>
              <w:pStyle w:val="Normal6"/>
              <w:rPr>
                <w:noProof/>
                <w:szCs w:val="24"/>
              </w:rPr>
            </w:pPr>
            <w:r w:rsidRPr="00E775E0">
              <w:lastRenderedPageBreak/>
              <w:t>(1)</w:t>
            </w:r>
            <w:r w:rsidRPr="00E775E0">
              <w:tab/>
              <w:t xml:space="preserve">Syftet med denna förordning är att möjliggöra förnyade åtaganden för de </w:t>
            </w:r>
            <w:r w:rsidRPr="00E775E0">
              <w:lastRenderedPageBreak/>
              <w:t>återstående belopp som anslagits till stöd för genomförandet av rådets beslut (EU) 2015/1523 och (EU) 2015/1601, vilka föreskrivs enligt Europaparlamentets och rådets förordning (EU) nr 516/2014</w:t>
            </w:r>
            <w:r w:rsidRPr="00E775E0">
              <w:rPr>
                <w:vertAlign w:val="superscript"/>
              </w:rPr>
              <w:t>8</w:t>
            </w:r>
            <w:r w:rsidRPr="00E775E0">
              <w:t xml:space="preserve">, eller omfördelning av dessa till andra åtgärder inom de nationella programmen i enlighet med unionens prioriteringar och medlemsstaternas behov på </w:t>
            </w:r>
            <w:r w:rsidRPr="00E775E0">
              <w:rPr>
                <w:b/>
                <w:i/>
              </w:rPr>
              <w:t>särskilda områden som rör</w:t>
            </w:r>
            <w:r w:rsidRPr="00E775E0">
              <w:t xml:space="preserve"> migration och asyl.</w:t>
            </w:r>
            <w:r w:rsidRPr="00E775E0">
              <w:rPr>
                <w:b/>
                <w:i/>
              </w:rPr>
              <w:t xml:space="preserve"> Den ska också säkerställa att ett sådant förnyat åtagande eller en sådan omfördelning sker på ett transparent sätt.</w:t>
            </w:r>
          </w:p>
        </w:tc>
      </w:tr>
      <w:tr w:rsidR="00FD4DF0" w:rsidRPr="00E70835" w:rsidTr="00FD4DF0">
        <w:trPr>
          <w:jc w:val="center"/>
        </w:trPr>
        <w:tc>
          <w:tcPr>
            <w:tcW w:w="4876" w:type="dxa"/>
            <w:hideMark/>
          </w:tcPr>
          <w:p w:rsidR="00FD4DF0" w:rsidRPr="00E775E0" w:rsidRDefault="00FD4DF0" w:rsidP="000048AB">
            <w:pPr>
              <w:pStyle w:val="Normal6"/>
              <w:rPr>
                <w:noProof/>
              </w:rPr>
            </w:pPr>
            <w:r w:rsidRPr="00E775E0">
              <w:lastRenderedPageBreak/>
              <w:t>_____________</w:t>
            </w:r>
          </w:p>
        </w:tc>
        <w:tc>
          <w:tcPr>
            <w:tcW w:w="4876" w:type="dxa"/>
            <w:hideMark/>
          </w:tcPr>
          <w:p w:rsidR="00FD4DF0" w:rsidRPr="00E775E0" w:rsidRDefault="00FD4DF0" w:rsidP="000048AB">
            <w:pPr>
              <w:pStyle w:val="Normal6"/>
              <w:rPr>
                <w:noProof/>
              </w:rPr>
            </w:pPr>
            <w:r w:rsidRPr="00E775E0">
              <w:t>_____________</w:t>
            </w:r>
          </w:p>
        </w:tc>
      </w:tr>
      <w:tr w:rsidR="00FD4DF0" w:rsidRPr="00FD4DF0" w:rsidTr="00FD4DF0">
        <w:trPr>
          <w:jc w:val="center"/>
        </w:trPr>
        <w:tc>
          <w:tcPr>
            <w:tcW w:w="4876" w:type="dxa"/>
            <w:hideMark/>
          </w:tcPr>
          <w:p w:rsidR="00FD4DF0" w:rsidRPr="00E775E0" w:rsidRDefault="00FD4DF0" w:rsidP="000048AB">
            <w:pPr>
              <w:pStyle w:val="Normal6"/>
              <w:rPr>
                <w:noProof/>
              </w:rPr>
            </w:pPr>
            <w:r w:rsidRPr="00E775E0">
              <w:rPr>
                <w:vertAlign w:val="superscript"/>
              </w:rPr>
              <w:t>8</w:t>
            </w:r>
            <w:r w:rsidRPr="00E775E0">
              <w:t xml:space="preserve"> Europaparlamentets och rådets förordning (EU) nr 516/2014 av den 16 april 2014 om inrättande av asyl-, migrations- och integrationsfonden, om ändring av rådets beslut 2008/381/EG och om upphävande av Europaparlamentets och rådets beslut nr 573/2007/EG och nr 575/2007/EG och rådets beslut 2007/435/EG (EUT L 150, 20.5.2014, s. 168).</w:t>
            </w:r>
          </w:p>
        </w:tc>
        <w:tc>
          <w:tcPr>
            <w:tcW w:w="4876" w:type="dxa"/>
            <w:hideMark/>
          </w:tcPr>
          <w:p w:rsidR="00FD4DF0" w:rsidRPr="00E775E0" w:rsidRDefault="00FD4DF0" w:rsidP="000048AB">
            <w:pPr>
              <w:pStyle w:val="Normal6"/>
              <w:rPr>
                <w:noProof/>
              </w:rPr>
            </w:pPr>
            <w:r w:rsidRPr="00E775E0">
              <w:rPr>
                <w:vertAlign w:val="superscript"/>
              </w:rPr>
              <w:t>8</w:t>
            </w:r>
            <w:r w:rsidRPr="00E775E0">
              <w:t xml:space="preserve"> Europaparlamentets och rådets förordning (EU) nr 516/2014 av den 16 april 2014 om inrättande av asyl-, migrations- och integrationsfonden, om ändring av rådets beslut 2008/381/EG och om upphävande av Europaparlamentets och rådets beslut nr 573/2007/EG och nr 575/2007/EG och rådets beslut 2007/435/EG (EUT L 150, 20.5.2014, s. 168).</w:t>
            </w:r>
          </w:p>
        </w:tc>
      </w:tr>
    </w:tbl>
    <w:p w:rsidR="00FD4DF0" w:rsidRPr="00FD4DF0" w:rsidRDefault="00FD4DF0" w:rsidP="00FD4DF0">
      <w:pPr>
        <w:rPr>
          <w:noProof/>
        </w:rPr>
      </w:pPr>
      <w:r w:rsidRPr="007358DF">
        <w:rPr>
          <w:rStyle w:val="HideTWBExt"/>
        </w:rPr>
        <w:t>&lt;/Amend&gt;</w:t>
      </w:r>
    </w:p>
    <w:p w:rsidR="00FD4DF0" w:rsidRPr="00FD4DF0" w:rsidRDefault="00FD4DF0" w:rsidP="00FD4DF0">
      <w:pPr>
        <w:pStyle w:val="AMNumberTabs"/>
        <w:keepNext/>
        <w:rPr>
          <w:noProof/>
        </w:rPr>
      </w:pPr>
      <w:r w:rsidRPr="007358DF">
        <w:rPr>
          <w:rStyle w:val="HideTWBExt"/>
          <w:b w:val="0"/>
        </w:rPr>
        <w:t>&lt;Amend&gt;</w:t>
      </w:r>
      <w:r w:rsidRPr="00E775E0">
        <w:t>Ändringsförslag</w:t>
      </w:r>
      <w:r w:rsidRPr="00E775E0">
        <w:tab/>
      </w:r>
      <w:r w:rsidRPr="00E775E0">
        <w:tab/>
      </w:r>
      <w:r w:rsidRPr="007358DF">
        <w:rPr>
          <w:rStyle w:val="HideTWBExt"/>
          <w:b w:val="0"/>
        </w:rPr>
        <w:t>&lt;NumAm&gt;</w:t>
      </w:r>
      <w:r w:rsidRPr="00E775E0">
        <w:t>2</w:t>
      </w:r>
      <w:r w:rsidRPr="007358DF">
        <w:rPr>
          <w:rStyle w:val="HideTWBExt"/>
          <w:b w:val="0"/>
        </w:rPr>
        <w:t>&lt;/NumAm&gt;</w:t>
      </w:r>
    </w:p>
    <w:p w:rsidR="00FD4DF0" w:rsidRPr="00FD4DF0" w:rsidRDefault="00FD4DF0" w:rsidP="00FD4DF0">
      <w:pPr>
        <w:pStyle w:val="NormalBold12b"/>
        <w:rPr>
          <w:noProof/>
        </w:rPr>
      </w:pPr>
      <w:r w:rsidRPr="007358DF">
        <w:rPr>
          <w:rStyle w:val="HideTWBExt"/>
          <w:b w:val="0"/>
        </w:rPr>
        <w:t>&lt;DocAmend&gt;</w:t>
      </w:r>
      <w:r w:rsidRPr="00E775E0">
        <w:t>Förslag till förordning</w:t>
      </w:r>
      <w:r w:rsidRPr="007358DF">
        <w:rPr>
          <w:rStyle w:val="HideTWBExt"/>
          <w:b w:val="0"/>
        </w:rPr>
        <w:t>&lt;/DocAmend&gt;</w:t>
      </w:r>
    </w:p>
    <w:p w:rsidR="00FD4DF0" w:rsidRPr="00E70835" w:rsidRDefault="00FD4DF0" w:rsidP="00FD4DF0">
      <w:pPr>
        <w:pStyle w:val="NormalBold"/>
        <w:keepNext/>
        <w:rPr>
          <w:noProof/>
        </w:rPr>
      </w:pPr>
      <w:r>
        <w:rPr>
          <w:rStyle w:val="HideTWBExt"/>
          <w:b w:val="0"/>
        </w:rPr>
        <w:t>&lt;Article&gt;</w:t>
      </w:r>
      <w:r w:rsidRPr="00E775E0">
        <w:t>Skäl 4</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D4DF0" w:rsidRPr="00E70835" w:rsidTr="000048AB">
        <w:trPr>
          <w:jc w:val="center"/>
        </w:trPr>
        <w:tc>
          <w:tcPr>
            <w:tcW w:w="9752" w:type="dxa"/>
            <w:gridSpan w:val="2"/>
          </w:tcPr>
          <w:p w:rsidR="00FD4DF0" w:rsidRPr="00E70835" w:rsidRDefault="00FD4DF0" w:rsidP="000048AB">
            <w:pPr>
              <w:keepNext/>
              <w:rPr>
                <w:noProof/>
              </w:rPr>
            </w:pPr>
          </w:p>
        </w:tc>
      </w:tr>
      <w:tr w:rsidR="00FD4DF0" w:rsidRPr="00E70835" w:rsidTr="000048AB">
        <w:trPr>
          <w:jc w:val="center"/>
        </w:trPr>
        <w:tc>
          <w:tcPr>
            <w:tcW w:w="4876" w:type="dxa"/>
            <w:hideMark/>
          </w:tcPr>
          <w:p w:rsidR="00FD4DF0" w:rsidRPr="00E775E0" w:rsidRDefault="00FD4DF0" w:rsidP="000048AB">
            <w:pPr>
              <w:pStyle w:val="ColumnHeading"/>
              <w:keepNext/>
              <w:rPr>
                <w:noProof/>
              </w:rPr>
            </w:pPr>
            <w:r w:rsidRPr="00E775E0">
              <w:t>Kommissionens förslag</w:t>
            </w:r>
          </w:p>
        </w:tc>
        <w:tc>
          <w:tcPr>
            <w:tcW w:w="4876" w:type="dxa"/>
            <w:hideMark/>
          </w:tcPr>
          <w:p w:rsidR="00FD4DF0" w:rsidRPr="00E775E0" w:rsidRDefault="00FD4DF0" w:rsidP="000048AB">
            <w:pPr>
              <w:pStyle w:val="ColumnHeading"/>
              <w:keepNext/>
              <w:rPr>
                <w:noProof/>
              </w:rPr>
            </w:pPr>
            <w:r w:rsidRPr="00E775E0">
              <w:t>Ändringsförslag</w:t>
            </w:r>
          </w:p>
        </w:tc>
      </w:tr>
      <w:tr w:rsidR="00FD4DF0" w:rsidRPr="00FD4DF0" w:rsidTr="000048AB">
        <w:trPr>
          <w:jc w:val="center"/>
        </w:trPr>
        <w:tc>
          <w:tcPr>
            <w:tcW w:w="4876" w:type="dxa"/>
            <w:hideMark/>
          </w:tcPr>
          <w:p w:rsidR="00FD4DF0" w:rsidRPr="00E775E0" w:rsidRDefault="00FD4DF0" w:rsidP="000048AB">
            <w:pPr>
              <w:pStyle w:val="Normal6"/>
              <w:rPr>
                <w:noProof/>
              </w:rPr>
            </w:pPr>
            <w:r w:rsidRPr="00E775E0">
              <w:t>(4)</w:t>
            </w:r>
            <w:r w:rsidRPr="00E775E0">
              <w:tab/>
              <w:t xml:space="preserve">Medlemsstaterna bör ha möjlighet att använda ovannämnda belopp till att fortsatt genomföra omplaceringar genom förnyade åtaganden av beloppen till samma åtgärd inom de nationella programmen. </w:t>
            </w:r>
            <w:r w:rsidRPr="00E775E0">
              <w:rPr>
                <w:b/>
                <w:i/>
              </w:rPr>
              <w:t>Dessutom</w:t>
            </w:r>
            <w:r w:rsidRPr="00E775E0">
              <w:t xml:space="preserve"> bör det vara möjligt att, om vederbörligen motiverat i översynen av medlemsstaternas nationella program, använda dessa medel även för att </w:t>
            </w:r>
            <w:r w:rsidRPr="00E775E0">
              <w:rPr>
                <w:b/>
                <w:i/>
              </w:rPr>
              <w:t>hantera andra utmaningar</w:t>
            </w:r>
            <w:r w:rsidRPr="00E775E0">
              <w:t xml:space="preserve"> inom området migration och asyl i enlighet med förordningen om asyl-, migrations- och integrationsfonden. Medlemsstaterna har fortfarande betydande behov på dessa områden. Förnyade åtaganden för ovannämnda belopp inom samma åtgärd, </w:t>
            </w:r>
            <w:r w:rsidRPr="00E775E0">
              <w:lastRenderedPageBreak/>
              <w:t>eller överföring av dem till andra åtgärder inom det nationella programmet bör vara möjligt endast en gång och med kommissionens godkännande.</w:t>
            </w:r>
          </w:p>
        </w:tc>
        <w:tc>
          <w:tcPr>
            <w:tcW w:w="4876" w:type="dxa"/>
            <w:hideMark/>
          </w:tcPr>
          <w:p w:rsidR="00FD4DF0" w:rsidRPr="00E775E0" w:rsidRDefault="00FD4DF0" w:rsidP="000048AB">
            <w:pPr>
              <w:pStyle w:val="Normal6"/>
              <w:rPr>
                <w:noProof/>
                <w:szCs w:val="24"/>
              </w:rPr>
            </w:pPr>
            <w:r w:rsidRPr="00E775E0">
              <w:lastRenderedPageBreak/>
              <w:t>(4)</w:t>
            </w:r>
            <w:r w:rsidRPr="00E775E0">
              <w:tab/>
              <w:t xml:space="preserve">Medlemsstaterna bör ha möjlighet att använda ovannämnda belopp till att fortsatt genomföra omplaceringar genom förnyade åtaganden av beloppen till samma åtgärd inom de nationella programmen. </w:t>
            </w:r>
            <w:r w:rsidRPr="00E775E0">
              <w:rPr>
                <w:b/>
                <w:i/>
              </w:rPr>
              <w:t>Medlemsstaterna bör som minst på nytt anslå 20 % av dessa belopp till åtgärder inom nationella program, för omplacering av personer som ansöker om eller åtnjuter internationellt skydd, eller för vidarebosättning eller annan tillfällig humanitär inresa. För de kvarstående medlen av dessa belopp</w:t>
            </w:r>
            <w:r w:rsidRPr="00E775E0">
              <w:t xml:space="preserve"> bör det vara möjligt att, om</w:t>
            </w:r>
            <w:r w:rsidRPr="00E775E0">
              <w:rPr>
                <w:b/>
                <w:i/>
              </w:rPr>
              <w:t xml:space="preserve"> det är</w:t>
            </w:r>
            <w:r w:rsidRPr="00E775E0">
              <w:t xml:space="preserve"> vederbörligen motiverat i översynen av medlemsstaternas nationella program, använda dessa medel </w:t>
            </w:r>
            <w:r w:rsidRPr="00E775E0">
              <w:lastRenderedPageBreak/>
              <w:t xml:space="preserve">även för att </w:t>
            </w:r>
            <w:r w:rsidRPr="00E775E0">
              <w:rPr>
                <w:b/>
                <w:i/>
              </w:rPr>
              <w:t>finansiera särskilda åtgärder som föreskrivs i kapitlen II och III</w:t>
            </w:r>
            <w:r w:rsidRPr="00E775E0">
              <w:t xml:space="preserve"> inom området migration och asyl i enlighet med förordningen om asyl-, migrations- och integrationsfonden</w:t>
            </w:r>
            <w:r w:rsidRPr="00E775E0">
              <w:rPr>
                <w:b/>
                <w:i/>
              </w:rPr>
              <w:t>, särskilt när det gäller att utveckla aspekter av det gemensamma europeiska asylsystemet, i synnerhet familjeåterförening eller stöd till laglig migration till medlemsstaterna och främjande av en effektiv integration av tredjelandsmedborgare</w:t>
            </w:r>
            <w:r w:rsidRPr="00E775E0">
              <w:t>. Medlemsstaterna har fortfarande betydande behov på dessa områden. Förnyade åtaganden för ovannämnda belopp inom samma åtgärd, eller överföring av dem till andra åtgärder inom det nationella programmet bör vara möjligt endast en gång och med kommissionens godkännande.</w:t>
            </w:r>
            <w:r w:rsidRPr="00E775E0">
              <w:rPr>
                <w:b/>
                <w:i/>
              </w:rPr>
              <w:t xml:space="preserve"> Medlemsstaterna bör säkerställa att omfördelningen av medel sker med full respekt för de principer som anges i budgetförordningen, särskilt i fråga om effektivitet och öppenhet.</w:t>
            </w:r>
          </w:p>
        </w:tc>
      </w:tr>
    </w:tbl>
    <w:p w:rsidR="00FD4DF0" w:rsidRPr="00FD4DF0" w:rsidRDefault="00FD4DF0" w:rsidP="00FD4DF0">
      <w:pPr>
        <w:rPr>
          <w:noProof/>
        </w:rPr>
      </w:pPr>
      <w:r w:rsidRPr="007358DF">
        <w:rPr>
          <w:rStyle w:val="HideTWBExt"/>
        </w:rPr>
        <w:lastRenderedPageBreak/>
        <w:t>&lt;/Amend&gt;</w:t>
      </w:r>
    </w:p>
    <w:p w:rsidR="00FD4DF0" w:rsidRPr="00FD4DF0" w:rsidRDefault="00FD4DF0" w:rsidP="00FD4DF0">
      <w:pPr>
        <w:pStyle w:val="AMNumberTabs"/>
        <w:keepNext/>
        <w:rPr>
          <w:noProof/>
        </w:rPr>
      </w:pPr>
      <w:r w:rsidRPr="007358DF">
        <w:rPr>
          <w:rStyle w:val="HideTWBExt"/>
          <w:b w:val="0"/>
        </w:rPr>
        <w:t>&lt;Amend&gt;</w:t>
      </w:r>
      <w:r w:rsidRPr="00E775E0">
        <w:t>Ändringsförslag</w:t>
      </w:r>
      <w:r w:rsidRPr="00E775E0">
        <w:tab/>
      </w:r>
      <w:r w:rsidRPr="00E775E0">
        <w:tab/>
      </w:r>
      <w:r w:rsidRPr="007358DF">
        <w:rPr>
          <w:rStyle w:val="HideTWBExt"/>
          <w:b w:val="0"/>
        </w:rPr>
        <w:t>&lt;NumAm&gt;</w:t>
      </w:r>
      <w:r w:rsidRPr="00E775E0">
        <w:t>3</w:t>
      </w:r>
      <w:r w:rsidRPr="007358DF">
        <w:rPr>
          <w:rStyle w:val="HideTWBExt"/>
          <w:b w:val="0"/>
        </w:rPr>
        <w:t>&lt;/NumAm&gt;</w:t>
      </w:r>
    </w:p>
    <w:p w:rsidR="00FD4DF0" w:rsidRPr="00FD4DF0" w:rsidRDefault="00FD4DF0" w:rsidP="00FD4DF0">
      <w:pPr>
        <w:pStyle w:val="NormalBold12b"/>
        <w:rPr>
          <w:noProof/>
        </w:rPr>
      </w:pPr>
      <w:r w:rsidRPr="007358DF">
        <w:rPr>
          <w:rStyle w:val="HideTWBExt"/>
          <w:b w:val="0"/>
        </w:rPr>
        <w:t>&lt;DocAmend&gt;</w:t>
      </w:r>
      <w:r w:rsidRPr="00E775E0">
        <w:t>Förslag till förordning</w:t>
      </w:r>
      <w:r w:rsidRPr="007358DF">
        <w:rPr>
          <w:rStyle w:val="HideTWBExt"/>
          <w:b w:val="0"/>
        </w:rPr>
        <w:t>&lt;/DocAmend&gt;</w:t>
      </w:r>
    </w:p>
    <w:p w:rsidR="00FD4DF0" w:rsidRPr="00E70835" w:rsidRDefault="00FD4DF0" w:rsidP="00FD4DF0">
      <w:pPr>
        <w:pStyle w:val="NormalBold"/>
        <w:keepNext/>
        <w:rPr>
          <w:noProof/>
        </w:rPr>
      </w:pPr>
      <w:r w:rsidRPr="007358DF">
        <w:rPr>
          <w:rStyle w:val="HideTWBExt"/>
          <w:b w:val="0"/>
        </w:rPr>
        <w:t>&lt;Article&gt;</w:t>
      </w:r>
      <w:r w:rsidRPr="00E775E0">
        <w:t xml:space="preserve"> Skäl 5</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D4DF0" w:rsidRPr="00E70835" w:rsidTr="00FD4DF0">
        <w:trPr>
          <w:jc w:val="center"/>
        </w:trPr>
        <w:tc>
          <w:tcPr>
            <w:tcW w:w="9752" w:type="dxa"/>
            <w:gridSpan w:val="2"/>
          </w:tcPr>
          <w:p w:rsidR="00FD4DF0" w:rsidRPr="00E70835" w:rsidRDefault="00FD4DF0" w:rsidP="000048AB">
            <w:pPr>
              <w:keepNext/>
              <w:rPr>
                <w:noProof/>
              </w:rPr>
            </w:pPr>
          </w:p>
        </w:tc>
      </w:tr>
      <w:tr w:rsidR="00FD4DF0" w:rsidRPr="00E70835" w:rsidTr="00FD4DF0">
        <w:trPr>
          <w:jc w:val="center"/>
        </w:trPr>
        <w:tc>
          <w:tcPr>
            <w:tcW w:w="4876" w:type="dxa"/>
            <w:hideMark/>
          </w:tcPr>
          <w:p w:rsidR="00FD4DF0" w:rsidRPr="00E775E0" w:rsidRDefault="00FD4DF0" w:rsidP="000048AB">
            <w:pPr>
              <w:pStyle w:val="ColumnHeading"/>
              <w:keepNext/>
              <w:rPr>
                <w:noProof/>
              </w:rPr>
            </w:pPr>
            <w:r w:rsidRPr="00E775E0">
              <w:t>Kommissionens förslag</w:t>
            </w:r>
          </w:p>
        </w:tc>
        <w:tc>
          <w:tcPr>
            <w:tcW w:w="4876" w:type="dxa"/>
            <w:hideMark/>
          </w:tcPr>
          <w:p w:rsidR="00FD4DF0" w:rsidRPr="00E775E0" w:rsidRDefault="00FD4DF0" w:rsidP="000048AB">
            <w:pPr>
              <w:pStyle w:val="ColumnHeading"/>
              <w:keepNext/>
              <w:rPr>
                <w:noProof/>
              </w:rPr>
            </w:pPr>
            <w:r w:rsidRPr="00E775E0">
              <w:t>Ändringsförslag</w:t>
            </w:r>
          </w:p>
        </w:tc>
      </w:tr>
      <w:tr w:rsidR="00FD4DF0" w:rsidRPr="00FD4DF0" w:rsidTr="00FD4DF0">
        <w:trPr>
          <w:jc w:val="center"/>
        </w:trPr>
        <w:tc>
          <w:tcPr>
            <w:tcW w:w="4876" w:type="dxa"/>
            <w:hideMark/>
          </w:tcPr>
          <w:p w:rsidR="00FD4DF0" w:rsidRPr="00E775E0" w:rsidRDefault="00FD4DF0" w:rsidP="000048AB">
            <w:pPr>
              <w:pStyle w:val="Normal6"/>
              <w:rPr>
                <w:noProof/>
              </w:rPr>
            </w:pPr>
            <w:r w:rsidRPr="00E775E0">
              <w:t>(5)</w:t>
            </w:r>
            <w:r w:rsidRPr="00E775E0">
              <w:tab/>
              <w:t>Den målgrupp som är berättigad till omplacering bör utvidgas för att ge medlemsstaterna större handlingsutrymme vid fullgörandet av omplaceringar.</w:t>
            </w:r>
          </w:p>
        </w:tc>
        <w:tc>
          <w:tcPr>
            <w:tcW w:w="4876" w:type="dxa"/>
            <w:hideMark/>
          </w:tcPr>
          <w:p w:rsidR="00FD4DF0" w:rsidRPr="00E775E0" w:rsidRDefault="00FD4DF0" w:rsidP="000048AB">
            <w:pPr>
              <w:pStyle w:val="Normal6"/>
              <w:rPr>
                <w:noProof/>
                <w:szCs w:val="24"/>
              </w:rPr>
            </w:pPr>
            <w:r w:rsidRPr="00E775E0">
              <w:t>(5)</w:t>
            </w:r>
            <w:r w:rsidRPr="00E775E0">
              <w:tab/>
              <w:t xml:space="preserve">Den målgrupp som är berättigad till omplacering </w:t>
            </w:r>
            <w:r w:rsidRPr="00E775E0">
              <w:rPr>
                <w:b/>
                <w:i/>
              </w:rPr>
              <w:t>samt de länder från vilka omplacering sker</w:t>
            </w:r>
            <w:r w:rsidRPr="00E775E0">
              <w:t xml:space="preserve"> bör utvidgas för att ge medlemsstaterna större handlingsutrymme vid fullgörandet av omplaceringar. </w:t>
            </w:r>
            <w:r w:rsidRPr="00E775E0">
              <w:rPr>
                <w:b/>
                <w:i/>
              </w:rPr>
              <w:t>Omplaceringen av ensamkommande barn, andra utsatta sökande och familjemedlemmar till personer som åtnjuter internationellt skydd bör prioriteras.</w:t>
            </w:r>
          </w:p>
        </w:tc>
      </w:tr>
    </w:tbl>
    <w:p w:rsidR="00FD4DF0" w:rsidRPr="00FD4DF0" w:rsidRDefault="00FD4DF0" w:rsidP="00FD4DF0">
      <w:pPr>
        <w:rPr>
          <w:noProof/>
        </w:rPr>
      </w:pPr>
      <w:r w:rsidRPr="007358DF">
        <w:rPr>
          <w:rStyle w:val="HideTWBExt"/>
        </w:rPr>
        <w:t>&lt;/Amend&gt;</w:t>
      </w:r>
    </w:p>
    <w:p w:rsidR="00FD4DF0" w:rsidRPr="00FD4DF0" w:rsidRDefault="00FD4DF0" w:rsidP="00FD4DF0">
      <w:pPr>
        <w:pStyle w:val="AMNumberTabs"/>
        <w:keepNext/>
        <w:rPr>
          <w:noProof/>
        </w:rPr>
      </w:pPr>
      <w:r w:rsidRPr="007358DF">
        <w:rPr>
          <w:rStyle w:val="HideTWBExt"/>
          <w:b w:val="0"/>
        </w:rPr>
        <w:t>&lt;Amend&gt;</w:t>
      </w:r>
      <w:r w:rsidRPr="00E775E0">
        <w:t>Ändringsförslag</w:t>
      </w:r>
      <w:r w:rsidRPr="00E775E0">
        <w:tab/>
      </w:r>
      <w:r w:rsidRPr="00E775E0">
        <w:tab/>
      </w:r>
      <w:r w:rsidRPr="007358DF">
        <w:rPr>
          <w:rStyle w:val="HideTWBExt"/>
          <w:b w:val="0"/>
        </w:rPr>
        <w:t>&lt;NumAm&gt;</w:t>
      </w:r>
      <w:r w:rsidRPr="00E775E0">
        <w:t>4</w:t>
      </w:r>
      <w:r w:rsidRPr="007358DF">
        <w:rPr>
          <w:rStyle w:val="HideTWBExt"/>
          <w:b w:val="0"/>
        </w:rPr>
        <w:t>&lt;/NumAm&gt;</w:t>
      </w:r>
    </w:p>
    <w:p w:rsidR="00FD4DF0" w:rsidRPr="00FD4DF0" w:rsidRDefault="00FD4DF0" w:rsidP="00FD4DF0">
      <w:pPr>
        <w:pStyle w:val="NormalBold12b"/>
        <w:rPr>
          <w:noProof/>
        </w:rPr>
      </w:pPr>
      <w:r w:rsidRPr="007358DF">
        <w:rPr>
          <w:rStyle w:val="HideTWBExt"/>
          <w:b w:val="0"/>
        </w:rPr>
        <w:t>&lt;DocAmend&gt;</w:t>
      </w:r>
      <w:r w:rsidRPr="00E775E0">
        <w:t>Förslag till förordning</w:t>
      </w:r>
      <w:r w:rsidRPr="007358DF">
        <w:rPr>
          <w:rStyle w:val="HideTWBExt"/>
          <w:b w:val="0"/>
        </w:rPr>
        <w:t>&lt;/DocAmend&gt;</w:t>
      </w:r>
    </w:p>
    <w:p w:rsidR="00FD4DF0" w:rsidRPr="00E70835" w:rsidRDefault="00FD4DF0" w:rsidP="00FD4DF0">
      <w:pPr>
        <w:pStyle w:val="NormalBold"/>
        <w:keepNext/>
        <w:rPr>
          <w:noProof/>
        </w:rPr>
      </w:pPr>
      <w:r>
        <w:rPr>
          <w:rStyle w:val="HideTWBExt"/>
          <w:b w:val="0"/>
        </w:rPr>
        <w:lastRenderedPageBreak/>
        <w:t>&lt;Article&gt;</w:t>
      </w:r>
      <w:r w:rsidRPr="00E775E0">
        <w:t>Skäl 7</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D4DF0" w:rsidRPr="00E70835" w:rsidTr="00FD4DF0">
        <w:trPr>
          <w:jc w:val="center"/>
        </w:trPr>
        <w:tc>
          <w:tcPr>
            <w:tcW w:w="9752" w:type="dxa"/>
            <w:gridSpan w:val="2"/>
          </w:tcPr>
          <w:p w:rsidR="00FD4DF0" w:rsidRPr="00E70835" w:rsidRDefault="00FD4DF0" w:rsidP="000048AB">
            <w:pPr>
              <w:keepNext/>
              <w:rPr>
                <w:noProof/>
              </w:rPr>
            </w:pPr>
          </w:p>
        </w:tc>
      </w:tr>
      <w:tr w:rsidR="00FD4DF0" w:rsidRPr="00E70835" w:rsidTr="00FD4DF0">
        <w:trPr>
          <w:jc w:val="center"/>
        </w:trPr>
        <w:tc>
          <w:tcPr>
            <w:tcW w:w="4876" w:type="dxa"/>
            <w:hideMark/>
          </w:tcPr>
          <w:p w:rsidR="00FD4DF0" w:rsidRPr="00E775E0" w:rsidRDefault="00FD4DF0" w:rsidP="000048AB">
            <w:pPr>
              <w:pStyle w:val="ColumnHeading"/>
              <w:keepNext/>
              <w:rPr>
                <w:noProof/>
              </w:rPr>
            </w:pPr>
            <w:r w:rsidRPr="00E775E0">
              <w:t>Kommissionens förslag</w:t>
            </w:r>
          </w:p>
        </w:tc>
        <w:tc>
          <w:tcPr>
            <w:tcW w:w="4876" w:type="dxa"/>
            <w:hideMark/>
          </w:tcPr>
          <w:p w:rsidR="00FD4DF0" w:rsidRPr="00E775E0" w:rsidRDefault="00FD4DF0" w:rsidP="000048AB">
            <w:pPr>
              <w:pStyle w:val="ColumnHeading"/>
              <w:keepNext/>
              <w:rPr>
                <w:noProof/>
              </w:rPr>
            </w:pPr>
            <w:r w:rsidRPr="00E775E0">
              <w:t>Ändringsförslag</w:t>
            </w:r>
          </w:p>
        </w:tc>
      </w:tr>
      <w:tr w:rsidR="00FD4DF0" w:rsidRPr="00FD4DF0" w:rsidTr="00FD4DF0">
        <w:trPr>
          <w:jc w:val="center"/>
        </w:trPr>
        <w:tc>
          <w:tcPr>
            <w:tcW w:w="4876" w:type="dxa"/>
            <w:hideMark/>
          </w:tcPr>
          <w:p w:rsidR="00FD4DF0" w:rsidRPr="00E775E0" w:rsidRDefault="00FD4DF0" w:rsidP="000048AB">
            <w:pPr>
              <w:pStyle w:val="Normal6"/>
              <w:rPr>
                <w:noProof/>
              </w:rPr>
            </w:pPr>
            <w:r w:rsidRPr="00E775E0">
              <w:t>(7)</w:t>
            </w:r>
            <w:r w:rsidRPr="00E775E0">
              <w:tab/>
              <w:t>Medlemsstaterna bör också ha tillräckligt med tid på sig för att använda de belopp som anslagits på nytt till samma åtgärd eller överförts till andra åtgärder före tillbakadragandet av dessa belopp. När sådana förnyade åtaganden eller överföringar av belopp enligt det nationella programmet godkänns av kommissionen, bör de berörda beloppen anses ha anslagits samma år som översynen av det nationella programmet, varigenom det förnyade åtagandet för eller överföringen av dessa belopp godkänns.</w:t>
            </w:r>
          </w:p>
        </w:tc>
        <w:tc>
          <w:tcPr>
            <w:tcW w:w="4876" w:type="dxa"/>
            <w:hideMark/>
          </w:tcPr>
          <w:p w:rsidR="00FD4DF0" w:rsidRPr="00E775E0" w:rsidRDefault="00FD4DF0" w:rsidP="000048AB">
            <w:pPr>
              <w:pStyle w:val="Normal6"/>
              <w:rPr>
                <w:noProof/>
                <w:szCs w:val="24"/>
              </w:rPr>
            </w:pPr>
            <w:r w:rsidRPr="00E775E0">
              <w:t>(7)</w:t>
            </w:r>
            <w:r w:rsidRPr="00E775E0">
              <w:tab/>
              <w:t xml:space="preserve">Medlemsstaterna bör också ha tillräckligt med tid på sig för att använda de belopp som anslagits på nytt till samma åtgärd eller överförts till andra </w:t>
            </w:r>
            <w:r w:rsidRPr="00E775E0">
              <w:rPr>
                <w:b/>
                <w:i/>
              </w:rPr>
              <w:t xml:space="preserve">särskilda </w:t>
            </w:r>
            <w:r w:rsidRPr="00E775E0">
              <w:t>åtgärder före tillbakadragandet av dessa belopp. När sådana förnyade åtaganden eller överföringar av belopp enligt det nationella programmet godkänns av kommissionen, bör de berörda beloppen anses ha anslagits samma år som översynen av det nationella programmet, varigenom det förnyade åtagandet för eller överföringen av dessa belopp godkänns.</w:t>
            </w:r>
          </w:p>
        </w:tc>
      </w:tr>
    </w:tbl>
    <w:p w:rsidR="00FD4DF0" w:rsidRPr="00FD4DF0" w:rsidRDefault="00FD4DF0" w:rsidP="00FD4DF0">
      <w:pPr>
        <w:rPr>
          <w:noProof/>
        </w:rPr>
      </w:pPr>
      <w:r w:rsidRPr="007358DF">
        <w:rPr>
          <w:rStyle w:val="HideTWBExt"/>
        </w:rPr>
        <w:t>&lt;/Amend&gt;</w:t>
      </w:r>
    </w:p>
    <w:p w:rsidR="00FD4DF0" w:rsidRPr="00FD4DF0" w:rsidRDefault="00FD4DF0" w:rsidP="00FD4DF0">
      <w:pPr>
        <w:pStyle w:val="AMNumberTabs"/>
        <w:keepNext/>
        <w:rPr>
          <w:noProof/>
        </w:rPr>
      </w:pPr>
      <w:r w:rsidRPr="007358DF">
        <w:rPr>
          <w:rStyle w:val="HideTWBExt"/>
          <w:b w:val="0"/>
        </w:rPr>
        <w:t>&lt;Amend&gt;</w:t>
      </w:r>
      <w:r w:rsidRPr="00E775E0">
        <w:t>Ändringsförslag</w:t>
      </w:r>
      <w:r w:rsidRPr="00E775E0">
        <w:tab/>
      </w:r>
      <w:r w:rsidRPr="00E775E0">
        <w:tab/>
      </w:r>
      <w:r w:rsidRPr="007358DF">
        <w:rPr>
          <w:rStyle w:val="HideTWBExt"/>
          <w:b w:val="0"/>
        </w:rPr>
        <w:t>&lt;NumAm&gt;</w:t>
      </w:r>
      <w:r w:rsidRPr="00E775E0">
        <w:t>5</w:t>
      </w:r>
      <w:r w:rsidRPr="007358DF">
        <w:rPr>
          <w:rStyle w:val="HideTWBExt"/>
          <w:b w:val="0"/>
        </w:rPr>
        <w:t>&lt;/NumAm&gt;</w:t>
      </w:r>
    </w:p>
    <w:p w:rsidR="00FD4DF0" w:rsidRPr="00FD4DF0" w:rsidRDefault="00FD4DF0" w:rsidP="00FD4DF0">
      <w:pPr>
        <w:pStyle w:val="NormalBold12b"/>
        <w:keepNext/>
        <w:rPr>
          <w:noProof/>
        </w:rPr>
      </w:pPr>
      <w:r w:rsidRPr="007358DF">
        <w:rPr>
          <w:rStyle w:val="HideTWBExt"/>
          <w:b w:val="0"/>
        </w:rPr>
        <w:t>&lt;DocAmend&gt;</w:t>
      </w:r>
      <w:r w:rsidRPr="00E775E0">
        <w:t>Förslag till förordning</w:t>
      </w:r>
      <w:r w:rsidRPr="007358DF">
        <w:rPr>
          <w:rStyle w:val="HideTWBExt"/>
          <w:b w:val="0"/>
        </w:rPr>
        <w:t>&lt;/DocAmend&gt;</w:t>
      </w:r>
    </w:p>
    <w:p w:rsidR="00FD4DF0" w:rsidRPr="00E70835" w:rsidRDefault="00FD4DF0" w:rsidP="00FD4DF0">
      <w:pPr>
        <w:pStyle w:val="NormalBold"/>
        <w:keepNext/>
        <w:rPr>
          <w:noProof/>
        </w:rPr>
      </w:pPr>
      <w:r>
        <w:rPr>
          <w:rStyle w:val="HideTWBExt"/>
          <w:b w:val="0"/>
        </w:rPr>
        <w:t>&lt;Article&gt;</w:t>
      </w:r>
      <w:r w:rsidRPr="00E775E0">
        <w:t>Skäl 7a (nytt)</w:t>
      </w:r>
      <w:r>
        <w:rPr>
          <w:rStyle w:val="HideTWBExt"/>
          <w:b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D4DF0" w:rsidRPr="00E70835" w:rsidTr="000048AB">
        <w:trPr>
          <w:jc w:val="center"/>
        </w:trPr>
        <w:tc>
          <w:tcPr>
            <w:tcW w:w="9752" w:type="dxa"/>
            <w:gridSpan w:val="2"/>
          </w:tcPr>
          <w:p w:rsidR="00FD4DF0" w:rsidRPr="00E70835" w:rsidRDefault="00FD4DF0" w:rsidP="000048AB">
            <w:pPr>
              <w:keepNext/>
              <w:rPr>
                <w:noProof/>
              </w:rPr>
            </w:pPr>
          </w:p>
        </w:tc>
      </w:tr>
      <w:tr w:rsidR="00FD4DF0" w:rsidRPr="00E70835" w:rsidTr="000048AB">
        <w:trPr>
          <w:jc w:val="center"/>
        </w:trPr>
        <w:tc>
          <w:tcPr>
            <w:tcW w:w="4876" w:type="dxa"/>
            <w:hideMark/>
          </w:tcPr>
          <w:p w:rsidR="00FD4DF0" w:rsidRPr="00E775E0" w:rsidRDefault="00FD4DF0" w:rsidP="000048AB">
            <w:pPr>
              <w:pStyle w:val="ColumnHeading"/>
              <w:keepNext/>
              <w:rPr>
                <w:noProof/>
              </w:rPr>
            </w:pPr>
            <w:r w:rsidRPr="00E775E0">
              <w:t>Kommissionens förslag</w:t>
            </w:r>
          </w:p>
        </w:tc>
        <w:tc>
          <w:tcPr>
            <w:tcW w:w="4876" w:type="dxa"/>
            <w:hideMark/>
          </w:tcPr>
          <w:p w:rsidR="00FD4DF0" w:rsidRPr="00E775E0" w:rsidRDefault="00FD4DF0" w:rsidP="000048AB">
            <w:pPr>
              <w:pStyle w:val="ColumnHeading"/>
              <w:keepNext/>
              <w:rPr>
                <w:noProof/>
              </w:rPr>
            </w:pPr>
            <w:r w:rsidRPr="00E775E0">
              <w:t>Ändringsförslag</w:t>
            </w:r>
          </w:p>
        </w:tc>
      </w:tr>
      <w:tr w:rsidR="00FD4DF0" w:rsidRPr="00FD4DF0" w:rsidTr="000048AB">
        <w:trPr>
          <w:jc w:val="center"/>
        </w:trPr>
        <w:tc>
          <w:tcPr>
            <w:tcW w:w="4876" w:type="dxa"/>
          </w:tcPr>
          <w:p w:rsidR="00FD4DF0" w:rsidRPr="00E775E0" w:rsidRDefault="00FD4DF0" w:rsidP="000048AB">
            <w:pPr>
              <w:pStyle w:val="Normal6"/>
              <w:rPr>
                <w:noProof/>
              </w:rPr>
            </w:pPr>
          </w:p>
        </w:tc>
        <w:tc>
          <w:tcPr>
            <w:tcW w:w="4876" w:type="dxa"/>
            <w:hideMark/>
          </w:tcPr>
          <w:p w:rsidR="00FD4DF0" w:rsidRPr="00E775E0" w:rsidRDefault="00FD4DF0" w:rsidP="000048AB">
            <w:pPr>
              <w:pStyle w:val="Normal6"/>
              <w:rPr>
                <w:b/>
                <w:i/>
                <w:noProof/>
              </w:rPr>
            </w:pPr>
            <w:r w:rsidRPr="00E775E0">
              <w:rPr>
                <w:b/>
                <w:i/>
              </w:rPr>
              <w:t>(7a)</w:t>
            </w:r>
            <w:r w:rsidRPr="00E775E0">
              <w:rPr>
                <w:b/>
                <w:i/>
              </w:rPr>
              <w:tab/>
              <w:t>Kommissionen bör årligen rapportera till Europaparlamentet och rådet om användningen av resurser för överföringen av personer som ansöker om och åtnjuter internationellt skydd, särskilt när det gäller överföringar till andra åtgärder inom ramen för det nationella programmet och förnyade åtaganden.</w:t>
            </w:r>
          </w:p>
        </w:tc>
      </w:tr>
    </w:tbl>
    <w:p w:rsidR="00FD4DF0" w:rsidRPr="00FD4DF0" w:rsidRDefault="00FD4DF0" w:rsidP="00FD4DF0">
      <w:pPr>
        <w:rPr>
          <w:noProof/>
        </w:rPr>
      </w:pPr>
      <w:r w:rsidRPr="007358DF">
        <w:rPr>
          <w:rStyle w:val="HideTWBExt"/>
        </w:rPr>
        <w:t>&lt;/Amend&gt;</w:t>
      </w:r>
    </w:p>
    <w:p w:rsidR="00FD4DF0" w:rsidRPr="00FD4DF0" w:rsidRDefault="00FD4DF0" w:rsidP="00FD4DF0">
      <w:pPr>
        <w:pStyle w:val="AMNumberTabs"/>
        <w:keepNext/>
        <w:rPr>
          <w:noProof/>
        </w:rPr>
      </w:pPr>
      <w:r w:rsidRPr="007358DF">
        <w:rPr>
          <w:rStyle w:val="HideTWBExt"/>
          <w:b w:val="0"/>
        </w:rPr>
        <w:t>&lt;Amend&gt;</w:t>
      </w:r>
      <w:r w:rsidRPr="00E775E0">
        <w:t>Ändringsförslag</w:t>
      </w:r>
      <w:r w:rsidRPr="00E775E0">
        <w:tab/>
      </w:r>
      <w:r w:rsidRPr="00E775E0">
        <w:tab/>
      </w:r>
      <w:r w:rsidRPr="007358DF">
        <w:rPr>
          <w:rStyle w:val="HideTWBExt"/>
          <w:b w:val="0"/>
        </w:rPr>
        <w:t>&lt;NumAm&gt;</w:t>
      </w:r>
      <w:r w:rsidRPr="00E775E0">
        <w:t>6</w:t>
      </w:r>
      <w:r w:rsidRPr="007358DF">
        <w:rPr>
          <w:rStyle w:val="HideTWBExt"/>
          <w:b w:val="0"/>
        </w:rPr>
        <w:t>&lt;/NumAm&gt;</w:t>
      </w:r>
    </w:p>
    <w:p w:rsidR="00FD4DF0" w:rsidRPr="00FD4DF0" w:rsidRDefault="00FD4DF0" w:rsidP="00FD4DF0">
      <w:pPr>
        <w:pStyle w:val="NormalBold12b"/>
        <w:keepNext/>
        <w:rPr>
          <w:noProof/>
        </w:rPr>
      </w:pPr>
      <w:r w:rsidRPr="007358DF">
        <w:rPr>
          <w:rStyle w:val="HideTWBExt"/>
          <w:b w:val="0"/>
        </w:rPr>
        <w:t>&lt;DocAmend&gt;</w:t>
      </w:r>
      <w:r w:rsidRPr="00E775E0">
        <w:t>Förslag till förordning</w:t>
      </w:r>
      <w:r w:rsidRPr="007358DF">
        <w:rPr>
          <w:rStyle w:val="HideTWBExt"/>
          <w:b w:val="0"/>
        </w:rPr>
        <w:t>&lt;/DocAmend&gt;</w:t>
      </w:r>
    </w:p>
    <w:p w:rsidR="00FD4DF0" w:rsidRPr="00E70835" w:rsidRDefault="00FD4DF0" w:rsidP="00FD4DF0">
      <w:pPr>
        <w:pStyle w:val="NormalBold"/>
        <w:keepNext/>
        <w:rPr>
          <w:noProof/>
        </w:rPr>
      </w:pPr>
      <w:r>
        <w:rPr>
          <w:rStyle w:val="HideTWBExt"/>
          <w:b w:val="0"/>
        </w:rPr>
        <w:t>&lt;Article&gt;</w:t>
      </w:r>
      <w:r w:rsidRPr="00E775E0">
        <w:t>Skäl 12a (nytt)</w:t>
      </w:r>
      <w:r>
        <w:rPr>
          <w:rStyle w:val="HideTWBExt"/>
          <w:b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D4DF0" w:rsidRPr="00E70835" w:rsidTr="000048AB">
        <w:trPr>
          <w:jc w:val="center"/>
        </w:trPr>
        <w:tc>
          <w:tcPr>
            <w:tcW w:w="9752" w:type="dxa"/>
            <w:gridSpan w:val="2"/>
          </w:tcPr>
          <w:p w:rsidR="00FD4DF0" w:rsidRPr="00E70835" w:rsidRDefault="00FD4DF0" w:rsidP="000048AB">
            <w:pPr>
              <w:keepNext/>
              <w:rPr>
                <w:noProof/>
              </w:rPr>
            </w:pPr>
          </w:p>
        </w:tc>
      </w:tr>
      <w:tr w:rsidR="00FD4DF0" w:rsidRPr="00E70835" w:rsidTr="000048AB">
        <w:trPr>
          <w:jc w:val="center"/>
        </w:trPr>
        <w:tc>
          <w:tcPr>
            <w:tcW w:w="4876" w:type="dxa"/>
            <w:hideMark/>
          </w:tcPr>
          <w:p w:rsidR="00FD4DF0" w:rsidRPr="00E775E0" w:rsidRDefault="00FD4DF0" w:rsidP="000048AB">
            <w:pPr>
              <w:pStyle w:val="ColumnHeading"/>
              <w:keepNext/>
              <w:rPr>
                <w:noProof/>
              </w:rPr>
            </w:pPr>
            <w:r w:rsidRPr="00E775E0">
              <w:t>Kommissionens förslag</w:t>
            </w:r>
          </w:p>
        </w:tc>
        <w:tc>
          <w:tcPr>
            <w:tcW w:w="4876" w:type="dxa"/>
            <w:hideMark/>
          </w:tcPr>
          <w:p w:rsidR="00FD4DF0" w:rsidRPr="00E775E0" w:rsidRDefault="00FD4DF0" w:rsidP="000048AB">
            <w:pPr>
              <w:pStyle w:val="ColumnHeading"/>
              <w:keepNext/>
              <w:rPr>
                <w:noProof/>
              </w:rPr>
            </w:pPr>
            <w:r w:rsidRPr="00E775E0">
              <w:t>Ändringsförslag</w:t>
            </w:r>
          </w:p>
        </w:tc>
      </w:tr>
      <w:tr w:rsidR="00FD4DF0" w:rsidRPr="00FD4DF0" w:rsidTr="000048AB">
        <w:trPr>
          <w:jc w:val="center"/>
        </w:trPr>
        <w:tc>
          <w:tcPr>
            <w:tcW w:w="4876" w:type="dxa"/>
          </w:tcPr>
          <w:p w:rsidR="00FD4DF0" w:rsidRPr="00E775E0" w:rsidRDefault="00FD4DF0" w:rsidP="000048AB">
            <w:pPr>
              <w:pStyle w:val="Normal6"/>
              <w:rPr>
                <w:noProof/>
              </w:rPr>
            </w:pPr>
          </w:p>
        </w:tc>
        <w:tc>
          <w:tcPr>
            <w:tcW w:w="4876" w:type="dxa"/>
            <w:hideMark/>
          </w:tcPr>
          <w:p w:rsidR="00FD4DF0" w:rsidRPr="00E775E0" w:rsidRDefault="00FD4DF0" w:rsidP="000048AB">
            <w:pPr>
              <w:pStyle w:val="Normal6"/>
              <w:rPr>
                <w:b/>
                <w:i/>
                <w:noProof/>
              </w:rPr>
            </w:pPr>
            <w:r w:rsidRPr="00E775E0">
              <w:rPr>
                <w:b/>
                <w:i/>
              </w:rPr>
              <w:t>(12a)</w:t>
            </w:r>
            <w:r w:rsidRPr="00E775E0">
              <w:rPr>
                <w:b/>
                <w:i/>
              </w:rPr>
              <w:tab/>
              <w:t xml:space="preserve">Om någon ändring av förordning (EU) nr 516/2014 inte kommer till stånd före utgången av 2018 kommer den relevanta finansieringen inte längre att vara tillgänglig för användning inom medlemsstaternas nationella program som </w:t>
            </w:r>
            <w:r w:rsidRPr="00E775E0">
              <w:rPr>
                <w:b/>
                <w:i/>
              </w:rPr>
              <w:lastRenderedPageBreak/>
              <w:t>stöds av asyl-, migrations- och integrationsfonden. Med tanke på den brådskande ändringen av förordning (EU) nr 516/2014 är det lämpligt att föreskriva ett undantag från den åttaveckorsperiod som avses i artikel 4 i protokoll nr 1 om de nationella parlamentens roll i Europeiska unionen, som är fogat till fördraget om Europeiska unionen, fördraget om Europeiska unionens funktionssätt och fördraget om upprättandet av Europeiska atomenergigemenskapen.</w:t>
            </w:r>
          </w:p>
        </w:tc>
      </w:tr>
    </w:tbl>
    <w:p w:rsidR="00FD4DF0" w:rsidRPr="00E70835" w:rsidRDefault="00FD4DF0" w:rsidP="00FD4DF0">
      <w:pPr>
        <w:rPr>
          <w:noProof/>
          <w:vanish/>
        </w:rPr>
      </w:pPr>
      <w:r>
        <w:rPr>
          <w:rStyle w:val="HideTWBExt"/>
        </w:rPr>
        <w:lastRenderedPageBreak/>
        <w:t>&lt;/Amend&gt;</w:t>
      </w:r>
    </w:p>
    <w:p w:rsidR="00FD4DF0" w:rsidRPr="00FD4DF0" w:rsidRDefault="00FD4DF0" w:rsidP="00FD4DF0">
      <w:pPr>
        <w:pStyle w:val="AMNumberTabs"/>
        <w:keepNext/>
        <w:rPr>
          <w:noProof/>
        </w:rPr>
      </w:pPr>
      <w:r w:rsidRPr="007358DF">
        <w:rPr>
          <w:rStyle w:val="HideTWBExt"/>
          <w:b w:val="0"/>
        </w:rPr>
        <w:t>&lt;Amend&gt;</w:t>
      </w:r>
      <w:r w:rsidRPr="00E775E0">
        <w:t>Ändringsförslag</w:t>
      </w:r>
      <w:r w:rsidRPr="00E775E0">
        <w:tab/>
      </w:r>
      <w:r w:rsidRPr="00E775E0">
        <w:tab/>
      </w:r>
      <w:r w:rsidRPr="007358DF">
        <w:rPr>
          <w:rStyle w:val="HideTWBExt"/>
          <w:b w:val="0"/>
        </w:rPr>
        <w:t>&lt;NumAm&gt;</w:t>
      </w:r>
      <w:r w:rsidRPr="00E775E0">
        <w:t>7</w:t>
      </w:r>
      <w:r w:rsidRPr="007358DF">
        <w:rPr>
          <w:rStyle w:val="HideTWBExt"/>
          <w:b w:val="0"/>
        </w:rPr>
        <w:t>&lt;/NumAm&gt;</w:t>
      </w:r>
    </w:p>
    <w:p w:rsidR="00FD4DF0" w:rsidRPr="00FD4DF0" w:rsidRDefault="00FD4DF0" w:rsidP="00FD4DF0">
      <w:pPr>
        <w:pStyle w:val="NormalBold12b"/>
        <w:keepNext/>
        <w:rPr>
          <w:noProof/>
        </w:rPr>
      </w:pPr>
      <w:r w:rsidRPr="007358DF">
        <w:rPr>
          <w:rStyle w:val="HideTWBExt"/>
          <w:b w:val="0"/>
        </w:rPr>
        <w:t>&lt;DocAmend&gt;</w:t>
      </w:r>
      <w:r w:rsidRPr="00E775E0">
        <w:t>Förslag till förordning</w:t>
      </w:r>
      <w:r w:rsidRPr="007358DF">
        <w:rPr>
          <w:rStyle w:val="HideTWBExt"/>
          <w:b w:val="0"/>
        </w:rPr>
        <w:t>&lt;/DocAmend&gt;</w:t>
      </w:r>
    </w:p>
    <w:p w:rsidR="00FD4DF0" w:rsidRPr="000C3FC6" w:rsidRDefault="00FD4DF0" w:rsidP="00FD4DF0">
      <w:pPr>
        <w:pStyle w:val="NormalBold"/>
        <w:keepNext/>
        <w:rPr>
          <w:noProof/>
        </w:rPr>
      </w:pPr>
      <w:r w:rsidRPr="007358DF">
        <w:rPr>
          <w:rStyle w:val="HideTWBExt"/>
          <w:b w:val="0"/>
        </w:rPr>
        <w:t>&lt;Article&gt;</w:t>
      </w:r>
      <w:r w:rsidRPr="00E775E0">
        <w:t>Artikel 1 – led -1 (nytt)</w:t>
      </w:r>
      <w:r w:rsidRPr="007358DF">
        <w:rPr>
          <w:rStyle w:val="HideTWBExt"/>
          <w:b w:val="0"/>
        </w:rPr>
        <w:t>&lt;/Article&gt;</w:t>
      </w:r>
    </w:p>
    <w:p w:rsidR="00FD4DF0" w:rsidRPr="00DF6B96" w:rsidRDefault="00FD4DF0" w:rsidP="00FD4DF0">
      <w:pPr>
        <w:keepNext/>
        <w:rPr>
          <w:noProof/>
        </w:rPr>
      </w:pPr>
      <w:r w:rsidRPr="007358DF">
        <w:rPr>
          <w:rStyle w:val="HideTWBExt"/>
        </w:rPr>
        <w:t>&lt;DocAmend2&gt;</w:t>
      </w:r>
      <w:r w:rsidRPr="00E775E0">
        <w:t>Förordning (EU) nr 516/2014</w:t>
      </w:r>
      <w:r w:rsidRPr="007358DF">
        <w:rPr>
          <w:rStyle w:val="HideTWBExt"/>
        </w:rPr>
        <w:t>&lt;/DocAmend2&gt;</w:t>
      </w:r>
    </w:p>
    <w:p w:rsidR="00FD4DF0" w:rsidRPr="00E70835" w:rsidRDefault="00FD4DF0" w:rsidP="00FD4DF0">
      <w:pPr>
        <w:rPr>
          <w:noProof/>
        </w:rPr>
      </w:pPr>
      <w:r>
        <w:rPr>
          <w:rStyle w:val="HideTWBExt"/>
        </w:rPr>
        <w:t>&lt;Article2&gt;</w:t>
      </w:r>
      <w:r w:rsidRPr="00E775E0">
        <w:t>Artikel 18 – rubriken</w:t>
      </w:r>
      <w:r>
        <w:rPr>
          <w:rStyle w:val="HideTWBExt"/>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D4DF0" w:rsidRPr="00E70835" w:rsidTr="000048AB">
        <w:trPr>
          <w:jc w:val="center"/>
        </w:trPr>
        <w:tc>
          <w:tcPr>
            <w:tcW w:w="9752" w:type="dxa"/>
            <w:gridSpan w:val="2"/>
          </w:tcPr>
          <w:p w:rsidR="00FD4DF0" w:rsidRPr="00E70835" w:rsidRDefault="00FD4DF0" w:rsidP="000048AB">
            <w:pPr>
              <w:keepNext/>
              <w:rPr>
                <w:noProof/>
              </w:rPr>
            </w:pPr>
          </w:p>
        </w:tc>
      </w:tr>
      <w:tr w:rsidR="00FD4DF0" w:rsidRPr="00E70835" w:rsidTr="000048AB">
        <w:trPr>
          <w:jc w:val="center"/>
        </w:trPr>
        <w:tc>
          <w:tcPr>
            <w:tcW w:w="4876" w:type="dxa"/>
            <w:hideMark/>
          </w:tcPr>
          <w:p w:rsidR="00FD4DF0" w:rsidRPr="00E775E0" w:rsidRDefault="00FD4DF0" w:rsidP="000048AB">
            <w:pPr>
              <w:pStyle w:val="ColumnHeading"/>
              <w:keepNext/>
              <w:rPr>
                <w:noProof/>
              </w:rPr>
            </w:pPr>
            <w:r w:rsidRPr="00E775E0">
              <w:t>Nuvarande lydelse</w:t>
            </w:r>
          </w:p>
        </w:tc>
        <w:tc>
          <w:tcPr>
            <w:tcW w:w="4876" w:type="dxa"/>
            <w:hideMark/>
          </w:tcPr>
          <w:p w:rsidR="00FD4DF0" w:rsidRPr="00E775E0" w:rsidRDefault="00FD4DF0" w:rsidP="000048AB">
            <w:pPr>
              <w:pStyle w:val="ColumnHeading"/>
              <w:keepNext/>
              <w:rPr>
                <w:noProof/>
              </w:rPr>
            </w:pPr>
            <w:r w:rsidRPr="00E775E0">
              <w:t>Ändringsförslag</w:t>
            </w:r>
          </w:p>
        </w:tc>
      </w:tr>
      <w:tr w:rsidR="00FD4DF0" w:rsidRPr="00FD4DF0" w:rsidTr="000048AB">
        <w:trPr>
          <w:jc w:val="center"/>
        </w:trPr>
        <w:tc>
          <w:tcPr>
            <w:tcW w:w="4876" w:type="dxa"/>
          </w:tcPr>
          <w:p w:rsidR="00FD4DF0" w:rsidRPr="00E775E0" w:rsidRDefault="00FD4DF0" w:rsidP="000048AB">
            <w:pPr>
              <w:pStyle w:val="ColumnHeading"/>
              <w:keepNext/>
              <w:rPr>
                <w:noProof/>
              </w:rPr>
            </w:pPr>
          </w:p>
        </w:tc>
        <w:tc>
          <w:tcPr>
            <w:tcW w:w="4876" w:type="dxa"/>
            <w:hideMark/>
          </w:tcPr>
          <w:p w:rsidR="00FD4DF0" w:rsidRPr="00E775E0" w:rsidRDefault="00FD4DF0" w:rsidP="000048AB">
            <w:pPr>
              <w:pStyle w:val="Normal6"/>
              <w:rPr>
                <w:b/>
                <w:i/>
                <w:noProof/>
              </w:rPr>
            </w:pPr>
            <w:r w:rsidRPr="00E775E0">
              <w:rPr>
                <w:b/>
                <w:i/>
              </w:rPr>
              <w:t>(-1)</w:t>
            </w:r>
            <w:r w:rsidRPr="00E775E0">
              <w:rPr>
                <w:b/>
                <w:i/>
              </w:rPr>
              <w:tab/>
              <w:t>Rubriken ska ersättas med följande:</w:t>
            </w:r>
          </w:p>
        </w:tc>
      </w:tr>
      <w:tr w:rsidR="00FD4DF0" w:rsidRPr="00FD4DF0" w:rsidTr="000048AB">
        <w:trPr>
          <w:jc w:val="center"/>
        </w:trPr>
        <w:tc>
          <w:tcPr>
            <w:tcW w:w="4876" w:type="dxa"/>
            <w:hideMark/>
          </w:tcPr>
          <w:p w:rsidR="00FD4DF0" w:rsidRPr="00E775E0" w:rsidRDefault="00FD4DF0" w:rsidP="000048AB">
            <w:pPr>
              <w:pStyle w:val="Normal6"/>
              <w:rPr>
                <w:noProof/>
              </w:rPr>
            </w:pPr>
            <w:r w:rsidRPr="00E775E0">
              <w:t>Resurser för överföring av personer som åtnjuter internationellt skydd</w:t>
            </w:r>
          </w:p>
        </w:tc>
        <w:tc>
          <w:tcPr>
            <w:tcW w:w="4876" w:type="dxa"/>
            <w:hideMark/>
          </w:tcPr>
          <w:p w:rsidR="00FD4DF0" w:rsidRPr="00E775E0" w:rsidRDefault="00FD4DF0" w:rsidP="000048AB">
            <w:pPr>
              <w:pStyle w:val="Normal6"/>
              <w:rPr>
                <w:noProof/>
                <w:szCs w:val="24"/>
              </w:rPr>
            </w:pPr>
            <w:r w:rsidRPr="00E775E0">
              <w:rPr>
                <w:b/>
                <w:i/>
              </w:rPr>
              <w:t>”</w:t>
            </w:r>
            <w:r w:rsidRPr="00E775E0">
              <w:t xml:space="preserve">Resurser för överföring av personer som </w:t>
            </w:r>
            <w:r w:rsidRPr="00E775E0">
              <w:rPr>
                <w:b/>
                <w:i/>
              </w:rPr>
              <w:t xml:space="preserve">ansöker om eller </w:t>
            </w:r>
            <w:r w:rsidRPr="00E775E0">
              <w:t>åtnjuter internationellt skydd</w:t>
            </w:r>
            <w:r w:rsidRPr="00E775E0">
              <w:rPr>
                <w:b/>
                <w:i/>
              </w:rPr>
              <w:t>”</w:t>
            </w:r>
          </w:p>
        </w:tc>
      </w:tr>
    </w:tbl>
    <w:p w:rsidR="00FD4DF0" w:rsidRPr="00FD4DF0" w:rsidRDefault="00FD4DF0" w:rsidP="00FD4DF0">
      <w:pPr>
        <w:pStyle w:val="CrossRef"/>
        <w:rPr>
          <w:noProof/>
        </w:rPr>
      </w:pPr>
      <w:r>
        <w:t>(https://eur-lex.europa.eu/legal-content/SV/TXT/?uri=celex%3A32014R0516)</w:t>
      </w:r>
    </w:p>
    <w:p w:rsidR="00FD4DF0" w:rsidRPr="00FD4DF0" w:rsidRDefault="00FD4DF0" w:rsidP="00FD4DF0">
      <w:pPr>
        <w:rPr>
          <w:noProof/>
        </w:rPr>
      </w:pPr>
      <w:r w:rsidRPr="007358DF">
        <w:rPr>
          <w:rStyle w:val="HideTWBExt"/>
        </w:rPr>
        <w:t>&lt;/Amend&gt;</w:t>
      </w:r>
    </w:p>
    <w:p w:rsidR="00FD4DF0" w:rsidRPr="00FD4DF0" w:rsidRDefault="00FD4DF0" w:rsidP="00FD4DF0">
      <w:pPr>
        <w:pStyle w:val="AMNumberTabs"/>
        <w:keepNext/>
        <w:rPr>
          <w:noProof/>
        </w:rPr>
      </w:pPr>
      <w:r w:rsidRPr="007358DF">
        <w:rPr>
          <w:rStyle w:val="HideTWBExt"/>
          <w:b w:val="0"/>
        </w:rPr>
        <w:t>&lt;Amend&gt;</w:t>
      </w:r>
      <w:r w:rsidRPr="00E775E0">
        <w:t>Ändringsförslag</w:t>
      </w:r>
      <w:r w:rsidRPr="00E775E0">
        <w:tab/>
      </w:r>
      <w:r w:rsidRPr="00E775E0">
        <w:tab/>
      </w:r>
      <w:r w:rsidRPr="007358DF">
        <w:rPr>
          <w:rStyle w:val="HideTWBExt"/>
          <w:b w:val="0"/>
        </w:rPr>
        <w:t>&lt;NumAm&gt;</w:t>
      </w:r>
      <w:r w:rsidRPr="00E775E0">
        <w:t>8</w:t>
      </w:r>
      <w:r w:rsidRPr="007358DF">
        <w:rPr>
          <w:rStyle w:val="HideTWBExt"/>
          <w:b w:val="0"/>
        </w:rPr>
        <w:t>&lt;/NumAm&gt;</w:t>
      </w:r>
    </w:p>
    <w:p w:rsidR="00FD4DF0" w:rsidRPr="00FD4DF0" w:rsidRDefault="00FD4DF0" w:rsidP="00FD4DF0">
      <w:pPr>
        <w:pStyle w:val="NormalBold12b"/>
        <w:rPr>
          <w:noProof/>
        </w:rPr>
      </w:pPr>
      <w:r w:rsidRPr="007358DF">
        <w:rPr>
          <w:rStyle w:val="HideTWBExt"/>
          <w:b w:val="0"/>
        </w:rPr>
        <w:t>&lt;DocAmend&gt;</w:t>
      </w:r>
      <w:r w:rsidRPr="00E775E0">
        <w:t>Förslag till förordning</w:t>
      </w:r>
      <w:r w:rsidRPr="007358DF">
        <w:rPr>
          <w:rStyle w:val="HideTWBExt"/>
          <w:b w:val="0"/>
        </w:rPr>
        <w:t>&lt;/DocAmend&gt;</w:t>
      </w:r>
    </w:p>
    <w:p w:rsidR="00FD4DF0" w:rsidRPr="000C3FC6" w:rsidRDefault="00FD4DF0" w:rsidP="00FD4DF0">
      <w:pPr>
        <w:pStyle w:val="NormalBold"/>
        <w:keepNext/>
        <w:rPr>
          <w:noProof/>
        </w:rPr>
      </w:pPr>
      <w:r w:rsidRPr="007358DF">
        <w:rPr>
          <w:rStyle w:val="HideTWBExt"/>
          <w:b w:val="0"/>
        </w:rPr>
        <w:t>&lt;Article&gt;</w:t>
      </w:r>
      <w:r w:rsidRPr="00E775E0">
        <w:t>Artikel 1 – led 1</w:t>
      </w:r>
      <w:r w:rsidRPr="007358DF">
        <w:rPr>
          <w:rStyle w:val="HideTWBExt"/>
          <w:b w:val="0"/>
        </w:rPr>
        <w:t>&lt;/Article&gt;</w:t>
      </w:r>
    </w:p>
    <w:p w:rsidR="00FD4DF0" w:rsidRPr="00DF6B96" w:rsidRDefault="00FD4DF0" w:rsidP="00FD4DF0">
      <w:pPr>
        <w:keepNext/>
        <w:rPr>
          <w:noProof/>
        </w:rPr>
      </w:pPr>
      <w:r w:rsidRPr="007358DF">
        <w:rPr>
          <w:rStyle w:val="HideTWBExt"/>
        </w:rPr>
        <w:t>&lt;DocAmend2&gt;</w:t>
      </w:r>
      <w:r w:rsidRPr="00E775E0">
        <w:t>Förordning (EU) nr 516/2014</w:t>
      </w:r>
      <w:r w:rsidRPr="007358DF">
        <w:rPr>
          <w:rStyle w:val="HideTWBExt"/>
        </w:rPr>
        <w:t>&lt;/DocAmend2&gt;</w:t>
      </w:r>
    </w:p>
    <w:p w:rsidR="00FD4DF0" w:rsidRPr="00E70835" w:rsidRDefault="00FD4DF0" w:rsidP="00FD4DF0">
      <w:pPr>
        <w:rPr>
          <w:noProof/>
        </w:rPr>
      </w:pPr>
      <w:r>
        <w:rPr>
          <w:rStyle w:val="HideTWBExt"/>
        </w:rPr>
        <w:t>&lt;Article2&gt;</w:t>
      </w:r>
      <w:r w:rsidRPr="00E775E0">
        <w:t>Artikel 18 – punkt 1</w:t>
      </w:r>
      <w:r>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D4DF0" w:rsidRPr="00E70835" w:rsidTr="000048AB">
        <w:trPr>
          <w:jc w:val="center"/>
        </w:trPr>
        <w:tc>
          <w:tcPr>
            <w:tcW w:w="9752" w:type="dxa"/>
            <w:gridSpan w:val="2"/>
          </w:tcPr>
          <w:p w:rsidR="00FD4DF0" w:rsidRPr="00E70835" w:rsidRDefault="00FD4DF0" w:rsidP="000048AB">
            <w:pPr>
              <w:keepNext/>
              <w:rPr>
                <w:noProof/>
              </w:rPr>
            </w:pPr>
          </w:p>
        </w:tc>
      </w:tr>
      <w:tr w:rsidR="00FD4DF0" w:rsidRPr="00E70835" w:rsidTr="000048AB">
        <w:trPr>
          <w:jc w:val="center"/>
        </w:trPr>
        <w:tc>
          <w:tcPr>
            <w:tcW w:w="4876" w:type="dxa"/>
            <w:hideMark/>
          </w:tcPr>
          <w:p w:rsidR="00FD4DF0" w:rsidRPr="00E775E0" w:rsidRDefault="00FD4DF0" w:rsidP="000048AB">
            <w:pPr>
              <w:pStyle w:val="ColumnHeading"/>
              <w:keepNext/>
              <w:rPr>
                <w:noProof/>
              </w:rPr>
            </w:pPr>
            <w:r w:rsidRPr="00E775E0">
              <w:t>Kommissionens förslag</w:t>
            </w:r>
          </w:p>
        </w:tc>
        <w:tc>
          <w:tcPr>
            <w:tcW w:w="4876" w:type="dxa"/>
            <w:hideMark/>
          </w:tcPr>
          <w:p w:rsidR="00FD4DF0" w:rsidRPr="00E775E0" w:rsidRDefault="00FD4DF0" w:rsidP="000048AB">
            <w:pPr>
              <w:pStyle w:val="ColumnHeading"/>
              <w:keepNext/>
              <w:rPr>
                <w:noProof/>
              </w:rPr>
            </w:pPr>
            <w:r w:rsidRPr="00E775E0">
              <w:t>Ändringsförslag</w:t>
            </w:r>
          </w:p>
        </w:tc>
      </w:tr>
      <w:tr w:rsidR="00FD4DF0" w:rsidRPr="00E70835" w:rsidTr="000048AB">
        <w:trPr>
          <w:jc w:val="center"/>
        </w:trPr>
        <w:tc>
          <w:tcPr>
            <w:tcW w:w="4876" w:type="dxa"/>
          </w:tcPr>
          <w:p w:rsidR="00FD4DF0" w:rsidRPr="00E775E0" w:rsidRDefault="00FD4DF0" w:rsidP="000048AB">
            <w:pPr>
              <w:pStyle w:val="Normal6"/>
              <w:rPr>
                <w:b/>
                <w:bCs/>
                <w:i/>
                <w:iCs/>
                <w:noProof/>
              </w:rPr>
            </w:pPr>
            <w:r w:rsidRPr="00E775E0">
              <w:rPr>
                <w:b/>
                <w:bCs/>
                <w:i/>
                <w:iCs/>
              </w:rPr>
              <w:t>(1)</w:t>
            </w:r>
            <w:r w:rsidRPr="00E775E0">
              <w:rPr>
                <w:b/>
                <w:bCs/>
                <w:i/>
                <w:iCs/>
              </w:rPr>
              <w:tab/>
              <w:t xml:space="preserve">I punkt 1 ska orden ”person som åtnjuter internationellt skydd” ersättas med ”person som ansöker om eller åtnjuter internationellt skydd”. </w:t>
            </w:r>
          </w:p>
        </w:tc>
        <w:tc>
          <w:tcPr>
            <w:tcW w:w="4876" w:type="dxa"/>
            <w:hideMark/>
          </w:tcPr>
          <w:p w:rsidR="00FD4DF0" w:rsidRPr="00E775E0" w:rsidRDefault="00FD4DF0" w:rsidP="000048AB">
            <w:pPr>
              <w:pStyle w:val="Normal6"/>
              <w:rPr>
                <w:b/>
                <w:bCs/>
                <w:i/>
                <w:iCs/>
                <w:noProof/>
              </w:rPr>
            </w:pPr>
            <w:r w:rsidRPr="00E775E0">
              <w:rPr>
                <w:b/>
                <w:bCs/>
                <w:i/>
                <w:iCs/>
              </w:rPr>
              <w:t>utgår</w:t>
            </w:r>
          </w:p>
        </w:tc>
      </w:tr>
    </w:tbl>
    <w:p w:rsidR="00FD4DF0" w:rsidRPr="00E70835" w:rsidRDefault="00FD4DF0" w:rsidP="00FD4DF0">
      <w:pPr>
        <w:pStyle w:val="CrossRef"/>
        <w:rPr>
          <w:noProof/>
        </w:rPr>
      </w:pPr>
      <w:r>
        <w:t>(https://eur-lex.europa.eu/legal-content/SV/TXT/?uri=celex%3A32014R0516)</w:t>
      </w:r>
    </w:p>
    <w:p w:rsidR="00FD4DF0" w:rsidRPr="00E70835" w:rsidRDefault="00FD4DF0" w:rsidP="00FD4DF0">
      <w:pPr>
        <w:rPr>
          <w:noProof/>
        </w:rPr>
      </w:pPr>
      <w:r>
        <w:rPr>
          <w:rStyle w:val="HideTWBExt"/>
        </w:rPr>
        <w:t>&lt;/Amend&gt;</w:t>
      </w:r>
    </w:p>
    <w:p w:rsidR="00FD4DF0" w:rsidRPr="00FD4DF0" w:rsidRDefault="00FD4DF0" w:rsidP="00FD4DF0">
      <w:pPr>
        <w:pStyle w:val="AMNumberTabs"/>
        <w:keepNext/>
        <w:rPr>
          <w:noProof/>
        </w:rPr>
      </w:pPr>
      <w:r w:rsidRPr="007358DF">
        <w:rPr>
          <w:rStyle w:val="HideTWBExt"/>
          <w:b w:val="0"/>
        </w:rPr>
        <w:lastRenderedPageBreak/>
        <w:t>&lt;Amend&gt;</w:t>
      </w:r>
      <w:r w:rsidRPr="00E775E0">
        <w:t>Ändringsförslag</w:t>
      </w:r>
      <w:r w:rsidRPr="00E775E0">
        <w:tab/>
      </w:r>
      <w:r w:rsidRPr="00E775E0">
        <w:tab/>
      </w:r>
      <w:r w:rsidRPr="007358DF">
        <w:rPr>
          <w:rStyle w:val="HideTWBExt"/>
          <w:b w:val="0"/>
        </w:rPr>
        <w:t>&lt;NumAm&gt;</w:t>
      </w:r>
      <w:r w:rsidRPr="00E775E0">
        <w:t>9</w:t>
      </w:r>
      <w:r w:rsidRPr="007358DF">
        <w:rPr>
          <w:rStyle w:val="HideTWBExt"/>
          <w:b w:val="0"/>
        </w:rPr>
        <w:t>&lt;/NumAm&gt;</w:t>
      </w:r>
    </w:p>
    <w:p w:rsidR="00FD4DF0" w:rsidRPr="00FD4DF0" w:rsidRDefault="00FD4DF0" w:rsidP="00FD4DF0">
      <w:pPr>
        <w:pStyle w:val="NormalBold12b"/>
        <w:rPr>
          <w:noProof/>
        </w:rPr>
      </w:pPr>
      <w:r w:rsidRPr="007358DF">
        <w:rPr>
          <w:rStyle w:val="HideTWBExt"/>
          <w:b w:val="0"/>
        </w:rPr>
        <w:t>&lt;DocAmend&gt;</w:t>
      </w:r>
      <w:r w:rsidRPr="00E775E0">
        <w:t>Förslag till förordning</w:t>
      </w:r>
      <w:r w:rsidRPr="007358DF">
        <w:rPr>
          <w:rStyle w:val="HideTWBExt"/>
          <w:b w:val="0"/>
        </w:rPr>
        <w:t>&lt;/DocAmend&gt;</w:t>
      </w:r>
    </w:p>
    <w:p w:rsidR="00FD4DF0" w:rsidRPr="000C3FC6" w:rsidRDefault="00FD4DF0" w:rsidP="00FD4DF0">
      <w:pPr>
        <w:pStyle w:val="NormalBold"/>
        <w:keepNext/>
        <w:rPr>
          <w:noProof/>
        </w:rPr>
      </w:pPr>
      <w:r w:rsidRPr="007358DF">
        <w:rPr>
          <w:rStyle w:val="HideTWBExt"/>
          <w:b w:val="0"/>
        </w:rPr>
        <w:t>&lt;Article&gt;</w:t>
      </w:r>
      <w:r w:rsidRPr="00E775E0">
        <w:t>Artikel 1 – led 1a (nytt)</w:t>
      </w:r>
      <w:r w:rsidRPr="007358DF">
        <w:rPr>
          <w:rStyle w:val="HideTWBExt"/>
          <w:b w:val="0"/>
        </w:rPr>
        <w:t>&lt;/Article&gt;</w:t>
      </w:r>
    </w:p>
    <w:p w:rsidR="00FD4DF0" w:rsidRPr="000C3FC6" w:rsidRDefault="00FD4DF0" w:rsidP="00FD4DF0">
      <w:pPr>
        <w:keepNext/>
        <w:rPr>
          <w:noProof/>
        </w:rPr>
      </w:pPr>
      <w:r w:rsidRPr="007358DF">
        <w:rPr>
          <w:rStyle w:val="HideTWBExt"/>
        </w:rPr>
        <w:t>&lt;DocAmend2&gt;</w:t>
      </w:r>
      <w:r w:rsidRPr="00E775E0">
        <w:t>Förordning (EU) nr 516/2014</w:t>
      </w:r>
      <w:r w:rsidRPr="007358DF">
        <w:rPr>
          <w:rStyle w:val="HideTWBExt"/>
        </w:rPr>
        <w:t>&lt;/DocAmend2&gt;</w:t>
      </w:r>
    </w:p>
    <w:p w:rsidR="00FD4DF0" w:rsidRPr="00E70835" w:rsidRDefault="00FD4DF0" w:rsidP="00FD4DF0">
      <w:pPr>
        <w:rPr>
          <w:noProof/>
        </w:rPr>
      </w:pPr>
      <w:r>
        <w:rPr>
          <w:rStyle w:val="HideTWBExt"/>
        </w:rPr>
        <w:t>&lt;Article2&gt;</w:t>
      </w:r>
      <w:r w:rsidRPr="00E775E0">
        <w:t>Artikel 18 – punkt 1</w:t>
      </w:r>
      <w:r>
        <w:rPr>
          <w:rStyle w:val="HideTWBExt"/>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D4DF0" w:rsidRPr="00E70835" w:rsidTr="000048AB">
        <w:trPr>
          <w:jc w:val="center"/>
        </w:trPr>
        <w:tc>
          <w:tcPr>
            <w:tcW w:w="9752" w:type="dxa"/>
            <w:gridSpan w:val="2"/>
          </w:tcPr>
          <w:p w:rsidR="00FD4DF0" w:rsidRPr="00E70835" w:rsidRDefault="00FD4DF0" w:rsidP="000048AB">
            <w:pPr>
              <w:keepNext/>
              <w:rPr>
                <w:noProof/>
              </w:rPr>
            </w:pPr>
          </w:p>
        </w:tc>
      </w:tr>
      <w:tr w:rsidR="00FD4DF0" w:rsidRPr="00E70835" w:rsidTr="000048AB">
        <w:trPr>
          <w:jc w:val="center"/>
        </w:trPr>
        <w:tc>
          <w:tcPr>
            <w:tcW w:w="4876" w:type="dxa"/>
            <w:hideMark/>
          </w:tcPr>
          <w:p w:rsidR="00FD4DF0" w:rsidRPr="00E775E0" w:rsidRDefault="00FD4DF0" w:rsidP="000048AB">
            <w:pPr>
              <w:pStyle w:val="ColumnHeading"/>
              <w:keepNext/>
              <w:rPr>
                <w:noProof/>
              </w:rPr>
            </w:pPr>
            <w:r w:rsidRPr="00E775E0">
              <w:t>Nuvarande lydelse</w:t>
            </w:r>
          </w:p>
        </w:tc>
        <w:tc>
          <w:tcPr>
            <w:tcW w:w="4876" w:type="dxa"/>
            <w:hideMark/>
          </w:tcPr>
          <w:p w:rsidR="00FD4DF0" w:rsidRPr="00E775E0" w:rsidRDefault="00FD4DF0" w:rsidP="000048AB">
            <w:pPr>
              <w:pStyle w:val="ColumnHeading"/>
              <w:keepNext/>
              <w:rPr>
                <w:noProof/>
              </w:rPr>
            </w:pPr>
            <w:r w:rsidRPr="00E775E0">
              <w:t>Ändringsförslag</w:t>
            </w:r>
          </w:p>
        </w:tc>
      </w:tr>
      <w:tr w:rsidR="00FD4DF0" w:rsidRPr="00FD4DF0" w:rsidTr="000048AB">
        <w:trPr>
          <w:jc w:val="center"/>
        </w:trPr>
        <w:tc>
          <w:tcPr>
            <w:tcW w:w="4876" w:type="dxa"/>
          </w:tcPr>
          <w:p w:rsidR="00FD4DF0" w:rsidRPr="00E775E0" w:rsidRDefault="00FD4DF0" w:rsidP="000048AB">
            <w:pPr>
              <w:pStyle w:val="Normal6"/>
              <w:rPr>
                <w:b/>
                <w:bCs/>
                <w:i/>
                <w:iCs/>
                <w:noProof/>
              </w:rPr>
            </w:pPr>
          </w:p>
        </w:tc>
        <w:tc>
          <w:tcPr>
            <w:tcW w:w="4876" w:type="dxa"/>
            <w:hideMark/>
          </w:tcPr>
          <w:p w:rsidR="00FD4DF0" w:rsidRPr="00E775E0" w:rsidRDefault="00FD4DF0" w:rsidP="000048AB">
            <w:pPr>
              <w:pStyle w:val="Normal6"/>
              <w:rPr>
                <w:b/>
                <w:bCs/>
                <w:i/>
                <w:iCs/>
                <w:noProof/>
              </w:rPr>
            </w:pPr>
            <w:r w:rsidRPr="00E775E0">
              <w:rPr>
                <w:b/>
                <w:bCs/>
                <w:i/>
                <w:iCs/>
              </w:rPr>
              <w:t>(1a)</w:t>
            </w:r>
            <w:r w:rsidRPr="00E775E0">
              <w:rPr>
                <w:b/>
                <w:bCs/>
                <w:i/>
                <w:iCs/>
              </w:rPr>
              <w:tab/>
              <w:t>Punkt 1 ska ersättas med följande:</w:t>
            </w:r>
          </w:p>
        </w:tc>
      </w:tr>
      <w:tr w:rsidR="00FD4DF0" w:rsidRPr="00FD4DF0" w:rsidTr="000048AB">
        <w:trPr>
          <w:jc w:val="center"/>
        </w:trPr>
        <w:tc>
          <w:tcPr>
            <w:tcW w:w="4876" w:type="dxa"/>
            <w:hideMark/>
          </w:tcPr>
          <w:p w:rsidR="00FD4DF0" w:rsidRPr="00E775E0" w:rsidRDefault="00FD4DF0" w:rsidP="000048AB">
            <w:pPr>
              <w:pStyle w:val="Normal6"/>
              <w:rPr>
                <w:noProof/>
              </w:rPr>
            </w:pPr>
            <w:r w:rsidRPr="00E775E0">
              <w:t>”1.</w:t>
            </w:r>
            <w:r w:rsidRPr="00E775E0">
              <w:tab/>
              <w:t xml:space="preserve">I syfte att tillämpa principen om solidaritet och rättvis ansvarsfördelning och mot bakgrund av unionspolitikens utveckling under fondens genomförandeperiod ska medlemsstaterna få, utöver sina anslag, som ska beräknas i enlighet med artikel 15.1 a, ett tilläggsbelopp enligt artikel 15.2 b, baserat på ett schablonbelopp på </w:t>
            </w:r>
            <w:r w:rsidRPr="00E775E0">
              <w:rPr>
                <w:b/>
                <w:i/>
              </w:rPr>
              <w:t>6</w:t>
            </w:r>
            <w:r w:rsidRPr="00E775E0">
              <w:t> </w:t>
            </w:r>
            <w:r w:rsidRPr="00E775E0">
              <w:rPr>
                <w:b/>
                <w:i/>
              </w:rPr>
              <w:t>000</w:t>
            </w:r>
            <w:r w:rsidRPr="00E775E0">
              <w:t> EUR för varje person som åtnjuter internationellt skydd som överförs från en annan medlemsstat.</w:t>
            </w:r>
          </w:p>
        </w:tc>
        <w:tc>
          <w:tcPr>
            <w:tcW w:w="4876" w:type="dxa"/>
            <w:hideMark/>
          </w:tcPr>
          <w:p w:rsidR="00FD4DF0" w:rsidRPr="00E775E0" w:rsidRDefault="00FD4DF0" w:rsidP="000048AB">
            <w:pPr>
              <w:pStyle w:val="Normal6"/>
              <w:rPr>
                <w:noProof/>
                <w:szCs w:val="24"/>
              </w:rPr>
            </w:pPr>
            <w:r w:rsidRPr="00E775E0">
              <w:t>”1.</w:t>
            </w:r>
            <w:r w:rsidRPr="00E775E0">
              <w:tab/>
              <w:t xml:space="preserve">I syfte att tillämpa principen om solidaritet och rättvis ansvarsfördelning och mot bakgrund av unionspolitikens utveckling under fondens genomförandeperiod ska medlemsstaterna få, utöver sina anslag, som ska beräknas i enlighet med artikel 15.1 a, ett tilläggsbelopp enligt artikel 15.2 b, baserat på ett schablonbelopp på </w:t>
            </w:r>
            <w:r w:rsidRPr="00E775E0">
              <w:rPr>
                <w:b/>
                <w:i/>
              </w:rPr>
              <w:t>10</w:t>
            </w:r>
            <w:r w:rsidRPr="00E775E0">
              <w:t> </w:t>
            </w:r>
            <w:r w:rsidRPr="00E775E0">
              <w:rPr>
                <w:b/>
                <w:i/>
              </w:rPr>
              <w:t>000</w:t>
            </w:r>
            <w:r w:rsidRPr="00E775E0">
              <w:t> EUR för varje person som</w:t>
            </w:r>
            <w:r w:rsidRPr="00E775E0">
              <w:rPr>
                <w:b/>
                <w:i/>
              </w:rPr>
              <w:t xml:space="preserve"> ansöker om eller</w:t>
            </w:r>
            <w:r w:rsidRPr="00E775E0">
              <w:t xml:space="preserve"> åtnjuter internationellt skydd som överförs från en annan medlemsstat.</w:t>
            </w:r>
          </w:p>
        </w:tc>
      </w:tr>
    </w:tbl>
    <w:p w:rsidR="00FD4DF0" w:rsidRPr="00FD4DF0" w:rsidRDefault="00FD4DF0" w:rsidP="00FD4DF0">
      <w:pPr>
        <w:pStyle w:val="CrossRef"/>
        <w:rPr>
          <w:noProof/>
        </w:rPr>
      </w:pPr>
      <w:r>
        <w:t>(https://eur-lex.europa.eu/legal-content/SV/TXT/?uri=celex%3A32014R0516)</w:t>
      </w:r>
    </w:p>
    <w:p w:rsidR="00FD4DF0" w:rsidRPr="00FD4DF0" w:rsidRDefault="00FD4DF0" w:rsidP="00FD4DF0">
      <w:pPr>
        <w:rPr>
          <w:noProof/>
        </w:rPr>
      </w:pPr>
      <w:r w:rsidRPr="007358DF">
        <w:rPr>
          <w:rStyle w:val="HideTWBExt"/>
        </w:rPr>
        <w:t>&lt;/Amend&gt;</w:t>
      </w:r>
    </w:p>
    <w:p w:rsidR="00FD4DF0" w:rsidRPr="00FD4DF0" w:rsidRDefault="00FD4DF0" w:rsidP="00FD4DF0">
      <w:pPr>
        <w:pStyle w:val="AMNumberTabs"/>
        <w:keepNext/>
        <w:rPr>
          <w:noProof/>
        </w:rPr>
      </w:pPr>
      <w:r w:rsidRPr="007358DF">
        <w:rPr>
          <w:rStyle w:val="HideTWBExt"/>
          <w:b w:val="0"/>
        </w:rPr>
        <w:t>&lt;Amend&gt;</w:t>
      </w:r>
      <w:r w:rsidRPr="00E775E0">
        <w:t>Ändringsförslag</w:t>
      </w:r>
      <w:r w:rsidRPr="00E775E0">
        <w:tab/>
      </w:r>
      <w:r w:rsidRPr="00E775E0">
        <w:tab/>
      </w:r>
      <w:r w:rsidRPr="007358DF">
        <w:rPr>
          <w:rStyle w:val="HideTWBExt"/>
          <w:b w:val="0"/>
        </w:rPr>
        <w:t>&lt;NumAm&gt;</w:t>
      </w:r>
      <w:r w:rsidRPr="00E775E0">
        <w:t>10</w:t>
      </w:r>
      <w:r w:rsidRPr="007358DF">
        <w:rPr>
          <w:rStyle w:val="HideTWBExt"/>
          <w:b w:val="0"/>
        </w:rPr>
        <w:t>&lt;/NumAm&gt;</w:t>
      </w:r>
    </w:p>
    <w:p w:rsidR="00FD4DF0" w:rsidRPr="00FD4DF0" w:rsidRDefault="00FD4DF0" w:rsidP="00FD4DF0">
      <w:pPr>
        <w:pStyle w:val="NormalBold12b"/>
        <w:rPr>
          <w:noProof/>
        </w:rPr>
      </w:pPr>
      <w:r w:rsidRPr="007358DF">
        <w:rPr>
          <w:rStyle w:val="HideTWBExt"/>
          <w:b w:val="0"/>
        </w:rPr>
        <w:t>&lt;DocAmend&gt;</w:t>
      </w:r>
      <w:r w:rsidRPr="00E775E0">
        <w:t>Förslag till förordning</w:t>
      </w:r>
      <w:r w:rsidRPr="007358DF">
        <w:rPr>
          <w:rStyle w:val="HideTWBExt"/>
          <w:b w:val="0"/>
        </w:rPr>
        <w:t>&lt;/DocAmend&gt;</w:t>
      </w:r>
    </w:p>
    <w:p w:rsidR="00FD4DF0" w:rsidRPr="000C3FC6" w:rsidRDefault="00FD4DF0" w:rsidP="00FD4DF0">
      <w:pPr>
        <w:pStyle w:val="NormalBold"/>
        <w:keepNext/>
        <w:rPr>
          <w:noProof/>
        </w:rPr>
      </w:pPr>
      <w:r w:rsidRPr="007358DF">
        <w:rPr>
          <w:rStyle w:val="HideTWBExt"/>
          <w:b w:val="0"/>
        </w:rPr>
        <w:t>&lt;Article&gt;</w:t>
      </w:r>
      <w:r w:rsidRPr="00E775E0">
        <w:t>Artikel 1 – led 2</w:t>
      </w:r>
      <w:r w:rsidRPr="007358DF">
        <w:rPr>
          <w:rStyle w:val="HideTWBExt"/>
          <w:b w:val="0"/>
        </w:rPr>
        <w:t>&lt;/Article&gt;</w:t>
      </w:r>
    </w:p>
    <w:p w:rsidR="00FD4DF0" w:rsidRPr="00DF6B96" w:rsidRDefault="00FD4DF0" w:rsidP="00FD4DF0">
      <w:pPr>
        <w:keepNext/>
        <w:rPr>
          <w:noProof/>
        </w:rPr>
      </w:pPr>
      <w:r w:rsidRPr="007358DF">
        <w:rPr>
          <w:rStyle w:val="HideTWBExt"/>
        </w:rPr>
        <w:t>&lt;DocAmend2&gt;</w:t>
      </w:r>
      <w:r w:rsidRPr="00E775E0">
        <w:t>Förordning (EU) nr 516/2014</w:t>
      </w:r>
      <w:r w:rsidRPr="007358DF">
        <w:rPr>
          <w:rStyle w:val="HideTWBExt"/>
        </w:rPr>
        <w:t>&lt;/DocAmend2&gt;</w:t>
      </w:r>
    </w:p>
    <w:p w:rsidR="00FD4DF0" w:rsidRPr="00E70835" w:rsidRDefault="00FD4DF0" w:rsidP="00FD4DF0">
      <w:pPr>
        <w:rPr>
          <w:noProof/>
        </w:rPr>
      </w:pPr>
      <w:r>
        <w:rPr>
          <w:rStyle w:val="HideTWBExt"/>
        </w:rPr>
        <w:t>&lt;Article2&gt;</w:t>
      </w:r>
      <w:r w:rsidRPr="00E775E0">
        <w:t>Artikel 18 – punkt 3</w:t>
      </w:r>
      <w:r>
        <w:rPr>
          <w:rStyle w:val="HideTWBExt"/>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D4DF0" w:rsidRPr="00E70835" w:rsidTr="000048AB">
        <w:trPr>
          <w:jc w:val="center"/>
        </w:trPr>
        <w:tc>
          <w:tcPr>
            <w:tcW w:w="9752" w:type="dxa"/>
            <w:gridSpan w:val="2"/>
          </w:tcPr>
          <w:p w:rsidR="00FD4DF0" w:rsidRPr="00E70835" w:rsidRDefault="00FD4DF0" w:rsidP="000048AB">
            <w:pPr>
              <w:keepNext/>
              <w:rPr>
                <w:noProof/>
              </w:rPr>
            </w:pPr>
          </w:p>
        </w:tc>
      </w:tr>
      <w:tr w:rsidR="00FD4DF0" w:rsidRPr="00E70835" w:rsidTr="000048AB">
        <w:trPr>
          <w:jc w:val="center"/>
        </w:trPr>
        <w:tc>
          <w:tcPr>
            <w:tcW w:w="4876" w:type="dxa"/>
            <w:hideMark/>
          </w:tcPr>
          <w:p w:rsidR="00FD4DF0" w:rsidRPr="00E775E0" w:rsidRDefault="00FD4DF0" w:rsidP="000048AB">
            <w:pPr>
              <w:pStyle w:val="ColumnHeading"/>
              <w:keepNext/>
              <w:rPr>
                <w:noProof/>
              </w:rPr>
            </w:pPr>
            <w:r w:rsidRPr="00E775E0">
              <w:t>Kommissionens förslag</w:t>
            </w:r>
          </w:p>
        </w:tc>
        <w:tc>
          <w:tcPr>
            <w:tcW w:w="4876" w:type="dxa"/>
            <w:hideMark/>
          </w:tcPr>
          <w:p w:rsidR="00FD4DF0" w:rsidRPr="00E775E0" w:rsidRDefault="00FD4DF0" w:rsidP="000048AB">
            <w:pPr>
              <w:pStyle w:val="ColumnHeading"/>
              <w:keepNext/>
              <w:rPr>
                <w:noProof/>
              </w:rPr>
            </w:pPr>
            <w:r w:rsidRPr="00E775E0">
              <w:t>Ändringsförslag</w:t>
            </w:r>
          </w:p>
        </w:tc>
      </w:tr>
      <w:tr w:rsidR="00FD4DF0" w:rsidRPr="00FD4DF0" w:rsidTr="000048AB">
        <w:trPr>
          <w:jc w:val="center"/>
        </w:trPr>
        <w:tc>
          <w:tcPr>
            <w:tcW w:w="4876" w:type="dxa"/>
            <w:hideMark/>
          </w:tcPr>
          <w:p w:rsidR="00FD4DF0" w:rsidRPr="00E775E0" w:rsidRDefault="00FD4DF0" w:rsidP="000048AB">
            <w:pPr>
              <w:pStyle w:val="Normal6"/>
              <w:rPr>
                <w:noProof/>
              </w:rPr>
            </w:pPr>
            <w:r w:rsidRPr="00E775E0">
              <w:t>”3.</w:t>
            </w:r>
            <w:r w:rsidRPr="00E775E0">
              <w:tab/>
              <w:t xml:space="preserve">De ytterligare belopp som avses i punkt 1 i den här artikeln ska tilldelas medlemsstaterna, första gången genom individuella finansieringsbeslut om godkännande av deras nationella program i enlighet med det förfarande som anges i artikel 14 i förordning (EU) nr 514/2014 och senare genom ett finansieringsbeslut som bifogas beslutet om godkännande av deras nationella program. Förnyade åtaganden för dessa belopp inom samma åtgärd inom ramen för det nationella programmet, eller överföringar av dem till andra åtgärder inom ramen för det </w:t>
            </w:r>
            <w:r w:rsidRPr="00E775E0">
              <w:lastRenderedPageBreak/>
              <w:t>nationella programmet, ska vara möjligt om detta vederbörligen motiveras i översynen av respektive nationella program. Ett förnyat åtagande eller en överföring av ett belopp får endast göras en gång. Kommissionen ska godkänna det förnyade åtagandet eller överföringen genom en översyn av det nationella programmet.</w:t>
            </w:r>
            <w:r w:rsidRPr="00E775E0">
              <w:rPr>
                <w:b/>
                <w:i/>
              </w:rPr>
              <w:t>”</w:t>
            </w:r>
          </w:p>
        </w:tc>
        <w:tc>
          <w:tcPr>
            <w:tcW w:w="4876" w:type="dxa"/>
            <w:hideMark/>
          </w:tcPr>
          <w:p w:rsidR="00FD4DF0" w:rsidRPr="00E775E0" w:rsidRDefault="00FD4DF0" w:rsidP="000048AB">
            <w:pPr>
              <w:pStyle w:val="Normal6"/>
              <w:rPr>
                <w:noProof/>
                <w:szCs w:val="24"/>
              </w:rPr>
            </w:pPr>
            <w:r w:rsidRPr="00E775E0">
              <w:lastRenderedPageBreak/>
              <w:t>”3.</w:t>
            </w:r>
            <w:r w:rsidRPr="00E775E0">
              <w:tab/>
              <w:t xml:space="preserve">De ytterligare belopp som avses i punkt 1 i den här artikeln ska tilldelas medlemsstaterna, första gången genom individuella finansieringsbeslut om godkännande av deras nationella program i enlighet med det förfarande som anges i artikel 14 i förordning (EU) nr 514/2014 och senare genom ett finansieringsbeslut som bifogas beslutet om godkännande av deras nationella program. Förnyade åtaganden för dessa belopp inom samma åtgärd inom ramen för det nationella programmet, eller överföringar av dem till andra </w:t>
            </w:r>
            <w:r w:rsidRPr="00E775E0">
              <w:rPr>
                <w:b/>
                <w:i/>
              </w:rPr>
              <w:t xml:space="preserve">särskilda </w:t>
            </w:r>
            <w:r w:rsidRPr="00E775E0">
              <w:t>åtgärder</w:t>
            </w:r>
            <w:r w:rsidRPr="00E775E0">
              <w:rPr>
                <w:b/>
                <w:i/>
              </w:rPr>
              <w:t xml:space="preserve"> som föreskrivs </w:t>
            </w:r>
            <w:r w:rsidRPr="00E775E0">
              <w:rPr>
                <w:b/>
                <w:i/>
              </w:rPr>
              <w:lastRenderedPageBreak/>
              <w:t>enligt kapitel II och kapitel III i denna förordning</w:t>
            </w:r>
            <w:r w:rsidRPr="00E775E0">
              <w:t xml:space="preserve"> inom ramen för det nationella programmet, ska vara möjligt om detta vederbörligen motiveras i översynen av respektive nationella program. Ett förnyat åtagande eller en överföring av ett belopp får endast göras en gång. Kommissionen ska godkänna det förnyade åtagandet eller överföringen genom en översyn av det nationella programmet. </w:t>
            </w:r>
            <w:r w:rsidRPr="00E775E0">
              <w:rPr>
                <w:b/>
                <w:i/>
              </w:rPr>
              <w:t>Medlen ska omfördelas på ett öppet och effektivt sätt i enlighet med målen för det nationella programmet.</w:t>
            </w:r>
          </w:p>
        </w:tc>
      </w:tr>
      <w:tr w:rsidR="00FD4DF0" w:rsidRPr="00FD4DF0" w:rsidTr="000048AB">
        <w:trPr>
          <w:jc w:val="center"/>
        </w:trPr>
        <w:tc>
          <w:tcPr>
            <w:tcW w:w="4876" w:type="dxa"/>
          </w:tcPr>
          <w:p w:rsidR="00FD4DF0" w:rsidRPr="007358DF" w:rsidRDefault="00FD4DF0" w:rsidP="000048AB">
            <w:pPr>
              <w:pStyle w:val="Normal6"/>
              <w:rPr>
                <w:noProof/>
              </w:rPr>
            </w:pPr>
          </w:p>
        </w:tc>
        <w:tc>
          <w:tcPr>
            <w:tcW w:w="4876" w:type="dxa"/>
            <w:hideMark/>
          </w:tcPr>
          <w:p w:rsidR="00FD4DF0" w:rsidRPr="00E775E0" w:rsidRDefault="00FD4DF0" w:rsidP="000048AB">
            <w:pPr>
              <w:pStyle w:val="Normal6"/>
              <w:rPr>
                <w:noProof/>
              </w:rPr>
            </w:pPr>
            <w:r w:rsidRPr="00E775E0">
              <w:rPr>
                <w:b/>
                <w:i/>
              </w:rPr>
              <w:t>När det gäller belopp från provisoriska åtgärder som införts genom besluten (EU) 2015/1523 och (EU) 2015/1601 ska minst 20 % av de belopp som anslås på nytt anslås för åtgärder inom de nationella programmen för omplacering av personer som ansöker om eller åtnjuter internationellt skydd, eller för vidarebosättning och annan tillfällig humanitär inresa.”</w:t>
            </w:r>
          </w:p>
        </w:tc>
      </w:tr>
    </w:tbl>
    <w:p w:rsidR="00FD4DF0" w:rsidRPr="00FD4DF0" w:rsidRDefault="00FD4DF0" w:rsidP="00FD4DF0">
      <w:pPr>
        <w:pStyle w:val="CrossRef"/>
        <w:rPr>
          <w:noProof/>
        </w:rPr>
      </w:pPr>
      <w:r>
        <w:t>(https://eur-lex.europa.eu/legal-content/SV/TXT/?uri=celex%3A32014R0516)</w:t>
      </w:r>
    </w:p>
    <w:p w:rsidR="00FD4DF0" w:rsidRPr="00FD4DF0" w:rsidRDefault="00FD4DF0" w:rsidP="00FD4DF0">
      <w:pPr>
        <w:rPr>
          <w:noProof/>
        </w:rPr>
      </w:pPr>
      <w:r w:rsidRPr="007358DF">
        <w:rPr>
          <w:rStyle w:val="HideTWBExt"/>
        </w:rPr>
        <w:t>&lt;/Amend&gt;</w:t>
      </w:r>
    </w:p>
    <w:p w:rsidR="00FD4DF0" w:rsidRPr="00FD4DF0" w:rsidRDefault="00FD4DF0" w:rsidP="00FD4DF0">
      <w:pPr>
        <w:pStyle w:val="AMNumberTabs"/>
        <w:keepNext/>
        <w:rPr>
          <w:noProof/>
        </w:rPr>
      </w:pPr>
      <w:r w:rsidRPr="007358DF">
        <w:rPr>
          <w:rStyle w:val="HideTWBExt"/>
          <w:b w:val="0"/>
        </w:rPr>
        <w:t>&lt;Amend&gt;</w:t>
      </w:r>
      <w:r w:rsidRPr="00E775E0">
        <w:t>Ändringsförslag</w:t>
      </w:r>
      <w:r w:rsidRPr="00E775E0">
        <w:tab/>
      </w:r>
      <w:r w:rsidRPr="00E775E0">
        <w:tab/>
      </w:r>
      <w:r w:rsidRPr="007358DF">
        <w:rPr>
          <w:rStyle w:val="HideTWBExt"/>
          <w:b w:val="0"/>
        </w:rPr>
        <w:t>&lt;NumAm&gt;</w:t>
      </w:r>
      <w:r w:rsidRPr="00E775E0">
        <w:t>11</w:t>
      </w:r>
      <w:r w:rsidRPr="007358DF">
        <w:rPr>
          <w:rStyle w:val="HideTWBExt"/>
          <w:b w:val="0"/>
        </w:rPr>
        <w:t>&lt;/NumAm&gt;</w:t>
      </w:r>
    </w:p>
    <w:p w:rsidR="00FD4DF0" w:rsidRPr="00FD4DF0" w:rsidRDefault="00FD4DF0" w:rsidP="00FD4DF0">
      <w:pPr>
        <w:pStyle w:val="NormalBold12b"/>
        <w:rPr>
          <w:noProof/>
        </w:rPr>
      </w:pPr>
      <w:r w:rsidRPr="007358DF">
        <w:rPr>
          <w:rStyle w:val="HideTWBExt"/>
          <w:b w:val="0"/>
        </w:rPr>
        <w:t>&lt;DocAmend&gt;</w:t>
      </w:r>
      <w:r w:rsidRPr="00E775E0">
        <w:t>Förslag till förordning</w:t>
      </w:r>
      <w:r w:rsidRPr="007358DF">
        <w:rPr>
          <w:rStyle w:val="HideTWBExt"/>
          <w:b w:val="0"/>
        </w:rPr>
        <w:t>&lt;/DocAmend&gt;</w:t>
      </w:r>
    </w:p>
    <w:p w:rsidR="00FD4DF0" w:rsidRPr="000C3FC6" w:rsidRDefault="00FD4DF0" w:rsidP="00FD4DF0">
      <w:pPr>
        <w:pStyle w:val="NormalBold"/>
        <w:keepNext/>
        <w:rPr>
          <w:noProof/>
        </w:rPr>
      </w:pPr>
      <w:r w:rsidRPr="007358DF">
        <w:rPr>
          <w:rStyle w:val="HideTWBExt"/>
          <w:b w:val="0"/>
        </w:rPr>
        <w:t>&lt;Article&gt;</w:t>
      </w:r>
      <w:r w:rsidRPr="00E775E0">
        <w:t>Artikel 1 – led 3</w:t>
      </w:r>
      <w:r w:rsidRPr="007358DF">
        <w:rPr>
          <w:rStyle w:val="HideTWBExt"/>
          <w:b w:val="0"/>
        </w:rPr>
        <w:t>&lt;/Article&gt;</w:t>
      </w:r>
    </w:p>
    <w:p w:rsidR="00FD4DF0" w:rsidRPr="00DF6B96" w:rsidRDefault="00FD4DF0" w:rsidP="00FD4DF0">
      <w:pPr>
        <w:keepNext/>
        <w:rPr>
          <w:noProof/>
        </w:rPr>
      </w:pPr>
      <w:r w:rsidRPr="007358DF">
        <w:rPr>
          <w:rStyle w:val="HideTWBExt"/>
        </w:rPr>
        <w:t>&lt;DocAmend2&gt;</w:t>
      </w:r>
      <w:r w:rsidRPr="00E775E0">
        <w:t>Förordning (EU) nr 516/2014</w:t>
      </w:r>
      <w:r w:rsidRPr="007358DF">
        <w:rPr>
          <w:rStyle w:val="HideTWBExt"/>
        </w:rPr>
        <w:t>&lt;/DocAmend2&gt;</w:t>
      </w:r>
    </w:p>
    <w:p w:rsidR="00FD4DF0" w:rsidRPr="000C3FC6" w:rsidRDefault="00FD4DF0" w:rsidP="00FD4DF0">
      <w:pPr>
        <w:rPr>
          <w:noProof/>
        </w:rPr>
      </w:pPr>
      <w:r w:rsidRPr="007358DF">
        <w:rPr>
          <w:rStyle w:val="HideTWBExt"/>
        </w:rPr>
        <w:t>&lt;Article2&gt;</w:t>
      </w:r>
      <w:r w:rsidRPr="00E775E0">
        <w:t>Artikel 18 – punkt 3a</w:t>
      </w:r>
      <w:r w:rsidRPr="007358DF">
        <w:rPr>
          <w:rStyle w:val="HideTWBExt"/>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D4DF0" w:rsidRPr="00470F65" w:rsidTr="000048AB">
        <w:trPr>
          <w:jc w:val="center"/>
        </w:trPr>
        <w:tc>
          <w:tcPr>
            <w:tcW w:w="9752" w:type="dxa"/>
            <w:gridSpan w:val="2"/>
          </w:tcPr>
          <w:p w:rsidR="00FD4DF0" w:rsidRPr="007358DF" w:rsidRDefault="00FD4DF0" w:rsidP="000048AB">
            <w:pPr>
              <w:keepNext/>
              <w:rPr>
                <w:noProof/>
              </w:rPr>
            </w:pPr>
          </w:p>
        </w:tc>
      </w:tr>
      <w:tr w:rsidR="00FD4DF0" w:rsidRPr="00E70835" w:rsidTr="000048AB">
        <w:trPr>
          <w:jc w:val="center"/>
        </w:trPr>
        <w:tc>
          <w:tcPr>
            <w:tcW w:w="4876" w:type="dxa"/>
            <w:hideMark/>
          </w:tcPr>
          <w:p w:rsidR="00FD4DF0" w:rsidRPr="00E775E0" w:rsidRDefault="00FD4DF0" w:rsidP="000048AB">
            <w:pPr>
              <w:pStyle w:val="ColumnHeading"/>
              <w:keepNext/>
              <w:rPr>
                <w:noProof/>
              </w:rPr>
            </w:pPr>
            <w:r w:rsidRPr="00E775E0">
              <w:t>Kommissionens förslag</w:t>
            </w:r>
          </w:p>
        </w:tc>
        <w:tc>
          <w:tcPr>
            <w:tcW w:w="4876" w:type="dxa"/>
            <w:hideMark/>
          </w:tcPr>
          <w:p w:rsidR="00FD4DF0" w:rsidRPr="00E775E0" w:rsidRDefault="00FD4DF0" w:rsidP="000048AB">
            <w:pPr>
              <w:pStyle w:val="ColumnHeading"/>
              <w:keepNext/>
              <w:rPr>
                <w:noProof/>
              </w:rPr>
            </w:pPr>
            <w:r w:rsidRPr="00E775E0">
              <w:t>Ändringsförslag</w:t>
            </w:r>
          </w:p>
        </w:tc>
      </w:tr>
      <w:tr w:rsidR="00FD4DF0" w:rsidRPr="00FD4DF0" w:rsidTr="000048AB">
        <w:trPr>
          <w:jc w:val="center"/>
        </w:trPr>
        <w:tc>
          <w:tcPr>
            <w:tcW w:w="4876" w:type="dxa"/>
            <w:hideMark/>
          </w:tcPr>
          <w:p w:rsidR="00FD4DF0" w:rsidRPr="00E775E0" w:rsidRDefault="00FD4DF0" w:rsidP="000048AB">
            <w:pPr>
              <w:pStyle w:val="Normal6"/>
              <w:rPr>
                <w:noProof/>
              </w:rPr>
            </w:pPr>
            <w:r w:rsidRPr="00E775E0">
              <w:t>”3a.</w:t>
            </w:r>
            <w:r w:rsidRPr="00E775E0">
              <w:tab/>
              <w:t xml:space="preserve">För att genomföra artikel 50.1 i förordning (EU) nr 514/2014, när belopp från provisoriska åtgärder som införs genom besluten (EU) 2015/1523 och (EU) 2015/1601 anslås på nytt för samma åtgärd inom ramen för det nationella programmet eller överförs till andra åtgärder inom ramen för det nationella programmet i enlighet med punkt 3, ska de berörda beloppen anses ha avsatts samma år som översynen av det nationella programmet, varigenom åtagandet eller överföringen i </w:t>
            </w:r>
            <w:r w:rsidRPr="00E775E0">
              <w:lastRenderedPageBreak/>
              <w:t>fråga godkänns.</w:t>
            </w:r>
          </w:p>
        </w:tc>
        <w:tc>
          <w:tcPr>
            <w:tcW w:w="4876" w:type="dxa"/>
            <w:hideMark/>
          </w:tcPr>
          <w:p w:rsidR="00FD4DF0" w:rsidRPr="00E775E0" w:rsidRDefault="00FD4DF0" w:rsidP="000048AB">
            <w:pPr>
              <w:pStyle w:val="Normal6"/>
              <w:rPr>
                <w:noProof/>
                <w:szCs w:val="24"/>
              </w:rPr>
            </w:pPr>
            <w:r w:rsidRPr="00E775E0">
              <w:lastRenderedPageBreak/>
              <w:t>”3a.</w:t>
            </w:r>
            <w:r w:rsidRPr="00E775E0">
              <w:tab/>
              <w:t xml:space="preserve">För att genomföra artikel 50.1 i förordning (EU) nr 514/2014, när belopp från provisoriska åtgärder som införs genom besluten (EU) 2015/1523 och (EU) 2015/1601 anslås på nytt för samma åtgärd inom ramen för det nationella programmet eller överförs till andra </w:t>
            </w:r>
            <w:r w:rsidRPr="00E775E0">
              <w:rPr>
                <w:b/>
                <w:i/>
              </w:rPr>
              <w:t xml:space="preserve">särskilda </w:t>
            </w:r>
            <w:r w:rsidRPr="00E775E0">
              <w:t xml:space="preserve">åtgärder inom ramen för det nationella programmet i enlighet med punkt 3, ska de berörda beloppen anses ha avsatts samma år som översynen av det nationella programmet, varigenom åtagandet eller överföringen i </w:t>
            </w:r>
            <w:r w:rsidRPr="00E775E0">
              <w:lastRenderedPageBreak/>
              <w:t>fråga godkänns.</w:t>
            </w:r>
          </w:p>
        </w:tc>
      </w:tr>
    </w:tbl>
    <w:p w:rsidR="00FD4DF0" w:rsidRPr="00FD4DF0" w:rsidRDefault="00FD4DF0" w:rsidP="00FD4DF0">
      <w:pPr>
        <w:rPr>
          <w:noProof/>
        </w:rPr>
      </w:pPr>
      <w:r w:rsidRPr="007358DF">
        <w:rPr>
          <w:rStyle w:val="HideTWBExt"/>
        </w:rPr>
        <w:lastRenderedPageBreak/>
        <w:t>&lt;/Amend&gt;</w:t>
      </w:r>
    </w:p>
    <w:p w:rsidR="00FD4DF0" w:rsidRPr="00FD4DF0" w:rsidRDefault="00FD4DF0" w:rsidP="00FD4DF0">
      <w:pPr>
        <w:pStyle w:val="AMNumberTabs"/>
        <w:keepNext/>
        <w:rPr>
          <w:noProof/>
        </w:rPr>
      </w:pPr>
      <w:r w:rsidRPr="007358DF">
        <w:rPr>
          <w:rStyle w:val="HideTWBExt"/>
          <w:b w:val="0"/>
        </w:rPr>
        <w:t>&lt;Amend&gt;</w:t>
      </w:r>
      <w:r w:rsidRPr="00E775E0">
        <w:t>Ändringsförslag</w:t>
      </w:r>
      <w:r w:rsidRPr="00E775E0">
        <w:tab/>
      </w:r>
      <w:r w:rsidRPr="00E775E0">
        <w:tab/>
      </w:r>
      <w:r w:rsidRPr="007358DF">
        <w:rPr>
          <w:rStyle w:val="HideTWBExt"/>
          <w:b w:val="0"/>
        </w:rPr>
        <w:t>&lt;NumAm&gt;</w:t>
      </w:r>
      <w:r w:rsidRPr="00E775E0">
        <w:t>12</w:t>
      </w:r>
      <w:r w:rsidRPr="007358DF">
        <w:rPr>
          <w:rStyle w:val="HideTWBExt"/>
          <w:b w:val="0"/>
        </w:rPr>
        <w:t>&lt;/NumAm&gt;</w:t>
      </w:r>
    </w:p>
    <w:p w:rsidR="00FD4DF0" w:rsidRPr="00FD4DF0" w:rsidRDefault="00FD4DF0" w:rsidP="00FD4DF0">
      <w:pPr>
        <w:pStyle w:val="NormalBold12b"/>
        <w:keepNext/>
        <w:rPr>
          <w:noProof/>
        </w:rPr>
      </w:pPr>
      <w:r w:rsidRPr="007358DF">
        <w:rPr>
          <w:rStyle w:val="HideTWBExt"/>
          <w:b w:val="0"/>
        </w:rPr>
        <w:t>&lt;DocAmend&gt;</w:t>
      </w:r>
      <w:r w:rsidRPr="00E775E0">
        <w:t>Förslag till förordning</w:t>
      </w:r>
      <w:r w:rsidRPr="007358DF">
        <w:rPr>
          <w:rStyle w:val="HideTWBExt"/>
          <w:b w:val="0"/>
        </w:rPr>
        <w:t>&lt;/DocAmend&gt;</w:t>
      </w:r>
    </w:p>
    <w:p w:rsidR="00FD4DF0" w:rsidRPr="000C3FC6" w:rsidRDefault="00FD4DF0" w:rsidP="00FD4DF0">
      <w:pPr>
        <w:pStyle w:val="NormalBold"/>
        <w:keepNext/>
        <w:rPr>
          <w:noProof/>
        </w:rPr>
      </w:pPr>
      <w:r w:rsidRPr="007358DF">
        <w:rPr>
          <w:rStyle w:val="HideTWBExt"/>
          <w:b w:val="0"/>
        </w:rPr>
        <w:t>&lt;Article&gt;</w:t>
      </w:r>
      <w:r w:rsidRPr="00E775E0">
        <w:t>Artikel 1 – led 3</w:t>
      </w:r>
      <w:r w:rsidRPr="007358DF">
        <w:rPr>
          <w:rStyle w:val="HideTWBExt"/>
          <w:b w:val="0"/>
        </w:rPr>
        <w:t>&lt;/Article&gt;</w:t>
      </w:r>
    </w:p>
    <w:p w:rsidR="00FD4DF0" w:rsidRPr="00DF6B96" w:rsidRDefault="00FD4DF0" w:rsidP="00FD4DF0">
      <w:pPr>
        <w:keepNext/>
        <w:rPr>
          <w:noProof/>
        </w:rPr>
      </w:pPr>
      <w:r w:rsidRPr="007358DF">
        <w:rPr>
          <w:rStyle w:val="HideTWBExt"/>
        </w:rPr>
        <w:t>&lt;DocAmend2&gt;</w:t>
      </w:r>
      <w:r w:rsidRPr="00E775E0">
        <w:t>Förordning (EU) nr 516/2014</w:t>
      </w:r>
      <w:r w:rsidRPr="007358DF">
        <w:rPr>
          <w:rStyle w:val="HideTWBExt"/>
        </w:rPr>
        <w:t>&lt;/DocAmend2&gt;</w:t>
      </w:r>
    </w:p>
    <w:p w:rsidR="00FD4DF0" w:rsidRPr="000C3FC6" w:rsidRDefault="00FD4DF0" w:rsidP="00FD4DF0">
      <w:pPr>
        <w:rPr>
          <w:noProof/>
        </w:rPr>
      </w:pPr>
      <w:r w:rsidRPr="007358DF">
        <w:rPr>
          <w:rStyle w:val="HideTWBExt"/>
        </w:rPr>
        <w:t>&lt;Article2&gt;</w:t>
      </w:r>
      <w:r w:rsidRPr="00E775E0">
        <w:t>Artikel 18 – punkt 3c (ny)</w:t>
      </w:r>
      <w:r w:rsidRPr="007358DF">
        <w:rPr>
          <w:rStyle w:val="HideTWBExt"/>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D4DF0" w:rsidRPr="00FD4DF0" w:rsidTr="000048AB">
        <w:trPr>
          <w:jc w:val="center"/>
        </w:trPr>
        <w:tc>
          <w:tcPr>
            <w:tcW w:w="9752" w:type="dxa"/>
            <w:gridSpan w:val="2"/>
          </w:tcPr>
          <w:p w:rsidR="00FD4DF0" w:rsidRPr="007358DF" w:rsidRDefault="00FD4DF0" w:rsidP="000048AB">
            <w:pPr>
              <w:keepNext/>
              <w:rPr>
                <w:noProof/>
              </w:rPr>
            </w:pPr>
          </w:p>
        </w:tc>
      </w:tr>
      <w:tr w:rsidR="00FD4DF0" w:rsidRPr="00E70835" w:rsidTr="000048AB">
        <w:trPr>
          <w:jc w:val="center"/>
        </w:trPr>
        <w:tc>
          <w:tcPr>
            <w:tcW w:w="4876" w:type="dxa"/>
            <w:hideMark/>
          </w:tcPr>
          <w:p w:rsidR="00FD4DF0" w:rsidRPr="00E775E0" w:rsidRDefault="00FD4DF0" w:rsidP="000048AB">
            <w:pPr>
              <w:pStyle w:val="ColumnHeading"/>
              <w:keepNext/>
              <w:rPr>
                <w:noProof/>
              </w:rPr>
            </w:pPr>
            <w:r w:rsidRPr="00E775E0">
              <w:t>Kommissionens förslag</w:t>
            </w:r>
          </w:p>
        </w:tc>
        <w:tc>
          <w:tcPr>
            <w:tcW w:w="4876" w:type="dxa"/>
            <w:hideMark/>
          </w:tcPr>
          <w:p w:rsidR="00FD4DF0" w:rsidRPr="00E775E0" w:rsidRDefault="00FD4DF0" w:rsidP="000048AB">
            <w:pPr>
              <w:pStyle w:val="ColumnHeading"/>
              <w:keepNext/>
              <w:rPr>
                <w:noProof/>
              </w:rPr>
            </w:pPr>
            <w:r w:rsidRPr="00E775E0">
              <w:t>Ändringsförslag</w:t>
            </w:r>
          </w:p>
        </w:tc>
      </w:tr>
      <w:tr w:rsidR="00FD4DF0" w:rsidRPr="00FD4DF0" w:rsidTr="000048AB">
        <w:trPr>
          <w:jc w:val="center"/>
        </w:trPr>
        <w:tc>
          <w:tcPr>
            <w:tcW w:w="4876" w:type="dxa"/>
          </w:tcPr>
          <w:p w:rsidR="00FD4DF0" w:rsidRPr="00E775E0" w:rsidRDefault="00FD4DF0" w:rsidP="000048AB">
            <w:pPr>
              <w:pStyle w:val="Normal6"/>
              <w:rPr>
                <w:noProof/>
              </w:rPr>
            </w:pPr>
          </w:p>
        </w:tc>
        <w:tc>
          <w:tcPr>
            <w:tcW w:w="4876" w:type="dxa"/>
            <w:hideMark/>
          </w:tcPr>
          <w:p w:rsidR="00FD4DF0" w:rsidRPr="00E775E0" w:rsidRDefault="00FD4DF0" w:rsidP="000048AB">
            <w:pPr>
              <w:pStyle w:val="Normal6"/>
              <w:rPr>
                <w:b/>
                <w:i/>
                <w:noProof/>
              </w:rPr>
            </w:pPr>
            <w:r w:rsidRPr="00E775E0">
              <w:rPr>
                <w:b/>
                <w:i/>
              </w:rPr>
              <w:t>3c.</w:t>
            </w:r>
            <w:r w:rsidRPr="00E775E0">
              <w:rPr>
                <w:b/>
                <w:i/>
              </w:rPr>
              <w:tab/>
              <w:t>Kommissionen ska årligen rapportera till Europaparlamentet och rådet om tillämpningen av denna artikel, särskilt när det gäller överföringar av belopp till andra åtgärder inom ramen för nationella program och förnyade åtaganden.</w:t>
            </w:r>
          </w:p>
        </w:tc>
      </w:tr>
    </w:tbl>
    <w:p w:rsidR="00FD4DF0" w:rsidRPr="00FD4DF0" w:rsidRDefault="00FD4DF0" w:rsidP="00FD4DF0">
      <w:pPr>
        <w:pStyle w:val="CrossRef"/>
        <w:rPr>
          <w:noProof/>
        </w:rPr>
      </w:pPr>
      <w:r>
        <w:t>(https://eur-lex.europa.eu/legal-content/SV/TXT/?uri=celex%3A32014R0516)</w:t>
      </w:r>
    </w:p>
    <w:p w:rsidR="00FD4DF0" w:rsidRPr="00FD4DF0" w:rsidRDefault="00FD4DF0" w:rsidP="00FD4DF0">
      <w:pPr>
        <w:rPr>
          <w:noProof/>
        </w:rPr>
      </w:pPr>
      <w:r w:rsidRPr="007358DF">
        <w:rPr>
          <w:rStyle w:val="HideTWBExt"/>
        </w:rPr>
        <w:t>&lt;/Amend&gt;</w:t>
      </w:r>
    </w:p>
    <w:p w:rsidR="00FD4DF0" w:rsidRPr="00FD4DF0" w:rsidRDefault="00FD4DF0" w:rsidP="00FD4DF0">
      <w:pPr>
        <w:pStyle w:val="AMNumberTabs"/>
        <w:keepNext/>
        <w:rPr>
          <w:noProof/>
        </w:rPr>
      </w:pPr>
      <w:r w:rsidRPr="007358DF">
        <w:rPr>
          <w:rStyle w:val="HideTWBExt"/>
          <w:b w:val="0"/>
        </w:rPr>
        <w:t>&lt;Amend&gt;</w:t>
      </w:r>
      <w:r w:rsidRPr="00E775E0">
        <w:t>Ändringsförslag</w:t>
      </w:r>
      <w:r w:rsidRPr="00E775E0">
        <w:tab/>
      </w:r>
      <w:r w:rsidRPr="00E775E0">
        <w:tab/>
      </w:r>
      <w:r w:rsidRPr="007358DF">
        <w:rPr>
          <w:rStyle w:val="HideTWBExt"/>
          <w:b w:val="0"/>
        </w:rPr>
        <w:t>&lt;NumAm&gt;</w:t>
      </w:r>
      <w:r w:rsidRPr="00E775E0">
        <w:t>13</w:t>
      </w:r>
      <w:r w:rsidRPr="007358DF">
        <w:rPr>
          <w:rStyle w:val="HideTWBExt"/>
          <w:b w:val="0"/>
        </w:rPr>
        <w:t>&lt;/NumAm&gt;</w:t>
      </w:r>
    </w:p>
    <w:p w:rsidR="00FD4DF0" w:rsidRPr="00FD4DF0" w:rsidRDefault="00FD4DF0" w:rsidP="00FD4DF0">
      <w:pPr>
        <w:pStyle w:val="NormalBold12b"/>
        <w:rPr>
          <w:noProof/>
        </w:rPr>
      </w:pPr>
      <w:r w:rsidRPr="007358DF">
        <w:rPr>
          <w:rStyle w:val="HideTWBExt"/>
          <w:b w:val="0"/>
        </w:rPr>
        <w:t>&lt;DocAmend&gt;</w:t>
      </w:r>
      <w:r w:rsidRPr="00E775E0">
        <w:t>Förslag till förordning</w:t>
      </w:r>
      <w:r w:rsidRPr="007358DF">
        <w:rPr>
          <w:rStyle w:val="HideTWBExt"/>
          <w:b w:val="0"/>
        </w:rPr>
        <w:t>&lt;/DocAmend&gt;</w:t>
      </w:r>
    </w:p>
    <w:p w:rsidR="00FD4DF0" w:rsidRPr="000C3FC6" w:rsidRDefault="00FD4DF0" w:rsidP="00FD4DF0">
      <w:pPr>
        <w:pStyle w:val="NormalBold"/>
        <w:keepNext/>
        <w:rPr>
          <w:noProof/>
        </w:rPr>
      </w:pPr>
      <w:r w:rsidRPr="007358DF">
        <w:rPr>
          <w:rStyle w:val="HideTWBExt"/>
          <w:b w:val="0"/>
        </w:rPr>
        <w:t>&lt;Article&gt;</w:t>
      </w:r>
      <w:r w:rsidRPr="00E775E0">
        <w:t>Artikel 1 – led 4</w:t>
      </w:r>
      <w:r w:rsidRPr="007358DF">
        <w:rPr>
          <w:rStyle w:val="HideTWBExt"/>
          <w:b w:val="0"/>
        </w:rPr>
        <w:t>&lt;/Article&gt;</w:t>
      </w:r>
    </w:p>
    <w:p w:rsidR="00FD4DF0" w:rsidRPr="00DF6B96" w:rsidRDefault="00FD4DF0" w:rsidP="00FD4DF0">
      <w:pPr>
        <w:keepNext/>
        <w:rPr>
          <w:noProof/>
        </w:rPr>
      </w:pPr>
      <w:r w:rsidRPr="007358DF">
        <w:rPr>
          <w:rStyle w:val="HideTWBExt"/>
        </w:rPr>
        <w:t>&lt;DocAmend2&gt;</w:t>
      </w:r>
      <w:r w:rsidRPr="00E775E0">
        <w:t>Förordning (EU) nr 516/2014</w:t>
      </w:r>
      <w:r w:rsidRPr="007358DF">
        <w:rPr>
          <w:rStyle w:val="HideTWBExt"/>
        </w:rPr>
        <w:t>&lt;/DocAmend2&gt;</w:t>
      </w:r>
    </w:p>
    <w:p w:rsidR="00FD4DF0" w:rsidRPr="00E70835" w:rsidRDefault="00FD4DF0" w:rsidP="00FD4DF0">
      <w:pPr>
        <w:rPr>
          <w:noProof/>
        </w:rPr>
      </w:pPr>
      <w:r>
        <w:rPr>
          <w:rStyle w:val="HideTWBExt"/>
        </w:rPr>
        <w:t>&lt;Article2&gt;</w:t>
      </w:r>
      <w:r w:rsidRPr="00E775E0">
        <w:t>Artikel 18 – punkt 4</w:t>
      </w:r>
      <w:r>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D4DF0" w:rsidRPr="00E70835" w:rsidTr="000048AB">
        <w:trPr>
          <w:jc w:val="center"/>
        </w:trPr>
        <w:tc>
          <w:tcPr>
            <w:tcW w:w="9752" w:type="dxa"/>
            <w:gridSpan w:val="2"/>
          </w:tcPr>
          <w:p w:rsidR="00FD4DF0" w:rsidRPr="00E70835" w:rsidRDefault="00FD4DF0" w:rsidP="000048AB">
            <w:pPr>
              <w:keepNext/>
              <w:rPr>
                <w:noProof/>
              </w:rPr>
            </w:pPr>
          </w:p>
        </w:tc>
      </w:tr>
      <w:tr w:rsidR="00FD4DF0" w:rsidRPr="00E70835" w:rsidTr="000048AB">
        <w:trPr>
          <w:jc w:val="center"/>
        </w:trPr>
        <w:tc>
          <w:tcPr>
            <w:tcW w:w="4876" w:type="dxa"/>
            <w:hideMark/>
          </w:tcPr>
          <w:p w:rsidR="00FD4DF0" w:rsidRPr="00E775E0" w:rsidRDefault="00FD4DF0" w:rsidP="000048AB">
            <w:pPr>
              <w:pStyle w:val="ColumnHeading"/>
              <w:keepNext/>
              <w:rPr>
                <w:noProof/>
              </w:rPr>
            </w:pPr>
            <w:r w:rsidRPr="00E775E0">
              <w:t>Kommissionens förslag</w:t>
            </w:r>
          </w:p>
        </w:tc>
        <w:tc>
          <w:tcPr>
            <w:tcW w:w="4876" w:type="dxa"/>
            <w:hideMark/>
          </w:tcPr>
          <w:p w:rsidR="00FD4DF0" w:rsidRPr="00E775E0" w:rsidRDefault="00FD4DF0" w:rsidP="000048AB">
            <w:pPr>
              <w:pStyle w:val="ColumnHeading"/>
              <w:keepNext/>
              <w:rPr>
                <w:noProof/>
              </w:rPr>
            </w:pPr>
            <w:r w:rsidRPr="00E775E0">
              <w:t>Ändringsförslag</w:t>
            </w:r>
          </w:p>
        </w:tc>
      </w:tr>
      <w:tr w:rsidR="00FD4DF0" w:rsidRPr="00E70835" w:rsidTr="000048AB">
        <w:trPr>
          <w:jc w:val="center"/>
        </w:trPr>
        <w:tc>
          <w:tcPr>
            <w:tcW w:w="4876" w:type="dxa"/>
          </w:tcPr>
          <w:p w:rsidR="00FD4DF0" w:rsidRPr="00E775E0" w:rsidRDefault="00FD4DF0" w:rsidP="000048AB">
            <w:pPr>
              <w:pStyle w:val="Normal6"/>
              <w:rPr>
                <w:b/>
                <w:bCs/>
                <w:i/>
                <w:iCs/>
                <w:noProof/>
              </w:rPr>
            </w:pPr>
            <w:r w:rsidRPr="00E775E0">
              <w:rPr>
                <w:b/>
                <w:bCs/>
                <w:i/>
                <w:iCs/>
              </w:rPr>
              <w:t>(4)</w:t>
            </w:r>
            <w:r w:rsidRPr="00E775E0">
              <w:tab/>
            </w:r>
            <w:r w:rsidRPr="00E775E0">
              <w:rPr>
                <w:b/>
                <w:bCs/>
                <w:i/>
                <w:iCs/>
              </w:rPr>
              <w:t xml:space="preserve">I punkt 4 ska ”personer som åtnjuter internationellt skydd” ersättas med orden ”person som ansöker om eller åtnjuter internationellt skydd”. </w:t>
            </w:r>
          </w:p>
        </w:tc>
        <w:tc>
          <w:tcPr>
            <w:tcW w:w="4876" w:type="dxa"/>
            <w:hideMark/>
          </w:tcPr>
          <w:p w:rsidR="00FD4DF0" w:rsidRPr="00E775E0" w:rsidRDefault="00FD4DF0" w:rsidP="000048AB">
            <w:pPr>
              <w:pStyle w:val="Normal6"/>
              <w:rPr>
                <w:b/>
                <w:bCs/>
                <w:i/>
                <w:iCs/>
                <w:noProof/>
              </w:rPr>
            </w:pPr>
            <w:r w:rsidRPr="00E775E0">
              <w:rPr>
                <w:b/>
                <w:bCs/>
                <w:i/>
                <w:iCs/>
              </w:rPr>
              <w:t>utgår</w:t>
            </w:r>
          </w:p>
        </w:tc>
      </w:tr>
    </w:tbl>
    <w:p w:rsidR="00FD4DF0" w:rsidRPr="00E70835" w:rsidRDefault="00FD4DF0" w:rsidP="00FD4DF0">
      <w:pPr>
        <w:pStyle w:val="CrossRef"/>
        <w:rPr>
          <w:noProof/>
        </w:rPr>
      </w:pPr>
      <w:r>
        <w:t>(https://eur-lex.europa.eu/legal-content/SV/TXT/?uri=celex%3A32014R0516)</w:t>
      </w:r>
    </w:p>
    <w:p w:rsidR="00FD4DF0" w:rsidRPr="00E70835" w:rsidRDefault="00FD4DF0" w:rsidP="00FD4DF0">
      <w:pPr>
        <w:rPr>
          <w:noProof/>
        </w:rPr>
      </w:pPr>
      <w:r>
        <w:rPr>
          <w:rStyle w:val="HideTWBExt"/>
        </w:rPr>
        <w:t>&lt;/Amend&gt;</w:t>
      </w:r>
    </w:p>
    <w:p w:rsidR="00FD4DF0" w:rsidRPr="00E70835" w:rsidRDefault="00FD4DF0" w:rsidP="00FD4DF0">
      <w:pPr>
        <w:pStyle w:val="AMNumberTabs"/>
        <w:keepNext/>
        <w:rPr>
          <w:noProof/>
        </w:rPr>
      </w:pPr>
      <w:r>
        <w:rPr>
          <w:rStyle w:val="HideTWBExt"/>
          <w:b w:val="0"/>
        </w:rPr>
        <w:t>&lt;Amend&gt;</w:t>
      </w:r>
      <w:r w:rsidRPr="00E775E0">
        <w:t>Ändringsförslag</w:t>
      </w:r>
      <w:r w:rsidRPr="00E775E0">
        <w:tab/>
      </w:r>
      <w:r w:rsidRPr="00E775E0">
        <w:tab/>
      </w:r>
      <w:r>
        <w:rPr>
          <w:rStyle w:val="HideTWBExt"/>
          <w:b w:val="0"/>
        </w:rPr>
        <w:t>&lt;NumAm&gt;</w:t>
      </w:r>
      <w:r w:rsidRPr="00E775E0">
        <w:t>14</w:t>
      </w:r>
      <w:r>
        <w:rPr>
          <w:rStyle w:val="HideTWBExt"/>
          <w:b w:val="0"/>
        </w:rPr>
        <w:t>&lt;/NumAm&gt;</w:t>
      </w:r>
    </w:p>
    <w:p w:rsidR="00FD4DF0" w:rsidRPr="00FD4DF0" w:rsidRDefault="00FD4DF0" w:rsidP="00FD4DF0">
      <w:pPr>
        <w:pStyle w:val="NormalBold12b"/>
        <w:rPr>
          <w:noProof/>
        </w:rPr>
      </w:pPr>
      <w:r w:rsidRPr="007358DF">
        <w:rPr>
          <w:rStyle w:val="HideTWBExt"/>
          <w:b w:val="0"/>
        </w:rPr>
        <w:t>&lt;DocAmend&gt;</w:t>
      </w:r>
      <w:r w:rsidRPr="00E775E0">
        <w:t>Förslag till förordning</w:t>
      </w:r>
      <w:r w:rsidRPr="007358DF">
        <w:rPr>
          <w:rStyle w:val="HideTWBExt"/>
          <w:b w:val="0"/>
        </w:rPr>
        <w:t>&lt;/DocAmend&gt;</w:t>
      </w:r>
    </w:p>
    <w:p w:rsidR="00FD4DF0" w:rsidRPr="00FD4DF0" w:rsidRDefault="00FD4DF0" w:rsidP="00FD4DF0">
      <w:pPr>
        <w:pStyle w:val="NormalBold"/>
        <w:keepNext/>
        <w:rPr>
          <w:noProof/>
        </w:rPr>
      </w:pPr>
      <w:r w:rsidRPr="007358DF">
        <w:rPr>
          <w:rStyle w:val="HideTWBExt"/>
          <w:b w:val="0"/>
        </w:rPr>
        <w:t>&lt;Article&gt;</w:t>
      </w:r>
      <w:r w:rsidRPr="00E775E0">
        <w:t>Artikel 1 – led 4a (nytt)</w:t>
      </w:r>
      <w:r w:rsidRPr="007358DF">
        <w:rPr>
          <w:rStyle w:val="HideTWBExt"/>
          <w:b w:val="0"/>
        </w:rPr>
        <w:t>&lt;/Article&gt;</w:t>
      </w:r>
    </w:p>
    <w:p w:rsidR="00FD4DF0" w:rsidRPr="000C3FC6" w:rsidRDefault="00FD4DF0" w:rsidP="00FD4DF0">
      <w:pPr>
        <w:keepNext/>
        <w:rPr>
          <w:noProof/>
        </w:rPr>
      </w:pPr>
      <w:r w:rsidRPr="007358DF">
        <w:rPr>
          <w:rStyle w:val="HideTWBExt"/>
        </w:rPr>
        <w:t>&lt;DocAmend2&gt;</w:t>
      </w:r>
      <w:r w:rsidRPr="00E775E0">
        <w:t>Förordning (EU) nr 516/2014</w:t>
      </w:r>
      <w:r w:rsidRPr="007358DF">
        <w:rPr>
          <w:rStyle w:val="HideTWBExt"/>
        </w:rPr>
        <w:t>&lt;/DocAmend2&gt;</w:t>
      </w:r>
    </w:p>
    <w:p w:rsidR="00FD4DF0" w:rsidRPr="00E70835" w:rsidRDefault="00FD4DF0" w:rsidP="00FD4DF0">
      <w:pPr>
        <w:rPr>
          <w:noProof/>
        </w:rPr>
      </w:pPr>
      <w:r>
        <w:rPr>
          <w:rStyle w:val="HideTWBExt"/>
        </w:rPr>
        <w:t>&lt;Article2&gt;</w:t>
      </w:r>
      <w:r w:rsidRPr="00E775E0">
        <w:t>Artikel 18 – punkt 4</w:t>
      </w:r>
      <w:r>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D4DF0" w:rsidRPr="00E70835" w:rsidTr="000048AB">
        <w:trPr>
          <w:jc w:val="center"/>
        </w:trPr>
        <w:tc>
          <w:tcPr>
            <w:tcW w:w="9752" w:type="dxa"/>
            <w:gridSpan w:val="2"/>
          </w:tcPr>
          <w:p w:rsidR="00FD4DF0" w:rsidRPr="00E70835" w:rsidRDefault="00FD4DF0" w:rsidP="000048AB">
            <w:pPr>
              <w:keepNext/>
              <w:rPr>
                <w:noProof/>
              </w:rPr>
            </w:pPr>
          </w:p>
        </w:tc>
      </w:tr>
      <w:tr w:rsidR="00FD4DF0" w:rsidRPr="00E70835" w:rsidTr="000048AB">
        <w:trPr>
          <w:jc w:val="center"/>
        </w:trPr>
        <w:tc>
          <w:tcPr>
            <w:tcW w:w="4876" w:type="dxa"/>
            <w:hideMark/>
          </w:tcPr>
          <w:p w:rsidR="00FD4DF0" w:rsidRPr="00E775E0" w:rsidRDefault="00FD4DF0" w:rsidP="000048AB">
            <w:pPr>
              <w:pStyle w:val="ColumnHeading"/>
              <w:keepNext/>
              <w:rPr>
                <w:noProof/>
              </w:rPr>
            </w:pPr>
            <w:r w:rsidRPr="00E775E0">
              <w:t>Nuvarande lydelse</w:t>
            </w:r>
          </w:p>
        </w:tc>
        <w:tc>
          <w:tcPr>
            <w:tcW w:w="4876" w:type="dxa"/>
            <w:hideMark/>
          </w:tcPr>
          <w:p w:rsidR="00FD4DF0" w:rsidRPr="00E775E0" w:rsidRDefault="00FD4DF0" w:rsidP="000048AB">
            <w:pPr>
              <w:pStyle w:val="ColumnHeading"/>
              <w:keepNext/>
              <w:rPr>
                <w:noProof/>
              </w:rPr>
            </w:pPr>
            <w:r w:rsidRPr="00E775E0">
              <w:t>Ändringsförslag</w:t>
            </w:r>
          </w:p>
        </w:tc>
      </w:tr>
      <w:tr w:rsidR="00FD4DF0" w:rsidRPr="00FD4DF0" w:rsidTr="000048AB">
        <w:trPr>
          <w:jc w:val="center"/>
        </w:trPr>
        <w:tc>
          <w:tcPr>
            <w:tcW w:w="4876" w:type="dxa"/>
          </w:tcPr>
          <w:p w:rsidR="00FD4DF0" w:rsidRPr="00E775E0" w:rsidRDefault="00FD4DF0" w:rsidP="000048AB">
            <w:pPr>
              <w:pStyle w:val="Normal6"/>
              <w:rPr>
                <w:b/>
                <w:bCs/>
                <w:i/>
                <w:iCs/>
                <w:noProof/>
              </w:rPr>
            </w:pPr>
          </w:p>
        </w:tc>
        <w:tc>
          <w:tcPr>
            <w:tcW w:w="4876" w:type="dxa"/>
            <w:hideMark/>
          </w:tcPr>
          <w:p w:rsidR="00FD4DF0" w:rsidRPr="00E775E0" w:rsidRDefault="00FD4DF0" w:rsidP="000048AB">
            <w:pPr>
              <w:pStyle w:val="Normal6"/>
              <w:rPr>
                <w:b/>
                <w:bCs/>
                <w:i/>
                <w:iCs/>
                <w:noProof/>
              </w:rPr>
            </w:pPr>
            <w:r w:rsidRPr="00E775E0">
              <w:rPr>
                <w:b/>
                <w:bCs/>
                <w:i/>
                <w:iCs/>
              </w:rPr>
              <w:t>(4a)</w:t>
            </w:r>
            <w:r w:rsidRPr="00E775E0">
              <w:rPr>
                <w:b/>
                <w:bCs/>
                <w:i/>
                <w:iCs/>
              </w:rPr>
              <w:tab/>
              <w:t>Punkt 4 ska ersättas med följande:</w:t>
            </w:r>
          </w:p>
        </w:tc>
      </w:tr>
      <w:tr w:rsidR="00FD4DF0" w:rsidRPr="00FD4DF0" w:rsidTr="000048AB">
        <w:trPr>
          <w:jc w:val="center"/>
        </w:trPr>
        <w:tc>
          <w:tcPr>
            <w:tcW w:w="4876" w:type="dxa"/>
            <w:hideMark/>
          </w:tcPr>
          <w:p w:rsidR="00FD4DF0" w:rsidRPr="00E775E0" w:rsidRDefault="00FD4DF0" w:rsidP="000048AB">
            <w:pPr>
              <w:pStyle w:val="Normal6"/>
              <w:rPr>
                <w:noProof/>
              </w:rPr>
            </w:pPr>
            <w:r w:rsidRPr="00E775E0">
              <w:t>4.</w:t>
            </w:r>
            <w:r w:rsidRPr="00E775E0">
              <w:tab/>
              <w:t>För att effektivt uppnå målen för solidariteten och ansvarsfördelningen mellan medlemsstaterna som avses i artikel 80 i EUF-fördraget och inom ramen för tillgängliga resurser ska kommissionen ges befogenhet att anta delegerade akter i enlighet med artikel 26 i den här förordningen för att justera det schablonbelopp som avses i punkt 1 i den här artikeln och då särskilt beakta den rådande inflationen, relevant utveckling på området för överföring av personer som åtnjuter internationellt skydd från en medlemsstat till en annan samt faktorer som kan optimera användningen av det ekonomiska incitament som schablonbeloppen innebär.</w:t>
            </w:r>
          </w:p>
        </w:tc>
        <w:tc>
          <w:tcPr>
            <w:tcW w:w="4876" w:type="dxa"/>
            <w:hideMark/>
          </w:tcPr>
          <w:p w:rsidR="00FD4DF0" w:rsidRPr="00E775E0" w:rsidRDefault="00FD4DF0" w:rsidP="000048AB">
            <w:pPr>
              <w:pStyle w:val="Normal6"/>
              <w:rPr>
                <w:noProof/>
                <w:szCs w:val="24"/>
              </w:rPr>
            </w:pPr>
            <w:r w:rsidRPr="00E775E0">
              <w:t>4.</w:t>
            </w:r>
            <w:r w:rsidRPr="00E775E0">
              <w:tab/>
              <w:t xml:space="preserve">För att effektivt uppnå målen för solidariteten och ansvarsfördelningen mellan medlemsstaterna som avses i artikel 80 i EUF-fördraget och inom ramen för tillgängliga resurser ska kommissionen ges befogenhet att anta delegerade akter i enlighet med artikel 26 i den här förordningen för att justera det schablonbelopp som avses i punkt 1 i den här artikeln och då särskilt beakta den rådande inflationen, relevant utveckling på området för överföring av personer som </w:t>
            </w:r>
            <w:r w:rsidRPr="00E775E0">
              <w:rPr>
                <w:b/>
                <w:i/>
              </w:rPr>
              <w:t xml:space="preserve">ansöker om eller </w:t>
            </w:r>
            <w:r w:rsidRPr="00E775E0">
              <w:t>åtnjuter internationellt skydd från en medlemsstat till en annan</w:t>
            </w:r>
            <w:r w:rsidRPr="00E775E0">
              <w:rPr>
                <w:b/>
                <w:i/>
              </w:rPr>
              <w:t xml:space="preserve"> och för vidarebosättning och annan tillfällig humanitär inresa</w:t>
            </w:r>
            <w:r w:rsidRPr="00E775E0">
              <w:t xml:space="preserve"> samt faktorer som kan optimera användningen av det ekonomiska incitament som schablonbeloppen innebär.</w:t>
            </w:r>
          </w:p>
        </w:tc>
      </w:tr>
    </w:tbl>
    <w:p w:rsidR="00FD4DF0" w:rsidRPr="00FD4DF0" w:rsidRDefault="00FD4DF0" w:rsidP="00FD4DF0">
      <w:pPr>
        <w:pStyle w:val="CrossRef"/>
        <w:rPr>
          <w:noProof/>
        </w:rPr>
      </w:pPr>
      <w:r>
        <w:t>(https://eur-lex.europa.eu/legal-content/SV/TXT/?uri=celex%3A32014R0516)</w:t>
      </w:r>
    </w:p>
    <w:p w:rsidR="00FD4DF0" w:rsidRPr="00FD4DF0" w:rsidRDefault="00FD4DF0" w:rsidP="00FD4DF0">
      <w:pPr>
        <w:rPr>
          <w:noProof/>
        </w:rPr>
      </w:pPr>
      <w:r w:rsidRPr="007358DF">
        <w:rPr>
          <w:rStyle w:val="HideTWBExt"/>
        </w:rPr>
        <w:t>&lt;/Amend&gt;</w:t>
      </w:r>
    </w:p>
    <w:p w:rsidR="00FD4DF0" w:rsidRPr="00FD4DF0" w:rsidRDefault="00FD4DF0" w:rsidP="00FD4DF0">
      <w:pPr>
        <w:rPr>
          <w:noProof/>
        </w:rPr>
      </w:pPr>
      <w:r w:rsidRPr="007358DF">
        <w:rPr>
          <w:rStyle w:val="HideTWBExt"/>
        </w:rPr>
        <w:t>&lt;/RepeatBlock-Amend&gt;</w:t>
      </w:r>
    </w:p>
    <w:p w:rsidR="00073B57" w:rsidRDefault="00073B57" w:rsidP="00FD4DF0">
      <w:pPr>
        <w:pStyle w:val="PageHeading"/>
        <w:rPr>
          <w:noProof/>
        </w:rPr>
      </w:pPr>
      <w:r>
        <w:br w:type="page"/>
      </w:r>
      <w:bookmarkStart w:id="3" w:name="ProcPageRR"/>
      <w:bookmarkStart w:id="4" w:name="_Toc531007181"/>
      <w:r>
        <w:lastRenderedPageBreak/>
        <w:t>ÄRENDETS GÅNG I DET ANSVARIGA UTSKOTTET</w:t>
      </w:r>
      <w:bookmarkEnd w:id="4"/>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73B5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73B57" w:rsidRDefault="00073B57">
            <w:pPr>
              <w:autoSpaceDE w:val="0"/>
              <w:autoSpaceDN w:val="0"/>
              <w:adjustRightInd w:val="0"/>
              <w:rPr>
                <w:b/>
                <w:bCs/>
                <w:noProof/>
                <w:color w:val="000000"/>
                <w:sz w:val="20"/>
              </w:rPr>
            </w:pPr>
            <w:r>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73B57" w:rsidRDefault="00073B57">
            <w:pPr>
              <w:autoSpaceDE w:val="0"/>
              <w:autoSpaceDN w:val="0"/>
              <w:adjustRightInd w:val="0"/>
              <w:rPr>
                <w:noProof/>
                <w:color w:val="000000"/>
                <w:sz w:val="20"/>
              </w:rPr>
            </w:pPr>
            <w:r>
              <w:rPr>
                <w:color w:val="000000"/>
                <w:sz w:val="20"/>
              </w:rPr>
              <w:t>Förnyade åtaganden för de återstående belopp som anslagits till stöd för genomförandet av rådets beslut (EU) 2015/1523 och (EU) 2015/1601 eller omfördelning av dessa till andra åtgärder inom ramen för de nationella programmen</w:t>
            </w:r>
          </w:p>
        </w:tc>
      </w:tr>
      <w:tr w:rsidR="00073B5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73B57" w:rsidRDefault="00073B57">
            <w:pPr>
              <w:autoSpaceDE w:val="0"/>
              <w:autoSpaceDN w:val="0"/>
              <w:adjustRightInd w:val="0"/>
              <w:rPr>
                <w:b/>
                <w:bCs/>
                <w:noProof/>
                <w:color w:val="000000"/>
                <w:sz w:val="20"/>
              </w:rPr>
            </w:pPr>
            <w:r>
              <w:rPr>
                <w:b/>
                <w:bCs/>
                <w:color w:val="000000"/>
                <w:sz w:val="20"/>
              </w:rPr>
              <w:t>Referensnummer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73B57" w:rsidRDefault="00073B57">
            <w:pPr>
              <w:autoSpaceDE w:val="0"/>
              <w:autoSpaceDN w:val="0"/>
              <w:adjustRightInd w:val="0"/>
              <w:rPr>
                <w:noProof/>
                <w:color w:val="000000"/>
                <w:sz w:val="20"/>
              </w:rPr>
            </w:pPr>
            <w:r>
              <w:rPr>
                <w:color w:val="000000"/>
                <w:sz w:val="20"/>
              </w:rPr>
              <w:t>COM(2018)0719 – C8-0448/2018 – 2018/0371(COD)</w:t>
            </w:r>
          </w:p>
        </w:tc>
      </w:tr>
      <w:tr w:rsidR="00073B5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73B57" w:rsidRDefault="00073B57">
            <w:pPr>
              <w:autoSpaceDE w:val="0"/>
              <w:autoSpaceDN w:val="0"/>
              <w:adjustRightInd w:val="0"/>
              <w:rPr>
                <w:b/>
                <w:bCs/>
                <w:noProof/>
                <w:color w:val="000000"/>
                <w:sz w:val="20"/>
              </w:rPr>
            </w:pPr>
            <w:r>
              <w:rPr>
                <w:b/>
                <w:bCs/>
                <w:color w:val="000000"/>
                <w:sz w:val="20"/>
              </w:rPr>
              <w:t>Framläggande för parlamentet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73B57" w:rsidRDefault="00073B57">
            <w:pPr>
              <w:autoSpaceDE w:val="0"/>
              <w:autoSpaceDN w:val="0"/>
              <w:adjustRightInd w:val="0"/>
              <w:rPr>
                <w:noProof/>
                <w:color w:val="000000"/>
                <w:sz w:val="20"/>
              </w:rPr>
            </w:pPr>
            <w:r>
              <w:rPr>
                <w:color w:val="000000"/>
                <w:sz w:val="20"/>
              </w:rPr>
              <w:t>22.10.2018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73B57" w:rsidRDefault="00073B57">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73B57" w:rsidRDefault="00073B57">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73B57" w:rsidRDefault="00073B57">
            <w:pPr>
              <w:autoSpaceDE w:val="0"/>
              <w:autoSpaceDN w:val="0"/>
              <w:adjustRightInd w:val="0"/>
              <w:rPr>
                <w:rFonts w:ascii="sans-serif" w:hAnsi="sans-serif" w:cs="sans-serif"/>
                <w:noProof/>
                <w:color w:val="000000"/>
                <w:szCs w:val="24"/>
              </w:rPr>
            </w:pPr>
          </w:p>
        </w:tc>
      </w:tr>
      <w:tr w:rsidR="00073B5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73B57" w:rsidRDefault="00073B57">
            <w:pPr>
              <w:autoSpaceDE w:val="0"/>
              <w:autoSpaceDN w:val="0"/>
              <w:adjustRightInd w:val="0"/>
              <w:rPr>
                <w:b/>
                <w:bCs/>
                <w:noProof/>
                <w:color w:val="000000"/>
                <w:sz w:val="20"/>
              </w:rPr>
            </w:pPr>
            <w:r>
              <w:rPr>
                <w:b/>
                <w:bCs/>
                <w:color w:val="000000"/>
                <w:sz w:val="20"/>
              </w:rPr>
              <w:t>Ansvarigt utskott</w:t>
            </w:r>
          </w:p>
          <w:p w:rsidR="00073B57" w:rsidRDefault="00073B57">
            <w:pPr>
              <w:autoSpaceDE w:val="0"/>
              <w:autoSpaceDN w:val="0"/>
              <w:adjustRightInd w:val="0"/>
              <w:rPr>
                <w:noProof/>
                <w:color w:val="000000"/>
                <w:sz w:val="20"/>
              </w:rPr>
            </w:pPr>
            <w:r>
              <w:rPr>
                <w:color w:val="000000"/>
                <w:sz w:val="20"/>
              </w:rPr>
              <w:t>       Tillkännagivande i kammaren</w:t>
            </w:r>
          </w:p>
        </w:tc>
        <w:tc>
          <w:tcPr>
            <w:tcW w:w="1530" w:type="dxa"/>
            <w:tcBorders>
              <w:top w:val="nil"/>
              <w:left w:val="nil"/>
              <w:bottom w:val="single" w:sz="8" w:space="0" w:color="000000"/>
              <w:right w:val="nil"/>
            </w:tcBorders>
            <w:tcMar>
              <w:top w:w="79" w:type="dxa"/>
              <w:left w:w="79" w:type="dxa"/>
              <w:bottom w:w="79" w:type="dxa"/>
              <w:right w:w="79" w:type="dxa"/>
            </w:tcMar>
          </w:tcPr>
          <w:p w:rsidR="00073B57" w:rsidRDefault="00073B57">
            <w:pPr>
              <w:autoSpaceDE w:val="0"/>
              <w:autoSpaceDN w:val="0"/>
              <w:adjustRightInd w:val="0"/>
              <w:rPr>
                <w:noProof/>
                <w:color w:val="000000"/>
                <w:sz w:val="20"/>
              </w:rPr>
            </w:pPr>
            <w:r>
              <w:rPr>
                <w:color w:val="000000"/>
                <w:sz w:val="20"/>
              </w:rPr>
              <w:t>LIBE</w:t>
            </w:r>
          </w:p>
          <w:p w:rsidR="00073B57" w:rsidRDefault="00073B57">
            <w:pPr>
              <w:autoSpaceDE w:val="0"/>
              <w:autoSpaceDN w:val="0"/>
              <w:adjustRightInd w:val="0"/>
              <w:rPr>
                <w:noProof/>
                <w:color w:val="000000"/>
                <w:sz w:val="20"/>
              </w:rPr>
            </w:pPr>
            <w:r>
              <w:rPr>
                <w:color w:val="000000"/>
                <w:sz w:val="20"/>
              </w:rPr>
              <w:t>25.10.2018</w:t>
            </w:r>
          </w:p>
        </w:tc>
        <w:tc>
          <w:tcPr>
            <w:tcW w:w="1474" w:type="dxa"/>
            <w:tcBorders>
              <w:top w:val="nil"/>
              <w:left w:val="nil"/>
              <w:bottom w:val="single" w:sz="8" w:space="0" w:color="000000"/>
              <w:right w:val="nil"/>
            </w:tcBorders>
            <w:tcMar>
              <w:top w:w="79" w:type="dxa"/>
              <w:left w:w="79" w:type="dxa"/>
              <w:bottom w:w="79" w:type="dxa"/>
              <w:right w:w="79" w:type="dxa"/>
            </w:tcMar>
          </w:tcPr>
          <w:p w:rsidR="00073B57" w:rsidRDefault="00073B57">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073B57" w:rsidRDefault="00073B57">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73B57" w:rsidRDefault="00073B57">
            <w:pPr>
              <w:autoSpaceDE w:val="0"/>
              <w:autoSpaceDN w:val="0"/>
              <w:adjustRightInd w:val="0"/>
              <w:rPr>
                <w:rFonts w:ascii="sans-serif" w:hAnsi="sans-serif" w:cs="sans-serif"/>
                <w:noProof/>
                <w:color w:val="000000"/>
                <w:szCs w:val="24"/>
              </w:rPr>
            </w:pPr>
          </w:p>
        </w:tc>
      </w:tr>
      <w:tr w:rsidR="00073B5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73B57" w:rsidRDefault="00073B57">
            <w:pPr>
              <w:autoSpaceDE w:val="0"/>
              <w:autoSpaceDN w:val="0"/>
              <w:adjustRightInd w:val="0"/>
              <w:rPr>
                <w:b/>
                <w:bCs/>
                <w:noProof/>
                <w:color w:val="000000"/>
                <w:sz w:val="20"/>
              </w:rPr>
            </w:pPr>
            <w:r>
              <w:rPr>
                <w:b/>
                <w:bCs/>
                <w:color w:val="000000"/>
                <w:sz w:val="20"/>
              </w:rPr>
              <w:t>Föredragande</w:t>
            </w:r>
          </w:p>
          <w:p w:rsidR="00073B57" w:rsidRDefault="00073B57">
            <w:pPr>
              <w:autoSpaceDE w:val="0"/>
              <w:autoSpaceDN w:val="0"/>
              <w:adjustRightInd w:val="0"/>
              <w:rPr>
                <w:noProof/>
                <w:color w:val="000000"/>
                <w:sz w:val="20"/>
              </w:rPr>
            </w:pPr>
            <w:r>
              <w:rPr>
                <w:color w:val="000000"/>
                <w:sz w:val="20"/>
              </w:rPr>
              <w:t>       Utnämning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73B57" w:rsidRDefault="00073B57">
            <w:pPr>
              <w:autoSpaceDE w:val="0"/>
              <w:autoSpaceDN w:val="0"/>
              <w:adjustRightInd w:val="0"/>
              <w:rPr>
                <w:noProof/>
                <w:color w:val="000000"/>
                <w:sz w:val="20"/>
              </w:rPr>
            </w:pPr>
            <w:r>
              <w:rPr>
                <w:color w:val="000000"/>
                <w:sz w:val="20"/>
              </w:rPr>
              <w:t>Miriam Dalli</w:t>
            </w:r>
          </w:p>
          <w:p w:rsidR="00073B57" w:rsidRDefault="00073B57">
            <w:pPr>
              <w:autoSpaceDE w:val="0"/>
              <w:autoSpaceDN w:val="0"/>
              <w:adjustRightInd w:val="0"/>
              <w:rPr>
                <w:noProof/>
                <w:color w:val="000000"/>
                <w:sz w:val="20"/>
              </w:rPr>
            </w:pPr>
            <w:r>
              <w:rPr>
                <w:color w:val="000000"/>
                <w:sz w:val="20"/>
              </w:rPr>
              <w:t>5.11.2018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73B57" w:rsidRDefault="00073B57">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73B57" w:rsidRDefault="00073B57">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73B57" w:rsidRDefault="00073B57">
            <w:pPr>
              <w:autoSpaceDE w:val="0"/>
              <w:autoSpaceDN w:val="0"/>
              <w:adjustRightInd w:val="0"/>
              <w:rPr>
                <w:rFonts w:ascii="sans-serif" w:hAnsi="sans-serif" w:cs="sans-serif"/>
                <w:noProof/>
                <w:color w:val="000000"/>
                <w:szCs w:val="24"/>
              </w:rPr>
            </w:pPr>
          </w:p>
        </w:tc>
      </w:tr>
      <w:tr w:rsidR="00073B5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73B57" w:rsidRDefault="00073B57">
            <w:pPr>
              <w:autoSpaceDE w:val="0"/>
              <w:autoSpaceDN w:val="0"/>
              <w:adjustRightInd w:val="0"/>
              <w:rPr>
                <w:b/>
                <w:bCs/>
                <w:noProof/>
                <w:color w:val="000000"/>
                <w:sz w:val="20"/>
              </w:rPr>
            </w:pPr>
            <w:r>
              <w:rPr>
                <w:b/>
                <w:bCs/>
                <w:color w:val="000000"/>
                <w:sz w:val="20"/>
              </w:rPr>
              <w:t>Behandling i utskott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73B57" w:rsidRDefault="00073B57">
            <w:pPr>
              <w:autoSpaceDE w:val="0"/>
              <w:autoSpaceDN w:val="0"/>
              <w:adjustRightInd w:val="0"/>
              <w:rPr>
                <w:noProof/>
                <w:color w:val="000000"/>
                <w:sz w:val="20"/>
              </w:rPr>
            </w:pPr>
            <w:r>
              <w:rPr>
                <w:color w:val="000000"/>
                <w:sz w:val="20"/>
              </w:rPr>
              <w:t>8.11.2018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73B57" w:rsidRDefault="00073B57">
            <w:pPr>
              <w:autoSpaceDE w:val="0"/>
              <w:autoSpaceDN w:val="0"/>
              <w:adjustRightInd w:val="0"/>
              <w:rPr>
                <w:noProof/>
                <w:color w:val="000000"/>
                <w:sz w:val="20"/>
              </w:rPr>
            </w:pPr>
            <w:r>
              <w:rPr>
                <w:color w:val="000000"/>
                <w:sz w:val="20"/>
              </w:rPr>
              <w:t>15.11.2018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73B57" w:rsidRDefault="00073B57">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73B57" w:rsidRDefault="00073B57">
            <w:pPr>
              <w:autoSpaceDE w:val="0"/>
              <w:autoSpaceDN w:val="0"/>
              <w:adjustRightInd w:val="0"/>
              <w:rPr>
                <w:rFonts w:ascii="sans-serif" w:hAnsi="sans-serif" w:cs="sans-serif"/>
                <w:noProof/>
                <w:color w:val="000000"/>
                <w:szCs w:val="24"/>
              </w:rPr>
            </w:pPr>
          </w:p>
        </w:tc>
      </w:tr>
      <w:tr w:rsidR="00073B5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73B57" w:rsidRDefault="00073B57">
            <w:pPr>
              <w:autoSpaceDE w:val="0"/>
              <w:autoSpaceDN w:val="0"/>
              <w:adjustRightInd w:val="0"/>
              <w:rPr>
                <w:b/>
                <w:bCs/>
                <w:noProof/>
                <w:color w:val="000000"/>
                <w:sz w:val="20"/>
              </w:rPr>
            </w:pPr>
            <w:r>
              <w:rPr>
                <w:b/>
                <w:bCs/>
                <w:color w:val="000000"/>
                <w:sz w:val="20"/>
              </w:rPr>
              <w:t>Antagande</w:t>
            </w:r>
          </w:p>
        </w:tc>
        <w:tc>
          <w:tcPr>
            <w:tcW w:w="1530" w:type="dxa"/>
            <w:tcBorders>
              <w:top w:val="nil"/>
              <w:left w:val="nil"/>
              <w:bottom w:val="single" w:sz="8" w:space="0" w:color="000000"/>
              <w:right w:val="nil"/>
            </w:tcBorders>
            <w:tcMar>
              <w:top w:w="79" w:type="dxa"/>
              <w:left w:w="79" w:type="dxa"/>
              <w:bottom w:w="79" w:type="dxa"/>
              <w:right w:w="79" w:type="dxa"/>
            </w:tcMar>
          </w:tcPr>
          <w:p w:rsidR="00073B57" w:rsidRDefault="00073B57">
            <w:pPr>
              <w:autoSpaceDE w:val="0"/>
              <w:autoSpaceDN w:val="0"/>
              <w:adjustRightInd w:val="0"/>
              <w:rPr>
                <w:noProof/>
                <w:color w:val="000000"/>
                <w:sz w:val="20"/>
              </w:rPr>
            </w:pPr>
            <w:r>
              <w:rPr>
                <w:color w:val="000000"/>
                <w:sz w:val="20"/>
              </w:rPr>
              <w:t>15.11.2018</w:t>
            </w:r>
          </w:p>
        </w:tc>
        <w:tc>
          <w:tcPr>
            <w:tcW w:w="1474" w:type="dxa"/>
            <w:tcBorders>
              <w:top w:val="nil"/>
              <w:left w:val="nil"/>
              <w:bottom w:val="single" w:sz="8" w:space="0" w:color="000000"/>
              <w:right w:val="nil"/>
            </w:tcBorders>
            <w:tcMar>
              <w:top w:w="79" w:type="dxa"/>
              <w:left w:w="79" w:type="dxa"/>
              <w:bottom w:w="79" w:type="dxa"/>
              <w:right w:w="79" w:type="dxa"/>
            </w:tcMar>
          </w:tcPr>
          <w:p w:rsidR="00073B57" w:rsidRDefault="00073B57">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073B57" w:rsidRDefault="00073B57">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73B57" w:rsidRDefault="00073B57">
            <w:pPr>
              <w:autoSpaceDE w:val="0"/>
              <w:autoSpaceDN w:val="0"/>
              <w:adjustRightInd w:val="0"/>
              <w:rPr>
                <w:rFonts w:ascii="sans-serif" w:hAnsi="sans-serif" w:cs="sans-serif"/>
                <w:noProof/>
                <w:color w:val="000000"/>
                <w:szCs w:val="24"/>
              </w:rPr>
            </w:pPr>
          </w:p>
        </w:tc>
      </w:tr>
      <w:tr w:rsidR="00073B5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73B57" w:rsidRDefault="00073B57">
            <w:pPr>
              <w:autoSpaceDE w:val="0"/>
              <w:autoSpaceDN w:val="0"/>
              <w:adjustRightInd w:val="0"/>
              <w:rPr>
                <w:b/>
                <w:bCs/>
                <w:noProof/>
                <w:color w:val="000000"/>
                <w:sz w:val="20"/>
              </w:rPr>
            </w:pPr>
            <w:r>
              <w:rPr>
                <w:b/>
                <w:bCs/>
                <w:color w:val="000000"/>
                <w:sz w:val="20"/>
              </w:rPr>
              <w:t>Slutomröstning: resultat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73B57" w:rsidRDefault="00073B57">
            <w:pPr>
              <w:autoSpaceDE w:val="0"/>
              <w:autoSpaceDN w:val="0"/>
              <w:adjustRightInd w:val="0"/>
              <w:rPr>
                <w:noProof/>
                <w:color w:val="000000"/>
                <w:sz w:val="20"/>
              </w:rPr>
            </w:pPr>
            <w:r>
              <w:rPr>
                <w:color w:val="000000"/>
                <w:sz w:val="20"/>
              </w:rPr>
              <w:t>+:</w:t>
            </w:r>
          </w:p>
          <w:p w:rsidR="00073B57" w:rsidRDefault="00073B57">
            <w:pPr>
              <w:autoSpaceDE w:val="0"/>
              <w:autoSpaceDN w:val="0"/>
              <w:adjustRightInd w:val="0"/>
              <w:rPr>
                <w:noProof/>
                <w:color w:val="000000"/>
                <w:sz w:val="20"/>
              </w:rPr>
            </w:pPr>
            <w:r>
              <w:rPr>
                <w:color w:val="000000"/>
                <w:sz w:val="20"/>
              </w:rPr>
              <w:t>–:</w:t>
            </w:r>
          </w:p>
          <w:p w:rsidR="00073B57" w:rsidRDefault="00073B57">
            <w:pPr>
              <w:autoSpaceDE w:val="0"/>
              <w:autoSpaceDN w:val="0"/>
              <w:adjustRightInd w:val="0"/>
              <w:rPr>
                <w:noProof/>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73B57" w:rsidRDefault="00073B57">
            <w:pPr>
              <w:autoSpaceDE w:val="0"/>
              <w:autoSpaceDN w:val="0"/>
              <w:adjustRightInd w:val="0"/>
              <w:rPr>
                <w:noProof/>
                <w:color w:val="000000"/>
                <w:sz w:val="20"/>
              </w:rPr>
            </w:pPr>
            <w:r>
              <w:rPr>
                <w:color w:val="000000"/>
                <w:sz w:val="20"/>
              </w:rPr>
              <w:t>30</w:t>
            </w:r>
          </w:p>
          <w:p w:rsidR="00073B57" w:rsidRDefault="00073B57">
            <w:pPr>
              <w:autoSpaceDE w:val="0"/>
              <w:autoSpaceDN w:val="0"/>
              <w:adjustRightInd w:val="0"/>
              <w:rPr>
                <w:noProof/>
                <w:color w:val="000000"/>
                <w:sz w:val="20"/>
              </w:rPr>
            </w:pPr>
            <w:r>
              <w:rPr>
                <w:color w:val="000000"/>
                <w:sz w:val="20"/>
              </w:rPr>
              <w:t>5</w:t>
            </w:r>
          </w:p>
          <w:p w:rsidR="00073B57" w:rsidRDefault="00073B57">
            <w:pPr>
              <w:autoSpaceDE w:val="0"/>
              <w:autoSpaceDN w:val="0"/>
              <w:adjustRightInd w:val="0"/>
              <w:rPr>
                <w:noProof/>
                <w:color w:val="000000"/>
                <w:sz w:val="20"/>
              </w:rPr>
            </w:pPr>
            <w:r>
              <w:rPr>
                <w:color w:val="000000"/>
                <w:sz w:val="20"/>
              </w:rPr>
              <w:t>0</w:t>
            </w:r>
          </w:p>
        </w:tc>
      </w:tr>
      <w:tr w:rsidR="00073B5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73B57" w:rsidRDefault="00073B57">
            <w:pPr>
              <w:autoSpaceDE w:val="0"/>
              <w:autoSpaceDN w:val="0"/>
              <w:adjustRightInd w:val="0"/>
              <w:rPr>
                <w:b/>
                <w:bCs/>
                <w:noProof/>
                <w:color w:val="000000"/>
                <w:sz w:val="20"/>
              </w:rPr>
            </w:pPr>
            <w:r>
              <w:rPr>
                <w:b/>
                <w:bCs/>
                <w:color w:val="000000"/>
                <w:sz w:val="20"/>
              </w:rPr>
              <w:t>Slutomröstning: närvarande ledamöter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73B57" w:rsidRDefault="00073B57">
            <w:pPr>
              <w:autoSpaceDE w:val="0"/>
              <w:autoSpaceDN w:val="0"/>
              <w:adjustRightInd w:val="0"/>
              <w:rPr>
                <w:noProof/>
                <w:color w:val="000000"/>
                <w:sz w:val="20"/>
              </w:rPr>
            </w:pPr>
            <w:r>
              <w:rPr>
                <w:color w:val="000000"/>
                <w:sz w:val="20"/>
              </w:rPr>
              <w:t>Asim Ademov, Heinz K. Becker, Malin Björk, Michał Boni, Caterina Chinnici, Tanja Fajon, Raymond Finch, Romeo Franz, Kinga Gál, Brice Hortefeux, Filiz Hyusmenova, Eva Joly, Dietmar Köster, Cécile Kashetu Kyenge, Roberta Metsola, Claude Moraes, József Nagy, Péter Niedermüller, Ivari Padar, Soraya Post, Judith Sargentini, Birgit Sippel, Csaba Sógor, Helga Stevens, Bodil Valero, Josef Weidenholzer, Kristina Winberg, Tomáš Zdechovský, Auke Zijlstra</w:t>
            </w:r>
          </w:p>
        </w:tc>
      </w:tr>
      <w:tr w:rsidR="00073B57" w:rsidRPr="007358D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73B57" w:rsidRDefault="00073B57">
            <w:pPr>
              <w:autoSpaceDE w:val="0"/>
              <w:autoSpaceDN w:val="0"/>
              <w:adjustRightInd w:val="0"/>
              <w:rPr>
                <w:b/>
                <w:bCs/>
                <w:noProof/>
                <w:color w:val="000000"/>
                <w:sz w:val="20"/>
              </w:rPr>
            </w:pPr>
            <w:r>
              <w:rPr>
                <w:b/>
                <w:bCs/>
                <w:color w:val="000000"/>
                <w:sz w:val="20"/>
              </w:rPr>
              <w:t>Slutomröstning: närvarande suppleanter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73B57" w:rsidRPr="007358DF" w:rsidRDefault="00073B57">
            <w:pPr>
              <w:autoSpaceDE w:val="0"/>
              <w:autoSpaceDN w:val="0"/>
              <w:adjustRightInd w:val="0"/>
              <w:rPr>
                <w:noProof/>
                <w:color w:val="000000"/>
                <w:sz w:val="20"/>
                <w:lang w:val="it-IT"/>
              </w:rPr>
            </w:pPr>
            <w:r w:rsidRPr="007358DF">
              <w:rPr>
                <w:color w:val="000000"/>
                <w:sz w:val="20"/>
                <w:lang w:val="it-IT"/>
              </w:rPr>
              <w:t>Miriam Dalli, Barbara Spinelli, Axel Voss</w:t>
            </w:r>
          </w:p>
        </w:tc>
      </w:tr>
      <w:tr w:rsidR="00073B5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73B57" w:rsidRDefault="00073B57">
            <w:pPr>
              <w:autoSpaceDE w:val="0"/>
              <w:autoSpaceDN w:val="0"/>
              <w:adjustRightInd w:val="0"/>
              <w:rPr>
                <w:b/>
                <w:bCs/>
                <w:noProof/>
                <w:color w:val="000000"/>
                <w:sz w:val="20"/>
              </w:rPr>
            </w:pPr>
            <w:r>
              <w:rPr>
                <w:b/>
                <w:bCs/>
                <w:color w:val="000000"/>
                <w:sz w:val="20"/>
              </w:rPr>
              <w:t>Slutomröstning: närvarande suppleanter (art. 200.2)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73B57" w:rsidRDefault="00073B57">
            <w:pPr>
              <w:autoSpaceDE w:val="0"/>
              <w:autoSpaceDN w:val="0"/>
              <w:adjustRightInd w:val="0"/>
              <w:rPr>
                <w:noProof/>
                <w:color w:val="000000"/>
                <w:sz w:val="20"/>
              </w:rPr>
            </w:pPr>
            <w:r>
              <w:rPr>
                <w:color w:val="000000"/>
                <w:sz w:val="20"/>
              </w:rPr>
              <w:t>Karine Gloanec Maurin, Patricia Lalonde, Julia Pitera</w:t>
            </w:r>
          </w:p>
        </w:tc>
      </w:tr>
      <w:tr w:rsidR="00073B5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73B57" w:rsidRDefault="00073B57">
            <w:pPr>
              <w:autoSpaceDE w:val="0"/>
              <w:autoSpaceDN w:val="0"/>
              <w:adjustRightInd w:val="0"/>
              <w:rPr>
                <w:b/>
                <w:bCs/>
                <w:noProof/>
                <w:color w:val="000000"/>
                <w:sz w:val="20"/>
              </w:rPr>
            </w:pPr>
            <w:r>
              <w:rPr>
                <w:b/>
                <w:bCs/>
                <w:color w:val="000000"/>
                <w:sz w:val="20"/>
              </w:rPr>
              <w:t>Ingivande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73B57" w:rsidRDefault="00073B57">
            <w:pPr>
              <w:autoSpaceDE w:val="0"/>
              <w:autoSpaceDN w:val="0"/>
              <w:adjustRightInd w:val="0"/>
              <w:rPr>
                <w:noProof/>
                <w:color w:val="000000"/>
                <w:sz w:val="20"/>
              </w:rPr>
            </w:pPr>
            <w:r>
              <w:rPr>
                <w:color w:val="000000"/>
                <w:sz w:val="20"/>
              </w:rPr>
              <w:t>19.11.2018</w:t>
            </w:r>
          </w:p>
        </w:tc>
      </w:tr>
    </w:tbl>
    <w:p w:rsidR="00073B57" w:rsidRPr="00FD4DF0" w:rsidRDefault="00073B57" w:rsidP="00FD4DF0">
      <w:pPr>
        <w:rPr>
          <w:noProof/>
        </w:rPr>
      </w:pPr>
    </w:p>
    <w:bookmarkEnd w:id="3"/>
    <w:p w:rsidR="00FD4DF0" w:rsidRPr="0099178F" w:rsidRDefault="00FD4DF0" w:rsidP="00AD5932">
      <w:pPr>
        <w:pStyle w:val="PageHeading"/>
        <w:rPr>
          <w:noProof/>
          <w:szCs w:val="24"/>
        </w:rPr>
      </w:pPr>
      <w:r>
        <w:br w:type="page"/>
      </w:r>
      <w:bookmarkStart w:id="5" w:name="RollCallPageRR"/>
      <w:bookmarkStart w:id="6" w:name="_Toc531007182"/>
      <w:r>
        <w:lastRenderedPageBreak/>
        <w:t>SLUTOMRÖSTNING MED NAMNUPPROP</w:t>
      </w:r>
      <w:r>
        <w:br/>
        <w:t>I DET ANSVARIGA UTSKOTTET</w:t>
      </w:r>
      <w:bookmarkEnd w:id="6"/>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D4DF0" w:rsidRPr="00E70835" w:rsidTr="000048AB">
        <w:trPr>
          <w:cantSplit/>
        </w:trPr>
        <w:tc>
          <w:tcPr>
            <w:tcW w:w="1701" w:type="dxa"/>
            <w:shd w:val="pct10" w:color="000000" w:fill="FFFFFF"/>
            <w:vAlign w:val="center"/>
          </w:tcPr>
          <w:p w:rsidR="00FD4DF0" w:rsidRPr="00E70835" w:rsidRDefault="00FD4DF0" w:rsidP="000048AB">
            <w:pPr>
              <w:spacing w:before="120" w:after="120"/>
              <w:jc w:val="center"/>
              <w:rPr>
                <w:b/>
                <w:noProof/>
                <w:sz w:val="20"/>
              </w:rPr>
            </w:pPr>
            <w:r>
              <w:rPr>
                <w:b/>
                <w:sz w:val="20"/>
              </w:rPr>
              <w:t>30</w:t>
            </w:r>
          </w:p>
        </w:tc>
        <w:tc>
          <w:tcPr>
            <w:tcW w:w="7371" w:type="dxa"/>
            <w:shd w:val="pct10" w:color="000000" w:fill="FFFFFF"/>
          </w:tcPr>
          <w:p w:rsidR="00FD4DF0" w:rsidRPr="00E70835" w:rsidRDefault="00FD4DF0" w:rsidP="000048AB">
            <w:pPr>
              <w:spacing w:before="120" w:after="120"/>
              <w:jc w:val="center"/>
              <w:rPr>
                <w:rFonts w:ascii="Arial" w:hAnsi="Arial" w:cs="Arial"/>
                <w:b/>
                <w:noProof/>
                <w:sz w:val="28"/>
                <w:szCs w:val="28"/>
              </w:rPr>
            </w:pPr>
            <w:r>
              <w:rPr>
                <w:rFonts w:ascii="Arial" w:hAnsi="Arial"/>
                <w:b/>
                <w:sz w:val="28"/>
                <w:szCs w:val="28"/>
              </w:rPr>
              <w:t>+</w:t>
            </w:r>
          </w:p>
        </w:tc>
      </w:tr>
      <w:tr w:rsidR="00FD4DF0" w:rsidRPr="00E70835" w:rsidTr="000048AB">
        <w:trPr>
          <w:cantSplit/>
        </w:trPr>
        <w:tc>
          <w:tcPr>
            <w:tcW w:w="1701" w:type="dxa"/>
            <w:shd w:val="clear" w:color="auto" w:fill="FFFFFF"/>
          </w:tcPr>
          <w:p w:rsidR="00FD4DF0" w:rsidRPr="00E70835" w:rsidRDefault="00FD4DF0" w:rsidP="000048AB">
            <w:pPr>
              <w:spacing w:before="120" w:after="120"/>
              <w:rPr>
                <w:noProof/>
                <w:sz w:val="20"/>
              </w:rPr>
            </w:pPr>
            <w:r>
              <w:rPr>
                <w:sz w:val="20"/>
              </w:rPr>
              <w:t>ALDE</w:t>
            </w:r>
          </w:p>
        </w:tc>
        <w:tc>
          <w:tcPr>
            <w:tcW w:w="7371" w:type="dxa"/>
            <w:shd w:val="clear" w:color="auto" w:fill="FFFFFF"/>
          </w:tcPr>
          <w:p w:rsidR="00FD4DF0" w:rsidRPr="00E70835" w:rsidRDefault="00FD4DF0" w:rsidP="000048AB">
            <w:pPr>
              <w:spacing w:before="120" w:after="120"/>
              <w:rPr>
                <w:noProof/>
                <w:sz w:val="20"/>
              </w:rPr>
            </w:pPr>
            <w:r>
              <w:rPr>
                <w:sz w:val="20"/>
              </w:rPr>
              <w:t>Filiz Hyusmenova, Patricia Lalonde</w:t>
            </w:r>
          </w:p>
        </w:tc>
      </w:tr>
      <w:tr w:rsidR="00FD4DF0" w:rsidRPr="00E70835" w:rsidTr="000048AB">
        <w:trPr>
          <w:cantSplit/>
        </w:trPr>
        <w:tc>
          <w:tcPr>
            <w:tcW w:w="1701" w:type="dxa"/>
            <w:shd w:val="clear" w:color="auto" w:fill="FFFFFF"/>
          </w:tcPr>
          <w:p w:rsidR="00FD4DF0" w:rsidRPr="00E70835" w:rsidRDefault="00FD4DF0" w:rsidP="000048AB">
            <w:pPr>
              <w:spacing w:before="120" w:after="120"/>
              <w:rPr>
                <w:noProof/>
                <w:sz w:val="20"/>
              </w:rPr>
            </w:pPr>
            <w:r>
              <w:rPr>
                <w:sz w:val="20"/>
              </w:rPr>
              <w:t>GUE/NGL</w:t>
            </w:r>
          </w:p>
        </w:tc>
        <w:tc>
          <w:tcPr>
            <w:tcW w:w="7371" w:type="dxa"/>
            <w:shd w:val="clear" w:color="auto" w:fill="FFFFFF"/>
          </w:tcPr>
          <w:p w:rsidR="00FD4DF0" w:rsidRPr="00E70835" w:rsidRDefault="00FD4DF0" w:rsidP="000048AB">
            <w:pPr>
              <w:spacing w:before="120" w:after="120"/>
              <w:rPr>
                <w:noProof/>
                <w:sz w:val="20"/>
              </w:rPr>
            </w:pPr>
            <w:r>
              <w:rPr>
                <w:sz w:val="20"/>
              </w:rPr>
              <w:t>Malin Björk, Barbara Spinelli</w:t>
            </w:r>
          </w:p>
        </w:tc>
      </w:tr>
      <w:tr w:rsidR="00FD4DF0" w:rsidRPr="00E70835" w:rsidTr="000048AB">
        <w:trPr>
          <w:cantSplit/>
        </w:trPr>
        <w:tc>
          <w:tcPr>
            <w:tcW w:w="1701" w:type="dxa"/>
            <w:shd w:val="clear" w:color="auto" w:fill="FFFFFF"/>
          </w:tcPr>
          <w:p w:rsidR="00FD4DF0" w:rsidRPr="00E70835" w:rsidRDefault="00FD4DF0" w:rsidP="000048AB">
            <w:pPr>
              <w:spacing w:before="120" w:after="120"/>
              <w:rPr>
                <w:noProof/>
                <w:sz w:val="20"/>
              </w:rPr>
            </w:pPr>
            <w:r>
              <w:rPr>
                <w:sz w:val="20"/>
              </w:rPr>
              <w:t>PPE</w:t>
            </w:r>
          </w:p>
        </w:tc>
        <w:tc>
          <w:tcPr>
            <w:tcW w:w="7371" w:type="dxa"/>
            <w:shd w:val="clear" w:color="auto" w:fill="FFFFFF"/>
          </w:tcPr>
          <w:p w:rsidR="00FD4DF0" w:rsidRPr="00E70835" w:rsidRDefault="00FD4DF0" w:rsidP="000048AB">
            <w:pPr>
              <w:spacing w:before="120" w:after="120"/>
              <w:rPr>
                <w:noProof/>
                <w:sz w:val="20"/>
              </w:rPr>
            </w:pPr>
            <w:r>
              <w:rPr>
                <w:sz w:val="20"/>
              </w:rPr>
              <w:t>Asim Ademov, Heinz K. Becker, Michał Boni, Brice Hortefeux, Roberta Metsola, József Nagy, Julia Pitera, Csaba Sógor, Axel Voss, Tomáš Zdechovský</w:t>
            </w:r>
          </w:p>
        </w:tc>
      </w:tr>
      <w:tr w:rsidR="00FD4DF0" w:rsidRPr="00E70835" w:rsidTr="000048AB">
        <w:trPr>
          <w:cantSplit/>
        </w:trPr>
        <w:tc>
          <w:tcPr>
            <w:tcW w:w="1701" w:type="dxa"/>
            <w:shd w:val="clear" w:color="auto" w:fill="FFFFFF"/>
          </w:tcPr>
          <w:p w:rsidR="00FD4DF0" w:rsidRPr="00E70835" w:rsidRDefault="00FD4DF0" w:rsidP="000048AB">
            <w:pPr>
              <w:spacing w:before="120" w:after="120"/>
              <w:rPr>
                <w:noProof/>
                <w:sz w:val="20"/>
              </w:rPr>
            </w:pPr>
            <w:r>
              <w:rPr>
                <w:sz w:val="20"/>
              </w:rPr>
              <w:t>S&amp;D</w:t>
            </w:r>
          </w:p>
        </w:tc>
        <w:tc>
          <w:tcPr>
            <w:tcW w:w="7371" w:type="dxa"/>
            <w:shd w:val="clear" w:color="auto" w:fill="FFFFFF"/>
          </w:tcPr>
          <w:p w:rsidR="00FD4DF0" w:rsidRPr="00E70835" w:rsidRDefault="00FD4DF0" w:rsidP="000048AB">
            <w:pPr>
              <w:spacing w:before="120" w:after="120"/>
              <w:rPr>
                <w:noProof/>
                <w:sz w:val="20"/>
              </w:rPr>
            </w:pPr>
            <w:r>
              <w:rPr>
                <w:sz w:val="20"/>
              </w:rPr>
              <w:t>Caterina Chinnici, Miriam Dalli, Tanja Fajon, Karine Gloanec Maurin, Dietmar Köster, Cécile Kashetu Kyenge, Claude Moraes, Péter Niedermüller, Ivari Padar, Soraya Post, Birgit Sippel, Josef Weidenholzer</w:t>
            </w:r>
          </w:p>
        </w:tc>
      </w:tr>
      <w:tr w:rsidR="00FD4DF0" w:rsidRPr="00E70835" w:rsidTr="000048AB">
        <w:trPr>
          <w:cantSplit/>
        </w:trPr>
        <w:tc>
          <w:tcPr>
            <w:tcW w:w="1701" w:type="dxa"/>
            <w:shd w:val="clear" w:color="auto" w:fill="FFFFFF"/>
          </w:tcPr>
          <w:p w:rsidR="00FD4DF0" w:rsidRPr="00E70835" w:rsidRDefault="00FD4DF0" w:rsidP="000048AB">
            <w:pPr>
              <w:spacing w:before="120" w:after="120"/>
              <w:rPr>
                <w:noProof/>
                <w:sz w:val="20"/>
              </w:rPr>
            </w:pPr>
            <w:r>
              <w:rPr>
                <w:sz w:val="20"/>
              </w:rPr>
              <w:t>VERTS/ALE</w:t>
            </w:r>
          </w:p>
        </w:tc>
        <w:tc>
          <w:tcPr>
            <w:tcW w:w="7371" w:type="dxa"/>
            <w:shd w:val="clear" w:color="auto" w:fill="FFFFFF"/>
          </w:tcPr>
          <w:p w:rsidR="00FD4DF0" w:rsidRPr="00E70835" w:rsidRDefault="00FD4DF0" w:rsidP="000048AB">
            <w:pPr>
              <w:spacing w:before="120" w:after="120"/>
              <w:rPr>
                <w:noProof/>
                <w:sz w:val="20"/>
              </w:rPr>
            </w:pPr>
            <w:r>
              <w:rPr>
                <w:sz w:val="20"/>
              </w:rPr>
              <w:t>Romeo Franz, Eva Joly, Judith Sargentini, Bodil Valero</w:t>
            </w:r>
          </w:p>
        </w:tc>
      </w:tr>
    </w:tbl>
    <w:p w:rsidR="00FD4DF0" w:rsidRPr="00E70835" w:rsidRDefault="00FD4DF0" w:rsidP="00FD4DF0">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D4DF0" w:rsidRPr="00E70835" w:rsidTr="000048AB">
        <w:trPr>
          <w:cantSplit/>
        </w:trPr>
        <w:tc>
          <w:tcPr>
            <w:tcW w:w="1701" w:type="dxa"/>
            <w:shd w:val="pct10" w:color="000000" w:fill="FFFFFF"/>
            <w:vAlign w:val="center"/>
          </w:tcPr>
          <w:p w:rsidR="00FD4DF0" w:rsidRPr="00E70835" w:rsidRDefault="00FD4DF0" w:rsidP="000048AB">
            <w:pPr>
              <w:spacing w:before="120" w:after="120"/>
              <w:jc w:val="center"/>
              <w:rPr>
                <w:b/>
                <w:noProof/>
                <w:sz w:val="20"/>
              </w:rPr>
            </w:pPr>
            <w:r>
              <w:rPr>
                <w:b/>
                <w:sz w:val="20"/>
              </w:rPr>
              <w:t>5</w:t>
            </w:r>
          </w:p>
        </w:tc>
        <w:tc>
          <w:tcPr>
            <w:tcW w:w="7371" w:type="dxa"/>
            <w:shd w:val="pct10" w:color="000000" w:fill="FFFFFF"/>
          </w:tcPr>
          <w:p w:rsidR="00FD4DF0" w:rsidRPr="00E70835" w:rsidRDefault="00FD4DF0" w:rsidP="000048AB">
            <w:pPr>
              <w:spacing w:before="120" w:after="120"/>
              <w:jc w:val="center"/>
              <w:rPr>
                <w:noProof/>
                <w:sz w:val="28"/>
                <w:szCs w:val="28"/>
              </w:rPr>
            </w:pPr>
            <w:r>
              <w:rPr>
                <w:rFonts w:ascii="Arial" w:hAnsi="Arial"/>
                <w:b/>
                <w:sz w:val="28"/>
                <w:szCs w:val="28"/>
              </w:rPr>
              <w:t>-</w:t>
            </w:r>
          </w:p>
        </w:tc>
      </w:tr>
      <w:tr w:rsidR="00FD4DF0" w:rsidRPr="00E70835" w:rsidTr="000048AB">
        <w:trPr>
          <w:cantSplit/>
        </w:trPr>
        <w:tc>
          <w:tcPr>
            <w:tcW w:w="1701" w:type="dxa"/>
            <w:shd w:val="clear" w:color="auto" w:fill="FFFFFF"/>
          </w:tcPr>
          <w:p w:rsidR="00FD4DF0" w:rsidRPr="00E70835" w:rsidRDefault="00FD4DF0" w:rsidP="000048AB">
            <w:pPr>
              <w:spacing w:before="120" w:after="120"/>
              <w:rPr>
                <w:noProof/>
                <w:sz w:val="20"/>
              </w:rPr>
            </w:pPr>
            <w:r>
              <w:rPr>
                <w:sz w:val="20"/>
              </w:rPr>
              <w:t>ECR</w:t>
            </w:r>
          </w:p>
        </w:tc>
        <w:tc>
          <w:tcPr>
            <w:tcW w:w="7371" w:type="dxa"/>
            <w:shd w:val="clear" w:color="auto" w:fill="FFFFFF"/>
          </w:tcPr>
          <w:p w:rsidR="00FD4DF0" w:rsidRPr="00E70835" w:rsidRDefault="00FD4DF0" w:rsidP="000048AB">
            <w:pPr>
              <w:spacing w:before="120" w:after="120"/>
              <w:rPr>
                <w:noProof/>
                <w:sz w:val="20"/>
              </w:rPr>
            </w:pPr>
            <w:r>
              <w:rPr>
                <w:sz w:val="20"/>
              </w:rPr>
              <w:t>Helga Stevens, Kristina Winberg</w:t>
            </w:r>
          </w:p>
        </w:tc>
      </w:tr>
      <w:tr w:rsidR="00FD4DF0" w:rsidRPr="00E70835" w:rsidTr="000048AB">
        <w:trPr>
          <w:cantSplit/>
        </w:trPr>
        <w:tc>
          <w:tcPr>
            <w:tcW w:w="1701" w:type="dxa"/>
            <w:shd w:val="clear" w:color="auto" w:fill="FFFFFF"/>
          </w:tcPr>
          <w:p w:rsidR="00FD4DF0" w:rsidRPr="00E70835" w:rsidRDefault="00FD4DF0" w:rsidP="000048AB">
            <w:pPr>
              <w:spacing w:before="120" w:after="120"/>
              <w:rPr>
                <w:noProof/>
                <w:sz w:val="20"/>
              </w:rPr>
            </w:pPr>
            <w:r>
              <w:rPr>
                <w:sz w:val="20"/>
              </w:rPr>
              <w:t>EFDD</w:t>
            </w:r>
          </w:p>
        </w:tc>
        <w:tc>
          <w:tcPr>
            <w:tcW w:w="7371" w:type="dxa"/>
            <w:shd w:val="clear" w:color="auto" w:fill="FFFFFF"/>
          </w:tcPr>
          <w:p w:rsidR="00FD4DF0" w:rsidRPr="00E70835" w:rsidRDefault="00FD4DF0" w:rsidP="000048AB">
            <w:pPr>
              <w:spacing w:before="120" w:after="120"/>
              <w:rPr>
                <w:noProof/>
                <w:sz w:val="20"/>
              </w:rPr>
            </w:pPr>
            <w:r>
              <w:rPr>
                <w:sz w:val="20"/>
              </w:rPr>
              <w:t>Raymond Finch</w:t>
            </w:r>
          </w:p>
        </w:tc>
      </w:tr>
      <w:tr w:rsidR="00FD4DF0" w:rsidRPr="00E70835" w:rsidTr="000048AB">
        <w:trPr>
          <w:cantSplit/>
        </w:trPr>
        <w:tc>
          <w:tcPr>
            <w:tcW w:w="1701" w:type="dxa"/>
            <w:shd w:val="clear" w:color="auto" w:fill="FFFFFF"/>
          </w:tcPr>
          <w:p w:rsidR="00FD4DF0" w:rsidRPr="00E70835" w:rsidRDefault="00FD4DF0" w:rsidP="000048AB">
            <w:pPr>
              <w:spacing w:before="120" w:after="120"/>
              <w:rPr>
                <w:noProof/>
                <w:sz w:val="20"/>
              </w:rPr>
            </w:pPr>
            <w:r>
              <w:rPr>
                <w:sz w:val="20"/>
              </w:rPr>
              <w:t>ENF</w:t>
            </w:r>
          </w:p>
        </w:tc>
        <w:tc>
          <w:tcPr>
            <w:tcW w:w="7371" w:type="dxa"/>
            <w:shd w:val="clear" w:color="auto" w:fill="FFFFFF"/>
          </w:tcPr>
          <w:p w:rsidR="00FD4DF0" w:rsidRPr="00E70835" w:rsidRDefault="00FD4DF0" w:rsidP="000048AB">
            <w:pPr>
              <w:spacing w:before="120" w:after="120"/>
              <w:rPr>
                <w:noProof/>
                <w:sz w:val="20"/>
              </w:rPr>
            </w:pPr>
            <w:r>
              <w:rPr>
                <w:sz w:val="20"/>
              </w:rPr>
              <w:t>Auke Zijlstra</w:t>
            </w:r>
          </w:p>
        </w:tc>
      </w:tr>
      <w:tr w:rsidR="00FD4DF0" w:rsidRPr="00E70835" w:rsidTr="000048AB">
        <w:trPr>
          <w:cantSplit/>
        </w:trPr>
        <w:tc>
          <w:tcPr>
            <w:tcW w:w="1701" w:type="dxa"/>
            <w:shd w:val="clear" w:color="auto" w:fill="FFFFFF"/>
          </w:tcPr>
          <w:p w:rsidR="00FD4DF0" w:rsidRPr="00E70835" w:rsidRDefault="00FD4DF0" w:rsidP="000048AB">
            <w:pPr>
              <w:spacing w:before="120" w:after="120"/>
              <w:rPr>
                <w:noProof/>
                <w:sz w:val="20"/>
              </w:rPr>
            </w:pPr>
            <w:r>
              <w:rPr>
                <w:sz w:val="20"/>
              </w:rPr>
              <w:t>PPE</w:t>
            </w:r>
          </w:p>
        </w:tc>
        <w:tc>
          <w:tcPr>
            <w:tcW w:w="7371" w:type="dxa"/>
            <w:shd w:val="clear" w:color="auto" w:fill="FFFFFF"/>
          </w:tcPr>
          <w:p w:rsidR="00FD4DF0" w:rsidRPr="00E70835" w:rsidRDefault="00FD4DF0" w:rsidP="000048AB">
            <w:pPr>
              <w:spacing w:before="120" w:after="120"/>
              <w:rPr>
                <w:noProof/>
                <w:sz w:val="20"/>
              </w:rPr>
            </w:pPr>
            <w:r>
              <w:rPr>
                <w:sz w:val="20"/>
              </w:rPr>
              <w:t>Kinga Gál</w:t>
            </w:r>
          </w:p>
        </w:tc>
      </w:tr>
    </w:tbl>
    <w:p w:rsidR="00FD4DF0" w:rsidRPr="00E70835" w:rsidRDefault="00FD4DF0" w:rsidP="00FD4DF0">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D4DF0" w:rsidRPr="00E70835" w:rsidTr="000048AB">
        <w:trPr>
          <w:cantSplit/>
        </w:trPr>
        <w:tc>
          <w:tcPr>
            <w:tcW w:w="1701" w:type="dxa"/>
            <w:shd w:val="pct10" w:color="000000" w:fill="FFFFFF"/>
            <w:vAlign w:val="center"/>
          </w:tcPr>
          <w:p w:rsidR="00FD4DF0" w:rsidRPr="00E70835" w:rsidRDefault="00FD4DF0" w:rsidP="000048AB">
            <w:pPr>
              <w:spacing w:before="120" w:after="120"/>
              <w:jc w:val="center"/>
              <w:rPr>
                <w:b/>
                <w:noProof/>
                <w:sz w:val="20"/>
              </w:rPr>
            </w:pPr>
            <w:r>
              <w:rPr>
                <w:b/>
                <w:sz w:val="20"/>
              </w:rPr>
              <w:t>0</w:t>
            </w:r>
          </w:p>
        </w:tc>
        <w:tc>
          <w:tcPr>
            <w:tcW w:w="7371" w:type="dxa"/>
            <w:shd w:val="pct10" w:color="000000" w:fill="FFFFFF"/>
          </w:tcPr>
          <w:p w:rsidR="00FD4DF0" w:rsidRPr="00E70835" w:rsidRDefault="00FD4DF0" w:rsidP="000048AB">
            <w:pPr>
              <w:spacing w:before="120" w:after="120"/>
              <w:jc w:val="center"/>
              <w:rPr>
                <w:noProof/>
                <w:sz w:val="28"/>
                <w:szCs w:val="28"/>
              </w:rPr>
            </w:pPr>
            <w:r>
              <w:rPr>
                <w:rFonts w:ascii="Arial" w:hAnsi="Arial"/>
                <w:b/>
                <w:sz w:val="28"/>
                <w:szCs w:val="28"/>
              </w:rPr>
              <w:t>0</w:t>
            </w:r>
          </w:p>
        </w:tc>
      </w:tr>
      <w:tr w:rsidR="00FD4DF0" w:rsidRPr="00E70835" w:rsidTr="000048AB">
        <w:trPr>
          <w:cantSplit/>
        </w:trPr>
        <w:tc>
          <w:tcPr>
            <w:tcW w:w="1701" w:type="dxa"/>
            <w:shd w:val="clear" w:color="auto" w:fill="FFFFFF"/>
          </w:tcPr>
          <w:p w:rsidR="00FD4DF0" w:rsidRPr="00E70835" w:rsidRDefault="00FD4DF0" w:rsidP="000048AB">
            <w:pPr>
              <w:spacing w:before="120" w:after="120"/>
              <w:rPr>
                <w:noProof/>
                <w:sz w:val="20"/>
              </w:rPr>
            </w:pPr>
          </w:p>
        </w:tc>
        <w:tc>
          <w:tcPr>
            <w:tcW w:w="7371" w:type="dxa"/>
            <w:shd w:val="clear" w:color="auto" w:fill="FFFFFF"/>
          </w:tcPr>
          <w:p w:rsidR="00FD4DF0" w:rsidRPr="00E70835" w:rsidRDefault="00FD4DF0" w:rsidP="000048AB">
            <w:pPr>
              <w:spacing w:before="120" w:after="120"/>
              <w:rPr>
                <w:noProof/>
                <w:sz w:val="20"/>
              </w:rPr>
            </w:pPr>
          </w:p>
        </w:tc>
      </w:tr>
    </w:tbl>
    <w:p w:rsidR="00FD4DF0" w:rsidRDefault="00FD4DF0" w:rsidP="00147FBF">
      <w:pPr>
        <w:pStyle w:val="Normal12"/>
        <w:rPr>
          <w:noProof/>
        </w:rPr>
      </w:pPr>
    </w:p>
    <w:p w:rsidR="00FD4DF0" w:rsidRDefault="00FD4DF0" w:rsidP="00B735E3">
      <w:pPr>
        <w:rPr>
          <w:noProof/>
        </w:rPr>
      </w:pPr>
      <w:r>
        <w:t>Teckenförklaring:</w:t>
      </w:r>
    </w:p>
    <w:p w:rsidR="00FD4DF0" w:rsidRDefault="00FD4DF0" w:rsidP="00B735E3">
      <w:pPr>
        <w:pStyle w:val="NormalTabs"/>
        <w:rPr>
          <w:noProof/>
        </w:rPr>
      </w:pPr>
      <w:r>
        <w:t>+</w:t>
      </w:r>
      <w:r>
        <w:tab/>
        <w:t>:</w:t>
      </w:r>
      <w:r>
        <w:tab/>
        <w:t>Ja-röster</w:t>
      </w:r>
    </w:p>
    <w:p w:rsidR="00FD4DF0" w:rsidRDefault="00FD4DF0" w:rsidP="00B735E3">
      <w:pPr>
        <w:pStyle w:val="NormalTabs"/>
        <w:rPr>
          <w:noProof/>
        </w:rPr>
      </w:pPr>
      <w:r>
        <w:t>-</w:t>
      </w:r>
      <w:r>
        <w:tab/>
        <w:t>:</w:t>
      </w:r>
      <w:r>
        <w:tab/>
        <w:t>Nej-röster</w:t>
      </w:r>
    </w:p>
    <w:p w:rsidR="00FD4DF0" w:rsidRDefault="00FD4DF0" w:rsidP="00B735E3">
      <w:pPr>
        <w:pStyle w:val="NormalTabs"/>
        <w:rPr>
          <w:noProof/>
        </w:rPr>
      </w:pPr>
      <w:r>
        <w:t>0</w:t>
      </w:r>
      <w:r>
        <w:tab/>
        <w:t>:</w:t>
      </w:r>
      <w:r>
        <w:tab/>
        <w:t>Nedlagda röster</w:t>
      </w:r>
    </w:p>
    <w:p w:rsidR="00FD4DF0" w:rsidRDefault="00FD4DF0" w:rsidP="00AD5932">
      <w:pPr>
        <w:rPr>
          <w:noProof/>
        </w:rPr>
      </w:pPr>
    </w:p>
    <w:p w:rsidR="00752C5B" w:rsidRPr="00FD4DF0" w:rsidRDefault="00752C5B" w:rsidP="00FD4DF0">
      <w:pPr>
        <w:rPr>
          <w:noProof/>
        </w:rPr>
      </w:pPr>
      <w:bookmarkStart w:id="7" w:name="_GoBack"/>
      <w:bookmarkEnd w:id="5"/>
      <w:bookmarkEnd w:id="7"/>
    </w:p>
    <w:sectPr w:rsidR="00752C5B" w:rsidRPr="00FD4DF0" w:rsidSect="00752C5B">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A23" w:rsidRPr="00A527D5" w:rsidRDefault="006F7A23">
      <w:r w:rsidRPr="00A527D5">
        <w:separator/>
      </w:r>
    </w:p>
  </w:endnote>
  <w:endnote w:type="continuationSeparator" w:id="0">
    <w:p w:rsidR="006F7A23" w:rsidRPr="00A527D5" w:rsidRDefault="006F7A23">
      <w:r w:rsidRPr="00A527D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B57" w:rsidRDefault="00073B57" w:rsidP="00073B57">
    <w:pPr>
      <w:pStyle w:val="Footer"/>
    </w:pPr>
    <w:r>
      <w:t>PE</w:t>
    </w:r>
    <w:r w:rsidRPr="00073B57">
      <w:rPr>
        <w:rStyle w:val="HideTWBExt"/>
      </w:rPr>
      <w:t>&lt;NoPE&gt;</w:t>
    </w:r>
    <w:r>
      <w:t>629.630</w:t>
    </w:r>
    <w:r w:rsidRPr="00073B57">
      <w:rPr>
        <w:rStyle w:val="HideTWBExt"/>
      </w:rPr>
      <w:t>&lt;/NoPE&gt;&lt;Version&gt;</w:t>
    </w:r>
    <w:r>
      <w:t>v02-00</w:t>
    </w:r>
    <w:r w:rsidRPr="00073B57">
      <w:rPr>
        <w:rStyle w:val="HideTWBExt"/>
      </w:rPr>
      <w:t>&lt;/Version&gt;</w:t>
    </w:r>
    <w:r>
      <w:tab/>
    </w:r>
    <w:r>
      <w:fldChar w:fldCharType="begin"/>
    </w:r>
    <w:r>
      <w:instrText xml:space="preserve"> PAGE  \* MERGEFORMAT </w:instrText>
    </w:r>
    <w:r>
      <w:fldChar w:fldCharType="separate"/>
    </w:r>
    <w:r w:rsidR="007358DF">
      <w:rPr>
        <w:noProof/>
      </w:rPr>
      <w:t>14</w:t>
    </w:r>
    <w:r>
      <w:fldChar w:fldCharType="end"/>
    </w:r>
    <w:r>
      <w:t>/</w:t>
    </w:r>
    <w:r w:rsidR="002668D1">
      <w:rPr>
        <w:noProof/>
      </w:rPr>
      <w:fldChar w:fldCharType="begin"/>
    </w:r>
    <w:r w:rsidR="002668D1">
      <w:rPr>
        <w:noProof/>
      </w:rPr>
      <w:instrText xml:space="preserve"> NUMPAGES  \* MERGEFORMAT </w:instrText>
    </w:r>
    <w:r w:rsidR="002668D1">
      <w:rPr>
        <w:noProof/>
      </w:rPr>
      <w:fldChar w:fldCharType="separate"/>
    </w:r>
    <w:r w:rsidR="007358DF">
      <w:rPr>
        <w:noProof/>
      </w:rPr>
      <w:t>15</w:t>
    </w:r>
    <w:r w:rsidR="002668D1">
      <w:rPr>
        <w:noProof/>
      </w:rPr>
      <w:fldChar w:fldCharType="end"/>
    </w:r>
    <w:r>
      <w:tab/>
    </w:r>
    <w:r w:rsidRPr="00073B57">
      <w:rPr>
        <w:rStyle w:val="HideTWBExt"/>
      </w:rPr>
      <w:t>&lt;PathFdR&gt;</w:t>
    </w:r>
    <w:r>
      <w:t>RR\1169535SV.docx</w:t>
    </w:r>
    <w:r w:rsidRPr="00073B57">
      <w:rPr>
        <w:rStyle w:val="HideTWBExt"/>
      </w:rPr>
      <w:t>&lt;/PathFdR&gt;</w:t>
    </w:r>
  </w:p>
  <w:p w:rsidR="00FB52FE" w:rsidRPr="00A527D5" w:rsidRDefault="00073B57" w:rsidP="00073B57">
    <w:pPr>
      <w:pStyle w:val="Footer2"/>
    </w:pPr>
    <w:r>
      <w:t>SV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B57" w:rsidRDefault="00073B57" w:rsidP="00073B57">
    <w:pPr>
      <w:pStyle w:val="Footer"/>
    </w:pPr>
    <w:r w:rsidRPr="00073B57">
      <w:rPr>
        <w:rStyle w:val="HideTWBExt"/>
      </w:rPr>
      <w:t>&lt;PathFdR&gt;</w:t>
    </w:r>
    <w:r>
      <w:t>RR\1169535SV.docx</w:t>
    </w:r>
    <w:r w:rsidRPr="00073B57">
      <w:rPr>
        <w:rStyle w:val="HideTWBExt"/>
      </w:rPr>
      <w:t>&lt;/PathFdR&gt;</w:t>
    </w:r>
    <w:r>
      <w:tab/>
    </w:r>
    <w:r>
      <w:fldChar w:fldCharType="begin"/>
    </w:r>
    <w:r>
      <w:instrText xml:space="preserve"> PAGE  \* MERGEFORMAT </w:instrText>
    </w:r>
    <w:r>
      <w:fldChar w:fldCharType="separate"/>
    </w:r>
    <w:r w:rsidR="007358DF">
      <w:rPr>
        <w:noProof/>
      </w:rPr>
      <w:t>15</w:t>
    </w:r>
    <w:r>
      <w:fldChar w:fldCharType="end"/>
    </w:r>
    <w:r>
      <w:t>/</w:t>
    </w:r>
    <w:r w:rsidR="002668D1">
      <w:rPr>
        <w:noProof/>
      </w:rPr>
      <w:fldChar w:fldCharType="begin"/>
    </w:r>
    <w:r w:rsidR="002668D1">
      <w:rPr>
        <w:noProof/>
      </w:rPr>
      <w:instrText xml:space="preserve"> NUMPAGES  \* MERGEFORMAT </w:instrText>
    </w:r>
    <w:r w:rsidR="002668D1">
      <w:rPr>
        <w:noProof/>
      </w:rPr>
      <w:fldChar w:fldCharType="separate"/>
    </w:r>
    <w:r w:rsidR="007358DF">
      <w:rPr>
        <w:noProof/>
      </w:rPr>
      <w:t>15</w:t>
    </w:r>
    <w:r w:rsidR="002668D1">
      <w:rPr>
        <w:noProof/>
      </w:rPr>
      <w:fldChar w:fldCharType="end"/>
    </w:r>
    <w:r>
      <w:tab/>
      <w:t>PE</w:t>
    </w:r>
    <w:r w:rsidRPr="00073B57">
      <w:rPr>
        <w:rStyle w:val="HideTWBExt"/>
      </w:rPr>
      <w:t>&lt;NoPE&gt;</w:t>
    </w:r>
    <w:r>
      <w:t>629.630</w:t>
    </w:r>
    <w:r w:rsidRPr="00073B57">
      <w:rPr>
        <w:rStyle w:val="HideTWBExt"/>
      </w:rPr>
      <w:t>&lt;/NoPE&gt;&lt;Version&gt;</w:t>
    </w:r>
    <w:r>
      <w:t>v02-00</w:t>
    </w:r>
    <w:r w:rsidRPr="00073B57">
      <w:rPr>
        <w:rStyle w:val="HideTWBExt"/>
      </w:rPr>
      <w:t>&lt;/Version&gt;</w:t>
    </w:r>
  </w:p>
  <w:p w:rsidR="00FB52FE" w:rsidRPr="00A527D5" w:rsidRDefault="00073B57" w:rsidP="00073B57">
    <w:pPr>
      <w:pStyle w:val="Footer2"/>
    </w:pPr>
    <w:r>
      <w:tab/>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B57" w:rsidRDefault="00073B57" w:rsidP="00073B57">
    <w:pPr>
      <w:pStyle w:val="Footer"/>
    </w:pPr>
    <w:r w:rsidRPr="00073B57">
      <w:rPr>
        <w:rStyle w:val="HideTWBExt"/>
      </w:rPr>
      <w:t>&lt;PathFdR&gt;</w:t>
    </w:r>
    <w:r>
      <w:t>RR\1169535SV.docx</w:t>
    </w:r>
    <w:r w:rsidRPr="00073B57">
      <w:rPr>
        <w:rStyle w:val="HideTWBExt"/>
      </w:rPr>
      <w:t>&lt;/PathFdR&gt;</w:t>
    </w:r>
    <w:r>
      <w:tab/>
    </w:r>
    <w:r>
      <w:tab/>
      <w:t>PE</w:t>
    </w:r>
    <w:r w:rsidRPr="00073B57">
      <w:rPr>
        <w:rStyle w:val="HideTWBExt"/>
      </w:rPr>
      <w:t>&lt;NoPE&gt;</w:t>
    </w:r>
    <w:r>
      <w:t>629.630</w:t>
    </w:r>
    <w:r w:rsidRPr="00073B57">
      <w:rPr>
        <w:rStyle w:val="HideTWBExt"/>
      </w:rPr>
      <w:t>&lt;/NoPE&gt;&lt;Version&gt;</w:t>
    </w:r>
    <w:r>
      <w:t>v02-00</w:t>
    </w:r>
    <w:r w:rsidRPr="00073B57">
      <w:rPr>
        <w:rStyle w:val="HideTWBExt"/>
      </w:rPr>
      <w:t>&lt;/Version&gt;</w:t>
    </w:r>
  </w:p>
  <w:p w:rsidR="00FB52FE" w:rsidRPr="00A527D5" w:rsidRDefault="00073B57" w:rsidP="00073B57">
    <w:pPr>
      <w:pStyle w:val="Footer2"/>
      <w:tabs>
        <w:tab w:val="center" w:pos="4535"/>
      </w:tabs>
    </w:pPr>
    <w:r>
      <w:t>SV</w:t>
    </w:r>
    <w:r>
      <w:tab/>
    </w:r>
    <w:r w:rsidRPr="00073B57">
      <w:rPr>
        <w:b w:val="0"/>
        <w:i/>
        <w:color w:val="C0C0C0"/>
        <w:sz w:val="22"/>
      </w:rPr>
      <w:t>Förenade i mångfalden</w:t>
    </w:r>
    <w:r>
      <w:tab/>
      <w:t>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A23" w:rsidRPr="00A527D5" w:rsidRDefault="006F7A23">
      <w:r w:rsidRPr="00A527D5">
        <w:separator/>
      </w:r>
    </w:p>
  </w:footnote>
  <w:footnote w:type="continuationSeparator" w:id="0">
    <w:p w:rsidR="006F7A23" w:rsidRPr="00A527D5" w:rsidRDefault="006F7A23">
      <w:r w:rsidRPr="00A527D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8DF" w:rsidRDefault="00735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8DF" w:rsidRDefault="007358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8DF" w:rsidRDefault="00735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1"/>
    <w:docVar w:name="AMACTMNU" w:val=" 1"/>
    <w:docVar w:name="CJMNU" w:val="1"/>
    <w:docVar w:name="COMKEY" w:val="LIBE"/>
    <w:docVar w:name="CopyToNetwork" w:val="-1"/>
    <w:docVar w:name="DOCMNU" w:val=" 1"/>
    <w:docVar w:name="EPSTATMNU" w:val=" 1"/>
    <w:docVar w:name="iNoAmend" w:val="6"/>
    <w:docVar w:name="INSTITUTIONSMNU" w:val=" 2"/>
    <w:docVar w:name="JURI1MNU" w:val=" 2"/>
    <w:docVar w:name="JURI2MNU" w:val=" 2"/>
    <w:docVar w:name="LastEditedSection" w:val=" 1"/>
    <w:docVar w:name="ORLANGKEY" w:val="EN"/>
    <w:docVar w:name="ORLANGMNU" w:val=" 1"/>
    <w:docVar w:name="OTHERSTATMNU" w:val=" 4"/>
    <w:docVar w:name="PARLIAMENTSMNU" w:val=" 1"/>
    <w:docVar w:name="PARL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807077 HideTWBExt;}{\*\cs16 \additive \v\cf15 \spriority0 \styrsid8807077 HideTWBInt;}{\s17\ql \li0\ri0\sa120\nowidctlpar\wrapdefault\aspalpha\aspnum\faauto\adjustright\rin0\lin0\itap0 _x000d__x000a_\rtlch\fcs1 \af0\afs20\alang1025 \ltrch\fcs0 \fs24\lang2057\langfe2057\cgrid\langnp2057\langfenp2057 \sbasedon0 \snext17 \slink18 \spriority0 \styrsid8807077 Normal6;}{\*\cs18 \additive \fs24 \slink17 \slocked \spriority0 \styrsid8807077 Normal6 Char;}{_x000d__x000a_\s19\ql \li0\ri0\nowidctlpar\wrapdefault\aspalpha\aspnum\faauto\adjustright\rin0\lin0\itap0 \rtlch\fcs1 \af0\afs20\alang1025 \ltrch\fcs0 \b\fs24\lang2057\langfe2057\cgrid\langnp2057\langfenp2057 \sbasedon0 \snext19 \slink20 \spriority0 \styrsid8807077 _x000d__x000a_NormalBold;}{\*\cs20 \additive \b\fs24 \slink19 \slocked \spriority0 \styrsid8807077 NormalBold Char;}{\s21\ql \li0\ri0\sb240\nowidctlpar\wrapdefault\aspalpha\aspnum\faauto\adjustright\rin0\lin0\itap0 \rtlch\fcs1 \af0\afs20\alang1025 \ltrch\fcs0 _x000d__x000a_\i\fs24\lang2057\langfe2057\cgrid\langnp2057\langfenp2057 \sbasedon0 \snext21 \spriority0 \styrsid8807077 Normal12Italic;}{\s22\qc \li0\ri0\sb240\nowidctlpar\wrapdefault\aspalpha\aspnum\faauto\adjustright\rin0\lin0\itap0 \rtlch\fcs1 \af0\afs20\alang1025 _x000d__x000a_\ltrch\fcs0 \i\fs24\lang2057\langfe2057\cgrid\langnp2057\langfenp2057 \sbasedon0 \snext22 \spriority0 \styrsid8807077 CrossRef;}{\s23\qc \li0\ri0\sb240\keepn\nowidctlpar\wrapdefault\aspalpha\aspnum\faauto\adjustright\rin0\lin0\itap0 \rtlch\fcs1 _x000d__x000a_\af0\afs20\alang1025 \ltrch\fcs0 \i\fs24\lang2057\langfe2057\cgrid\langnp2057\langfenp2057 \sbasedon0 \snext0 \spriority0 \styrsid8807077 JustificationTitle;}{_x000d__x000a_\s24\qc \li0\ri0\sa240\nowidctlpar\wrapdefault\aspalpha\aspnum\faauto\adjustright\rin0\lin0\itap0 \rtlch\fcs1 \af0\afs20\alang1025 \ltrch\fcs0 \i\fs24\lang2057\langfe2057\cgrid\langnp2057\langfenp2057 \sbasedon0 \snext24 \spriority0 \styrsid8807077 _x000d__x000a_ColumnHeading;}{\s25\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5 \spriority0 \styrsid8807077 AMNumberTabs;}{_x000d__x000a_\s26\ql \li0\ri0\sb240\nowidctlpar\wrapdefault\aspalpha\aspnum\faauto\adjustright\rin0\lin0\itap0 \rtlch\fcs1 \af0\afs20\alang1025 \ltrch\fcs0 \b\fs24\lang2057\langfe2057\cgrid\langnp2057\langfenp2057 \sbasedon0 \snext26 \spriority0 \styrsid8807077 _x000d__x000a_NormalBold12b;}}{\*\rsidtbl \rsid24658\rsid735077\rsid2892074\rsid3430316\rsid4666813\rsid6641733\rsid8807077\rsid9636012\rsid11215221\rsid12154954\rsid14424199\rsid15204470\rsid15285974\rsid15950462\rsid16324206\rsid16662270}{\mmathPr\mmathFont34_x000d__x000a_\mbrkBin0\mbrkBinSub0\msmallFrac0\mdispDef1\mlMargin0\mrMargin0\mdefJc1\mwrapIndent1440\mintLim0\mnaryLim1}{\info{\author NIEMINEN-LINDQUIST Jaana}{\operator NIEMINEN-LINDQUIST Jaana}{\creatim\yr2018\mo11\dy20\hr16}{\revtim\yr2018\mo11\dy20\hr16}_x000d__x000a_{\version1}{\edmins0}{\nofpages1}{\nofwords80}{\nofchars550}{\*\company European Parliament}{\nofcharsws624}{\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807077\utinl \fet0{\*\wgrffmtfilter 013f}\ilfomacatclnup0{\*\template C:\\Users\\JNIEMI~1\\AppData\\Local\\Temp\\Blank1.dot}{\*\ftnsep \ltrpar \pard\plain \ltrpar_x000d__x000a_\ql \li0\ri0\widctlpar\wrapdefault\aspalpha\aspnum\faauto\adjustright\rin0\lin0\itap0 \rtlch\fcs1 \af0\afs20\alang1025 \ltrch\fcs0 \fs24\lang2057\langfe2057\cgrid\langnp2057\langfenp2057 {\rtlch\fcs1 \af0 \ltrch\fcs0 \insrsid3430316 \chftnsep _x000d__x000a_\par }}{\*\ftnsepc \ltrpar \pard\plain \ltrpar\ql \li0\ri0\widctlpar\wrapdefault\aspalpha\aspnum\faauto\adjustright\rin0\lin0\itap0 \rtlch\fcs1 \af0\afs20\alang1025 \ltrch\fcs0 \fs24\lang2057\langfe2057\cgrid\langnp2057\langfenp2057 {\rtlch\fcs1 \af0 _x000d__x000a_\ltrch\fcs0 \insrsid3430316 \chftnsepc _x000d__x000a_\par }}{\*\aftnsep \ltrpar \pard\plain \ltrpar\ql \li0\ri0\widctlpar\wrapdefault\aspalpha\aspnum\faauto\adjustright\rin0\lin0\itap0 \rtlch\fcs1 \af0\afs20\alang1025 \ltrch\fcs0 \fs24\lang2057\langfe2057\cgrid\langnp2057\langfenp2057 {\rtlch\fcs1 \af0 _x000d__x000a_\ltrch\fcs0 \insrsid3430316 \chftnsep _x000d__x000a_\par }}{\*\aftnsepc \ltrpar \pard\plain \ltrpar\ql \li0\ri0\widctlpar\wrapdefault\aspalpha\aspnum\faauto\adjustright\rin0\lin0\itap0 \rtlch\fcs1 \af0\afs20\alang1025 \ltrch\fcs0 \fs24\lang2057\langfe2057\cgrid\langnp2057\langfenp2057 {\rtlch\fcs1 \af0 _x000d__x000a_\ltrch\fcs0 \insrsid343031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8807077 \rtlch\fcs1 \af0\afs20\alang1025 \ltrch\fcs0 \b\fs24\lang2057\langfe2057\cgrid\langnp2057\langfenp2057 {\rtlch\fcs1 \af0 \ltrch\fcs0 \cs15\b0\v\f1\fs20\cf9\insrsid8807077\charrsid12601426 {\*\bkmkstart restart}&lt;Amend&gt;}{_x000d__x000a_\rtlch\fcs1 \af0 \ltrch\fcs0 \insrsid8807077\charrsid12601426 Amendment\tab \tab }{\rtlch\fcs1 \af0 \ltrch\fcs0 \cs15\b0\v\f1\fs20\cf9\insrsid8807077\charrsid12601426 &lt;NumAm&gt;}{\rtlch\fcs1 \af0 \ltrch\fcs0 \insrsid8807077\charrsid12601426 #}{\rtlch\fcs1 _x000d__x000a_\af0 \ltrch\fcs0 \cs16\v\cf15\insrsid8807077\charrsid12601426 ENMIENDA@NRAM@}{\rtlch\fcs1 \af0 \ltrch\fcs0 \insrsid8807077\charrsid12601426 #}{\rtlch\fcs1 \af0 \ltrch\fcs0 \cs15\b0\v\f1\fs20\cf9\insrsid8807077\charrsid12601426 &lt;/NumAm&gt;}{\rtlch\fcs1 \af0 _x000d__x000a_\ltrch\fcs0 \insrsid8807077\charrsid12601426 _x000d__x000a_\par }\pard\plain \ltrpar\s26\ql \li0\ri0\sb240\keepn\nowidctlpar\wrapdefault\aspalpha\aspnum\faauto\adjustright\rin0\lin0\itap0\pararsid8807077 \rtlch\fcs1 \af0\afs20\alang1025 \ltrch\fcs0 \b\fs24\lang2057\langfe2057\cgrid\langnp2057\langfenp2057 {_x000d__x000a_\rtlch\fcs1 \af0 \ltrch\fcs0 \cs15\b0\v\f1\fs20\cf9\insrsid8807077\charrsid12601426 &lt;DocAmend&gt;}{\rtlch\fcs1 \af0 \ltrch\fcs0 \insrsid8807077\charrsid12601426 Proposal for a #}{\rtlch\fcs1 \af0 \ltrch\fcs0 \cs16\v\cf15\insrsid8807077\charrsid12601426 _x000d__x000a_MNU[DOC1][DOC2][DOC3]@DOCMSG@DOCMNU}{\rtlch\fcs1 \af0 \ltrch\fcs0 \insrsid8807077\charrsid12601426 ##}{\rtlch\fcs1 \af0 \ltrch\fcs0 \cs16\v\cf15\insrsid8807077\charrsid12601426 MNU[AMACTYES][NOTAPP]@CHOICE@AMACTMNU}{\rtlch\fcs1 \af0 \ltrch\fcs0 _x000d__x000a_\insrsid8807077\charrsid12601426 #}{\rtlch\fcs1 \af0 \ltrch\fcs0 \cs15\b0\v\f1\fs20\cf9\insrsid8807077\charrsid12601426 &lt;/DocAmend&gt;}{\rtlch\fcs1 \af0 \ltrch\fcs0 \insrsid8807077\charrsid12601426 _x000d__x000a_\par }\pard\plain \ltrpar\s19\ql \li0\ri0\keepn\nowidctlpar\wrapdefault\aspalpha\aspnum\faauto\adjustright\rin0\lin0\itap0\pararsid8807077 \rtlch\fcs1 \af0\afs20\alang1025 \ltrch\fcs0 \b\fs24\lang2057\langfe2057\cgrid\langnp2057\langfenp2057 {\rtlch\fcs1 \af0 _x000d__x000a_\ltrch\fcs0 \cs15\b0\v\f1\fs20\cf9\insrsid8807077\charrsid12601426 &lt;Article&gt;}{\rtlch\fcs1 \af0 \ltrch\fcs0 \insrsid8807077\charrsid12601426 #}{\rtlch\fcs1 \af0 \ltrch\fcs0 \cs16\v\cf15\insrsid8807077\charrsid12601426 _x000d__x000a_MNU[AMACTPARTYES][AMACTPARTNO]@CHOICE@AMACTMNU}{\rtlch\fcs1 \af0 \ltrch\fcs0 \insrsid8807077\charrsid12601426 #}{\rtlch\fcs1 \af0 \ltrch\fcs0 \cs15\b0\v\f1\fs20\cf9\insrsid8807077\charrsid12601426 &lt;/Article&gt;}{\rtlch\fcs1 \af0 \ltrch\fcs0 _x000d__x000a_\insrsid8807077\charrsid12601426 _x000d__x000a_\par }\pard\plain \ltrpar\ql \li0\ri0\keepn\widctlpar\wrapdefault\aspalpha\aspnum\faauto\adjustright\rin0\lin0\itap0\pararsid8807077 \rtlch\fcs1 \af0\afs20\alang1025 \ltrch\fcs0 \fs24\lang2057\langfe2057\cgrid\langnp2057\langfenp2057 {\rtlch\fcs1 \af0 _x000d__x000a_\ltrch\fcs0 \cs15\v\f1\fs20\cf9\insrsid8807077\charrsid12601426 &lt;DocAmend2&gt;&lt;OptDel&gt;}{\rtlch\fcs1 \af0 \ltrch\fcs0 \insrsid8807077\charrsid12601426 #}{\rtlch\fcs1 \af0 \ltrch\fcs0 \cs16\v\cf15\insrsid8807077\charrsid12601426 MNU[OPTNRACT_x000d__x000a_YES][NOTAPP]@CHOICE@AMACTMNU}{\rtlch\fcs1 \af0 \ltrch\fcs0 \insrsid8807077\charrsid12601426 #}{\rtlch\fcs1 \af0 \ltrch\fcs0 \cs15\v\f1\fs20\cf9\insrsid8807077\charrsid12601426 &lt;/OptDel&gt;&lt;/DocAmend2&gt;}{\rtlch\fcs1 \af0 \ltrch\fcs0 _x000d__x000a_\insrsid8807077\charrsid12601426 _x000d__x000a_\par }\pard \ltrpar\ql \li0\ri0\widctlpar\wrapdefault\aspalpha\aspnum\faauto\adjustright\rin0\lin0\itap0\pararsid8807077 {\rtlch\fcs1 \af0 \ltrch\fcs0 \cs15\v\f1\fs20\cf9\insrsid8807077\charrsid12601426 &lt;Article2&gt;&lt;OptDel&gt;}{\rtlch\fcs1 \af0 \ltrch\fcs0 _x000d__x000a_\insrsid8807077\charrsid12601426 #}{\rtlch\fcs1 \af0 \ltrch\fcs0 \cs16\v\cf15\insrsid8807077\charrsid12601426 MNU[OPTACTPARTYES][NOTAPP]@CHOICE@AMACTMNU}{\rtlch\fcs1 \af0 \ltrch\fcs0 \insrsid8807077\charrsid12601426 #}{\rtlch\fcs1 \af0 \ltrch\fcs0 _x000d__x000a_\cs15\v\f1\fs20\cf9\insrsid8807077\charrsid12601426 &lt;/OptDel&gt;&lt;/Article2&gt;}{\rtlch\fcs1 \af0 \ltrch\fcs0 \insrsid8807077\charrsid12601426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8807077\charrsid12601426 \cell }\pard \ltrpar\ql \li0\ri0\widctlpar\intbl\wrapdefault\aspalpha\aspnum\faauto\adjustright\rin0\lin0 {\rtlch\fcs1 \af0 \ltrch\fcs0 \insrsid8807077\charrsid12601426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2057\langfe2057\cgrid\langnp2057\langfenp2057 {\rtlch\fcs1 \af0 \ltrch\fcs0 _x000d__x000a_\insrsid8807077\charrsid12601426 #}{\rtlch\fcs1 \af0 \ltrch\fcs0 \cs16\v\cf15\insrsid8807077\charrsid12601426 MNU[OPTLEFTAMACT][LEFTPROP]@CHOICE@AMACTMNU}{\rtlch\fcs1 \af0 \ltrch\fcs0 \insrsid8807077\charrsid12601426 #\cell Amendment\cell _x000d__x000a_}\pard\plain \ltrpar\ql \li0\ri0\widctlpar\intbl\wrapdefault\aspalpha\aspnum\faauto\adjustright\rin0\lin0 \rtlch\fcs1 \af0\afs20\alang1025 \ltrch\fcs0 \fs24\lang2057\langfe2057\cgrid\langnp2057\langfenp2057 {\rtlch\fcs1 \af0 \ltrch\fcs0 _x000d__x000a_\insrsid8807077\charrsid12601426 \trowd \irow1\irowband1\ltrrow\ts11\trqc\trgaph340\trleft-340\trftsWidth3\trwWidth9752\trftsWidthB3\trftsWidthA3\trpaddl340\trpaddr340\trpaddfl3\trpaddfr3\tblrsid2517430\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8807077\charrsid12601426 ##\cell ##}{\rtlch\fcs1 \af0\afs24 \ltrch\fcs0 \insrsid8807077\charrsid12601426 \cell }\pard\plain \ltrpar\ql \li0\ri0\widctlpar\intbl\wrapdefault\aspalpha\aspnum\faauto\adjustright\rin0\lin0 \rtlch\fcs1 _x000d__x000a_\af0\afs20\alang1025 \ltrch\fcs0 \fs24\lang2057\langfe2057\cgrid\langnp2057\langfenp2057 {\rtlch\fcs1 \af0 \ltrch\fcs0 \insrsid8807077\charrsid12601426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8807077 \rtlch\fcs1 \af0\afs20\alang1025 \ltrch\fcs0 \i\fs24\lang2057\langfe2057\cgrid\langnp2057\langfenp2057 {\rtlch\fcs1 \af0 \ltrch\fcs0 _x000d__x000a_\cs15\i0\v\f1\fs20\cf9\insrsid8807077\charrsid12601426 &lt;OptDel&gt;}{\rtlch\fcs1 \af0 \ltrch\fcs0 \insrsid8807077\charrsid12601426 #}{\rtlch\fcs1 \af0 \ltrch\fcs0 \cs16\v\cf15\insrsid8807077\charrsid12601426 MNU[CROSSREFNO][CROSSREFYES]@CHOICE@}{\rtlch\fcs1 _x000d__x000a_\af0 \ltrch\fcs0 \insrsid8807077\charrsid12601426 #}{\rtlch\fcs1 \af0 \ltrch\fcs0 \cs15\i0\v\f1\fs20\cf9\insrsid8807077\charrsid12601426 &lt;/OptDel&gt;}{\rtlch\fcs1 \af0 \ltrch\fcs0 \insrsid8807077\charrsid12601426 _x000d__x000a_\par }\pard\plain \ltrpar\s23\qc \li0\ri0\sb240\keepn\nowidctlpar\wrapdefault\aspalpha\aspnum\faauto\adjustright\rin0\lin0\itap0\pararsid8807077 \rtlch\fcs1 \af0\afs20\alang1025 \ltrch\fcs0 \i\fs24\lang2057\langfe2057\cgrid\langnp2057\langfenp2057 {_x000d__x000a_\rtlch\fcs1 \af0 \ltrch\fcs0 \cs15\i0\v\f1\fs20\cf9\insrsid8807077\charrsid12601426 &lt;TitreJust&gt;}{\rtlch\fcs1 \af0 \ltrch\fcs0 \insrsid8807077\charrsid12601426 Justification}{\rtlch\fcs1 \af0 \ltrch\fcs0 _x000d__x000a_\cs15\i0\v\f1\fs20\cf9\insrsid8807077\charrsid12601426 &lt;/TitreJust&gt;}{\rtlch\fcs1 \af0 \ltrch\fcs0 \insrsid8807077\charrsid12601426 _x000d__x000a_\par }\pard\plain \ltrpar\s21\ql \li0\ri0\sb240\nowidctlpar\wrapdefault\aspalpha\aspnum\faauto\adjustright\rin0\lin0\itap0\pararsid8807077 \rtlch\fcs1 \af0\afs20\alang1025 \ltrch\fcs0 \i\fs24\lang2057\langfe2057\cgrid\langnp2057\langfenp2057 {\rtlch\fcs1 \af0 _x000d__x000a_\ltrch\fcs0 \cs15\i0\v\f1\fs20\cf9\insrsid8807077\charrsid12601426 &lt;OptDelPrev&gt;}{\rtlch\fcs1 \af0 \ltrch\fcs0 \insrsid8807077\charrsid12601426 #}{\rtlch\fcs1 \af0 \ltrch\fcs0 \cs16\v\cf15\insrsid8807077\charrsid12601426 _x000d__x000a_MNU[TEXTJUSTYES][TEXTJUSTNO]@CHOICE@}{\rtlch\fcs1 \af0 \ltrch\fcs0 \insrsid8807077\charrsid12601426 #}{\rtlch\fcs1 \af0 \ltrch\fcs0 \cs15\i0\v\f1\fs20\cf9\insrsid8807077\charrsid12601426 &lt;/OptDelPrev&gt;}{\rtlch\fcs1 \af0 \ltrch\fcs0 _x000d__x000a_\insrsid8807077\charrsid12601426 _x000d__x000a_\par }\pard\plain \ltrpar\ql \li0\ri0\widctlpar\wrapdefault\aspalpha\aspnum\faauto\adjustright\rin0\lin0\itap0\pararsid8807077 \rtlch\fcs1 \af0\afs20\alang1025 \ltrch\fcs0 \fs24\lang2057\langfe2057\cgrid\langnp2057\langfenp2057 {\rtlch\fcs1 \af0 \ltrch\fcs0 _x000d__x000a_\cs15\v\f1\fs20\cf9\insrsid8807077\charrsid12601426 &lt;/Amend&gt;}{\rtlch\fcs1 \af0 \ltrch\fcs0 \insrsid8807077\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24_x000d__x000a_30d0e18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421695 HideTWBExt;}{\s16\ql \li0\ri0\sa120\nowidctlpar\wrapdefault\aspalpha\aspnum\faauto\adjustright\rin0\lin0\itap0 \rtlch\fcs1 \af0\afs20\alang1025 \ltrch\fcs0 _x000d__x000a_\fs24\lang2057\langfe2057\cgrid\langnp2057\langfenp2057 \sbasedon0 \snext16 \slink17 \spriority0 \styrsid14421695 Normal6;}{\*\cs17 \additive \fs24 \slink16 \slocked \spriority0 \styrsid14421695 Normal6 Char;}{_x000d__x000a_\s18\ql \li0\ri0\nowidctlpar\wrapdefault\aspalpha\aspnum\faauto\adjustright\rin0\lin0\itap0 \rtlch\fcs1 \af0\afs20\alang1025 \ltrch\fcs0 \b\fs24\lang2057\langfe2057\cgrid\langnp2057\langfenp2057 \sbasedon0 \snext18 \slink19 \spriority0 \styrsid14421695 _x000d__x000a_NormalBold;}{\*\cs19 \additive \b\fs24 \slink18 \slocked \spriority0 \styrsid14421695 NormalBold Char;}{\s20\ql \li0\ri0\sb240\nowidctlpar\wrapdefault\aspalpha\aspnum\faauto\adjustright\rin0\lin0\itap0 \rtlch\fcs1 \af0\afs20\alang1025 \ltrch\fcs0 _x000d__x000a_\i\fs24\lang2057\langfe2057\cgrid\langnp2057\langfenp2057 \sbasedon0 \snext20 \spriority0 \styrsid14421695 Normal12Italic;}{\s21\qc \li0\ri0\sb240\nowidctlpar\wrapdefault\aspalpha\aspnum\faauto\adjustright\rin0\lin0\itap0 \rtlch\fcs1 \af0\afs20\alang1025 _x000d__x000a_\ltrch\fcs0 \i\fs24\lang2057\langfe2057\cgrid\langnp2057\langfenp2057 \sbasedon0 \snext21 \spriority0 \styrsid14421695 CrossRef;}{\s22\qc \li0\ri0\sb240\keepn\nowidctlpar\wrapdefault\aspalpha\aspnum\faauto\adjustright\rin0\lin0\itap0 \rtlch\fcs1 _x000d__x000a_\af0\afs20\alang1025 \ltrch\fcs0 \i\fs24\lang2057\langfe2057\cgrid\langnp2057\langfenp2057 \sbasedon0 \snext0 \spriority0 \styrsid14421695 JustificationTitle;}{_x000d__x000a_\s23\qc \li0\ri0\sa240\nowidctlpar\wrapdefault\aspalpha\aspnum\faauto\adjustright\rin0\lin0\itap0 \rtlch\fcs1 \af0\afs20\alang1025 \ltrch\fcs0 \i\fs24\lang2057\langfe2057\cgrid\langnp2057\langfenp2057 \sbasedon0 \snext23 \spriority0 \styrsid14421695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4421695 AMNumberTabs;}{_x000d__x000a_\s25\ql \li0\ri0\sb240\nowidctlpar\wrapdefault\aspalpha\aspnum\faauto\adjustright\rin0\lin0\itap0 \rtlch\fcs1 \af0\afs20\alang1025 \ltrch\fcs0 \b\fs24\lang2057\langfe2057\cgrid\langnp2057\langfenp2057 \sbasedon0 \snext25 \spriority0 \styrsid14421695 _x000d__x000a_NormalBold12b;}}{\*\rsidtbl \rsid24658\rsid735077\rsid2892074\rsid4666813\rsid6641733\rsid8259175\rsid9636012\rsid11215221\rsid12154954\rsid14421695\rsid14424199\rsid15204470\rsid15285974\rsid15950462\rsid16324206\rsid16662270}{\mmathPr\mmathFont34_x000d__x000a_\mbrkBin0\mbrkBinSub0\msmallFrac0\mdispDef1\mlMargin0\mrMargin0\mdefJc1\mwrapIndent1440\mintLim0\mnaryLim1}{\info{\author NIEMINEN-LINDQUIST Jaana}{\operator NIEMINEN-LINDQUIST Jaana}{\creatim\yr2018\mo11\dy20\hr16}{\revtim\yr2018\mo11\dy20\hr16}_x000d__x000a_{\version1}{\edmins0}{\nofpages1}{\nofwords47}{\nofchars320}{\*\company European Parliament}{\nofcharsws364}{\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421695\utinl \fet0{\*\wgrffmtfilter 013f}\ilfomacatclnup0{\*\template C:\\Users\\JNIEMI~1\\AppData\\Local\\Temp\\Blank1.dot}{\*\ftnsep \ltrpar \pard\plain \ltrpar_x000d__x000a_\ql \li0\ri0\widctlpar\wrapdefault\aspalpha\aspnum\faauto\adjustright\rin0\lin0\itap0 \rtlch\fcs1 \af0\afs20\alang1025 \ltrch\fcs0 \fs24\lang2057\langfe2057\cgrid\langnp2057\langfenp2057 {\rtlch\fcs1 \af0 \ltrch\fcs0 \insrsid8259175 \chftnsep _x000d__x000a_\par }}{\*\ftnsepc \ltrpar \pard\plain \ltrpar\ql \li0\ri0\widctlpar\wrapdefault\aspalpha\aspnum\faauto\adjustright\rin0\lin0\itap0 \rtlch\fcs1 \af0\afs20\alang1025 \ltrch\fcs0 \fs24\lang2057\langfe2057\cgrid\langnp2057\langfenp2057 {\rtlch\fcs1 \af0 _x000d__x000a_\ltrch\fcs0 \insrsid8259175 \chftnsepc _x000d__x000a_\par }}{\*\aftnsep \ltrpar \pard\plain \ltrpar\ql \li0\ri0\widctlpar\wrapdefault\aspalpha\aspnum\faauto\adjustright\rin0\lin0\itap0 \rtlch\fcs1 \af0\afs20\alang1025 \ltrch\fcs0 \fs24\lang2057\langfe2057\cgrid\langnp2057\langfenp2057 {\rtlch\fcs1 \af0 _x000d__x000a_\ltrch\fcs0 \insrsid8259175 \chftnsep _x000d__x000a_\par }}{\*\aftnsepc \ltrpar \pard\plain \ltrpar\ql \li0\ri0\widctlpar\wrapdefault\aspalpha\aspnum\faauto\adjustright\rin0\lin0\itap0 \rtlch\fcs1 \af0\afs20\alang1025 \ltrch\fcs0 \fs24\lang2057\langfe2057\cgrid\langnp2057\langfenp2057 {\rtlch\fcs1 \af0 _x000d__x000a_\ltrch\fcs0 \insrsid825917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421695 \rtlch\fcs1 \af0\afs20\alang1025 \ltrch\fcs0 \b\fs24\lang2057\langfe2057\cgrid\langnp2057\langfenp2057 {\rtlch\fcs1 \af0 \ltrch\fcs0 \cs15\b0\v\f1\fs20\cf9\insrsid14421695\charrsid4593153 {\*\bkmkstart restart}&lt;Amend&gt;}{_x000d__x000a_\rtlch\fcs1 \af0 \ltrch\fcs0 \insrsid14421695\charrsid4593153 [ZAMENDMENT]\tab \tab }{\rtlch\fcs1 \af0 \ltrch\fcs0 \cs15\b0\v\f1\fs20\cf9\insrsid14421695\charrsid4593153 &lt;NumAm&gt;}{\rtlch\fcs1 \af0 \ltrch\fcs0 \insrsid14421695\charrsid4593153 [ZNRAM]}{_x000d__x000a_\rtlch\fcs1 \af0 \ltrch\fcs0 \cs15\b0\v\f1\fs20\cf9\insrsid14421695\charrsid4593153 &lt;/NumAm&gt;}{\rtlch\fcs1 \af0 \ltrch\fcs0 \insrsid14421695\charrsid4593153 _x000d__x000a_\par }\pard\plain \ltrpar\s25\ql \li0\ri0\sb240\keepn\nowidctlpar\wrapdefault\aspalpha\aspnum\faauto\adjustright\rin0\lin0\itap0\pararsid14421695 \rtlch\fcs1 \af0\afs20\alang1025 \ltrch\fcs0 \b\fs24\lang2057\langfe2057\cgrid\langnp2057\langfenp2057 {_x000d__x000a_\rtlch\fcs1 \af0 \ltrch\fcs0 \cs15\b0\v\f1\fs20\cf9\insrsid14421695\charrsid4593153 &lt;DocAmend&gt;}{\rtlch\fcs1 \af0 \ltrch\fcs0 \insrsid14421695\charrsid4593153 [ZPROPOSAL][ZAMACT]}{\rtlch\fcs1 \af0 \ltrch\fcs0 _x000d__x000a_\cs15\b0\v\f1\fs20\cf9\insrsid14421695\charrsid4593153 &lt;/DocAmend&gt;}{\rtlch\fcs1 \af0 \ltrch\fcs0 \insrsid14421695\charrsid4593153 _x000d__x000a_\par }\pard\plain \ltrpar\s18\ql \li0\ri0\keepn\nowidctlpar\wrapdefault\aspalpha\aspnum\faauto\adjustright\rin0\lin0\itap0\pararsid14421695 \rtlch\fcs1 \af0\afs20\alang1025 \ltrch\fcs0 \b\fs24\lang2057\langfe2057\cgrid\langnp2057\langfenp2057 {\rtlch\fcs1 _x000d__x000a_\af0 \ltrch\fcs0 \cs15\b0\v\f1\fs20\cf9\insrsid14421695\charrsid4593153 &lt;Article&gt;}{\rtlch\fcs1 \af0 \ltrch\fcs0 \insrsid14421695\charrsid4593153 [ZAMPART]}{\rtlch\fcs1 \af0 \ltrch\fcs0 \cs15\b0\v\f1\fs20\cf9\insrsid14421695\charrsid4593153 &lt;/Article&gt;}{_x000d__x000a_\rtlch\fcs1 \af0 \ltrch\fcs0 \insrsid14421695\charrsid4593153 _x000d__x000a_\par }\pard\plain \ltrpar\ql \li0\ri0\keepn\widctlpar\wrapdefault\aspalpha\aspnum\faauto\adjustright\rin0\lin0\itap0\pararsid14421695 \rtlch\fcs1 \af0\afs20\alang1025 \ltrch\fcs0 \fs24\lang2057\langfe2057\cgrid\langnp2057\langfenp2057 {\rtlch\fcs1 \af0 _x000d__x000a_\ltrch\fcs0 \cs15\v\f1\fs20\cf9\insrsid14421695\charrsid4593153 &lt;DocAmend2&gt;&lt;OptDel&gt;}{\rtlch\fcs1 \af0 \ltrch\fcs0 \insrsid14421695\charrsid4593153 [ZNRACT]}{\rtlch\fcs1 \af0 \ltrch\fcs0 \cs15\v\f1\fs20\cf9\insrsid14421695\charrsid4593153 _x000d__x000a_&lt;/OptDel&gt;&lt;/DocAmend2&gt;}{\rtlch\fcs1 \af0 \ltrch\fcs0 \insrsid14421695\charrsid4593153 _x000d__x000a_\par }\pard \ltrpar\ql \li0\ri0\widctlpar\wrapdefault\aspalpha\aspnum\faauto\adjustright\rin0\lin0\itap0\pararsid14421695 {\rtlch\fcs1 \af0 \ltrch\fcs0 \cs15\v\f1\fs20\cf9\insrsid14421695\charrsid4593153 &lt;Article2&gt;&lt;OptDel&gt;}{\rtlch\fcs1 \af0 \ltrch\fcs0 _x000d__x000a_\insrsid14421695\charrsid4593153 [ZACTPART]}{\rtlch\fcs1 \af0 \ltrch\fcs0 \cs15\v\f1\fs20\cf9\insrsid14421695\charrsid4593153 &lt;/OptDel&gt;&lt;/Article2&gt;}{\rtlch\fcs1 \af0 \ltrch\fcs0 \insrsid14421695\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14421695\charrsid4593153 \cell }\pard \ltrpar\ql \li0\ri0\widctlpar\intbl\wrapdefault\aspalpha\aspnum\faauto\adjustright\rin0\lin0 {\rtlch\fcs1 \af0 \ltrch\fcs0 \insrsid14421695\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14421695\charrsid4593153 [ZLEFT]\cell [ZRIGHT]\cell }\pard\plain \ltrpar\ql \li0\ri0\widctlpar\intbl\wrapdefault\aspalpha\aspnum\faauto\adjustright\rin0\lin0 \rtlch\fcs1 \af0\afs20\alang1025 \ltrch\fcs0 _x000d__x000a_\fs24\lang2057\langfe2057\cgrid\langnp2057\langfenp2057 {\rtlch\fcs1 \af0 \ltrch\fcs0 \insrsid14421695\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4421695\charrsid4593153 [ZTEXTL]\cell [ZTEXTR]}{\rtlch\fcs1 \af0\afs24 \ltrch\fcs0 \insrsid14421695\charrsid4593153 \cell }\pard\plain \ltrpar\ql \li0\ri0\widctlpar\intbl\wrapdefault\aspalpha\aspnum\faauto\adjustright\rin0\lin0 \rtlch\fcs1 _x000d__x000a_\af0\afs20\alang1025 \ltrch\fcs0 \fs24\lang2057\langfe2057\cgrid\langnp2057\langfenp2057 {\rtlch\fcs1 \af0 \ltrch\fcs0 \insrsid14421695\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4421695 \rtlch\fcs1 \af0\afs20\alang1025 \ltrch\fcs0 \i\fs24\lang2057\langfe2057\cgrid\langnp2057\langfenp2057 {\rtlch\fcs1 \af0 \ltrch\fcs0 _x000d__x000a_\cs15\i0\v\f1\fs20\cf9\insrsid14421695\charrsid4593153 &lt;OptDel&gt;}{\rtlch\fcs1 \af0 \ltrch\fcs0 \insrsid14421695\charrsid4593153 [ZCROSSREF]}{\rtlch\fcs1 \af0 \ltrch\fcs0 \cs15\i0\v\f1\fs20\cf9\insrsid14421695\charrsid4593153 &lt;/OptDel&gt;}{\rtlch\fcs1 \af0 _x000d__x000a_\ltrch\fcs0 \insrsid14421695\charrsid4593153 _x000d__x000a_\par }\pard\plain \ltrpar\s22\qc \li0\ri0\sb240\keepn\nowidctlpar\wrapdefault\aspalpha\aspnum\faauto\adjustright\rin0\lin0\itap0\pararsid14421695 \rtlch\fcs1 \af0\afs20\alang1025 \ltrch\fcs0 \i\fs24\lang2057\langfe2057\cgrid\langnp2057\langfenp2057 {_x000d__x000a_\rtlch\fcs1 \af0 \ltrch\fcs0 \cs15\i0\v\f1\fs20\cf9\insrsid14421695\charrsid4593153 &lt;TitreJust&gt;}{\rtlch\fcs1 \af0 \ltrch\fcs0 \insrsid14421695\charrsid4593153 [ZJUSTIFICATION]}{\rtlch\fcs1 \af0 \ltrch\fcs0 _x000d__x000a_\cs15\i0\v\f1\fs20\cf9\insrsid14421695\charrsid4593153 &lt;/TitreJust&gt;}{\rtlch\fcs1 \af0 \ltrch\fcs0 \insrsid14421695\charrsid4593153 _x000d__x000a_\par }\pard\plain \ltrpar\s20\ql \li0\ri0\sb240\nowidctlpar\wrapdefault\aspalpha\aspnum\faauto\adjustright\rin0\lin0\itap0\pararsid14421695 \rtlch\fcs1 \af0\afs20\alang1025 \ltrch\fcs0 \i\fs24\lang2057\langfe2057\cgrid\langnp2057\langfenp2057 {\rtlch\fcs1 _x000d__x000a_\af0 \ltrch\fcs0 \cs15\i0\v\f1\fs20\cf9\insrsid14421695\charrsid4593153 &lt;OptDelPrev&gt;}{\rtlch\fcs1 \af0 \ltrch\fcs0 \insrsid14421695\charrsid4593153 [ZTEXTJUST]}{\rtlch\fcs1 \af0 \ltrch\fcs0 \cs15\i0\v\f1\fs20\cf9\insrsid14421695\charrsid4593153 _x000d__x000a_&lt;/OptDelPrev&gt;}{\rtlch\fcs1 \af0 \ltrch\fcs0 \insrsid14421695\charrsid4593153 _x000d__x000a_\par }\pard\plain \ltrpar\ql \li0\ri0\widctlpar\wrapdefault\aspalpha\aspnum\faauto\adjustright\rin0\lin0\itap0\pararsid14421695 \rtlch\fcs1 \af0\afs20\alang1025 \ltrch\fcs0 \fs24\lang2057\langfe2057\cgrid\langnp2057\langfenp2057 {\rtlch\fcs1 \af0 \ltrch\fcs0 _x000d__x000a_\cs15\v\f1\fs20\cf9\insrsid14421695\charrsid4593153 &lt;/Amend&gt;}{\rtlch\fcs1 \af0 \ltrch\fcs0 \insrsid14421695\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cf_x000d__x000a_95d1e18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ATMNU" w:val=" 1"/>
    <w:docVar w:name="strDocTypeID" w:val="PR_COD_1amCom"/>
    <w:docVar w:name="strSubDir" w:val="1169"/>
    <w:docVar w:name="TVTACTPART" w:val="Article 18 – paragraph 3 c (new)"/>
    <w:docVar w:name="TVTAMACTPART" w:val="Article 1 – paragraph 1 – point 3 – point 3 b a (new)"/>
    <w:docVar w:name="TXTAUTHOR" w:val="Miriam Dalli"/>
    <w:docVar w:name="TXTLANGUE" w:val="SV"/>
    <w:docVar w:name="TXTLANGUEMIN" w:val="sv"/>
    <w:docVar w:name="TXTNRC" w:val="0448/2018"/>
    <w:docVar w:name="TXTNRCOD" w:val="2018/0371"/>
    <w:docVar w:name="TXTNRCOM" w:val="(2018)"/>
    <w:docVar w:name="TXTNRFIRSTAM" w:val="1"/>
    <w:docVar w:name="TXTNRLASTAM" w:val="6"/>
    <w:docVar w:name="TXTNRPE" w:val="629.630"/>
    <w:docVar w:name="TXTNRREG" w:val="(EU) No 516/2014"/>
    <w:docVar w:name="TXTPEorAP" w:val="PE"/>
    <w:docVar w:name="TXTROUTE" w:val="RR\1169535SV.docx"/>
    <w:docVar w:name="TXTTITLE" w:val="amending Regulation (EU) No 516/2014 of the European Parliament and the Council, as regards the re-commitment of the remaining amounts committed to support the implementation of the Council Decisions (EU) 2015/1523 and (EU) 2015/1601 or the allocation thereof to other actions under the national programmes"/>
    <w:docVar w:name="TXTVERSION" w:val="02-00"/>
  </w:docVars>
  <w:rsids>
    <w:rsidRoot w:val="006F7A23"/>
    <w:rsid w:val="00011AAB"/>
    <w:rsid w:val="00012351"/>
    <w:rsid w:val="00025819"/>
    <w:rsid w:val="00065305"/>
    <w:rsid w:val="00073B57"/>
    <w:rsid w:val="00084E89"/>
    <w:rsid w:val="000F1096"/>
    <w:rsid w:val="00123DD5"/>
    <w:rsid w:val="00137531"/>
    <w:rsid w:val="00142215"/>
    <w:rsid w:val="001767E2"/>
    <w:rsid w:val="00186029"/>
    <w:rsid w:val="00187008"/>
    <w:rsid w:val="001906FD"/>
    <w:rsid w:val="00192E45"/>
    <w:rsid w:val="001A0805"/>
    <w:rsid w:val="001A6A5C"/>
    <w:rsid w:val="001C5592"/>
    <w:rsid w:val="001C5B44"/>
    <w:rsid w:val="001C6FFC"/>
    <w:rsid w:val="001D4D83"/>
    <w:rsid w:val="00205743"/>
    <w:rsid w:val="00212B84"/>
    <w:rsid w:val="002346B0"/>
    <w:rsid w:val="002667C3"/>
    <w:rsid w:val="002668D1"/>
    <w:rsid w:val="002669B6"/>
    <w:rsid w:val="00270913"/>
    <w:rsid w:val="00290BED"/>
    <w:rsid w:val="002F40BB"/>
    <w:rsid w:val="002F4B02"/>
    <w:rsid w:val="00323EF8"/>
    <w:rsid w:val="00333F71"/>
    <w:rsid w:val="00370AC3"/>
    <w:rsid w:val="003C2068"/>
    <w:rsid w:val="003C37CF"/>
    <w:rsid w:val="003D6581"/>
    <w:rsid w:val="003E092F"/>
    <w:rsid w:val="0040054F"/>
    <w:rsid w:val="004100B1"/>
    <w:rsid w:val="00461601"/>
    <w:rsid w:val="004631DB"/>
    <w:rsid w:val="004C0915"/>
    <w:rsid w:val="004D424E"/>
    <w:rsid w:val="004E42C8"/>
    <w:rsid w:val="0051271F"/>
    <w:rsid w:val="00521978"/>
    <w:rsid w:val="00521F46"/>
    <w:rsid w:val="00551123"/>
    <w:rsid w:val="00570A6A"/>
    <w:rsid w:val="00586E50"/>
    <w:rsid w:val="005A36D9"/>
    <w:rsid w:val="005B1274"/>
    <w:rsid w:val="005D1A99"/>
    <w:rsid w:val="005D7609"/>
    <w:rsid w:val="005D7EE8"/>
    <w:rsid w:val="00610DB3"/>
    <w:rsid w:val="006B0E29"/>
    <w:rsid w:val="006E3170"/>
    <w:rsid w:val="006F5D71"/>
    <w:rsid w:val="006F7907"/>
    <w:rsid w:val="006F7A23"/>
    <w:rsid w:val="007358DF"/>
    <w:rsid w:val="00743189"/>
    <w:rsid w:val="00752C5B"/>
    <w:rsid w:val="007917A3"/>
    <w:rsid w:val="007932B3"/>
    <w:rsid w:val="00793EA9"/>
    <w:rsid w:val="00797299"/>
    <w:rsid w:val="007A50D5"/>
    <w:rsid w:val="007D1609"/>
    <w:rsid w:val="007D6F68"/>
    <w:rsid w:val="00817154"/>
    <w:rsid w:val="00831351"/>
    <w:rsid w:val="008633CC"/>
    <w:rsid w:val="00865190"/>
    <w:rsid w:val="008719B9"/>
    <w:rsid w:val="00894ECE"/>
    <w:rsid w:val="00896BB4"/>
    <w:rsid w:val="008A7FB8"/>
    <w:rsid w:val="009022B8"/>
    <w:rsid w:val="00915AAA"/>
    <w:rsid w:val="00917CC4"/>
    <w:rsid w:val="00926670"/>
    <w:rsid w:val="009763DA"/>
    <w:rsid w:val="009B4B93"/>
    <w:rsid w:val="009F24BE"/>
    <w:rsid w:val="009F3F67"/>
    <w:rsid w:val="009F6C2F"/>
    <w:rsid w:val="00A20258"/>
    <w:rsid w:val="00A22533"/>
    <w:rsid w:val="00A26F46"/>
    <w:rsid w:val="00A34FD3"/>
    <w:rsid w:val="00A36929"/>
    <w:rsid w:val="00A527D5"/>
    <w:rsid w:val="00AA35B0"/>
    <w:rsid w:val="00AC67F0"/>
    <w:rsid w:val="00AD18C8"/>
    <w:rsid w:val="00AD7FA6"/>
    <w:rsid w:val="00AE4643"/>
    <w:rsid w:val="00AF0416"/>
    <w:rsid w:val="00B10CB4"/>
    <w:rsid w:val="00B23B72"/>
    <w:rsid w:val="00B42702"/>
    <w:rsid w:val="00B85407"/>
    <w:rsid w:val="00B95702"/>
    <w:rsid w:val="00BC557D"/>
    <w:rsid w:val="00BC6489"/>
    <w:rsid w:val="00BD480C"/>
    <w:rsid w:val="00BF68DE"/>
    <w:rsid w:val="00C56FFD"/>
    <w:rsid w:val="00C73602"/>
    <w:rsid w:val="00C74802"/>
    <w:rsid w:val="00CF60C8"/>
    <w:rsid w:val="00D2565D"/>
    <w:rsid w:val="00D32924"/>
    <w:rsid w:val="00D503A3"/>
    <w:rsid w:val="00D57057"/>
    <w:rsid w:val="00DA6ED0"/>
    <w:rsid w:val="00DC5011"/>
    <w:rsid w:val="00DE782C"/>
    <w:rsid w:val="00E171B6"/>
    <w:rsid w:val="00E775E0"/>
    <w:rsid w:val="00EB1753"/>
    <w:rsid w:val="00EB6CFF"/>
    <w:rsid w:val="00EE3996"/>
    <w:rsid w:val="00F13521"/>
    <w:rsid w:val="00F215A1"/>
    <w:rsid w:val="00F6006C"/>
    <w:rsid w:val="00F904AE"/>
    <w:rsid w:val="00F932C6"/>
    <w:rsid w:val="00F934F8"/>
    <w:rsid w:val="00FA490C"/>
    <w:rsid w:val="00FB03E5"/>
    <w:rsid w:val="00FB52FE"/>
    <w:rsid w:val="00FC0A34"/>
    <w:rsid w:val="00FD1DEF"/>
    <w:rsid w:val="00FD4DF0"/>
    <w:rsid w:val="00FD5A33"/>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793183E-33F7-40DE-BB5B-2EB57C04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sv-SE"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sv-SE"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40054F"/>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40054F"/>
    <w:pPr>
      <w:spacing w:before="240" w:after="240"/>
    </w:pPr>
    <w:rPr>
      <w:b/>
      <w:i/>
      <w:snapToGrid w:val="0"/>
      <w:lang w:eastAsia="en-US"/>
    </w:rPr>
  </w:style>
  <w:style w:type="paragraph" w:customStyle="1" w:styleId="Lgendestandard">
    <w:name w:val="Légende standard"/>
    <w:basedOn w:val="Lgendesigne"/>
    <w:rsid w:val="0040054F"/>
    <w:pPr>
      <w:ind w:left="0" w:firstLine="0"/>
    </w:pPr>
  </w:style>
  <w:style w:type="paragraph" w:styleId="FootnoteText">
    <w:name w:val="footnote text"/>
    <w:basedOn w:val="Normal"/>
    <w:link w:val="FootnoteTextChar"/>
    <w:rsid w:val="00752C5B"/>
    <w:rPr>
      <w:sz w:val="20"/>
    </w:rPr>
  </w:style>
  <w:style w:type="character" w:customStyle="1" w:styleId="FootnoteTextChar">
    <w:name w:val="Footnote Text Char"/>
    <w:basedOn w:val="DefaultParagraphFont"/>
    <w:link w:val="FootnoteText"/>
    <w:rsid w:val="00752C5B"/>
  </w:style>
  <w:style w:type="character" w:styleId="FootnoteReference">
    <w:name w:val="footnote reference"/>
    <w:rsid w:val="00752C5B"/>
    <w:rPr>
      <w:vertAlign w:val="superscript"/>
    </w:rPr>
  </w:style>
  <w:style w:type="paragraph" w:styleId="BalloonText">
    <w:name w:val="Balloon Text"/>
    <w:basedOn w:val="Normal"/>
    <w:link w:val="BalloonTextChar"/>
    <w:rsid w:val="00065305"/>
    <w:rPr>
      <w:rFonts w:ascii="Segoe UI" w:hAnsi="Segoe UI" w:cs="Segoe UI"/>
      <w:sz w:val="18"/>
      <w:szCs w:val="18"/>
    </w:rPr>
  </w:style>
  <w:style w:type="character" w:customStyle="1" w:styleId="BalloonTextChar">
    <w:name w:val="Balloon Text Char"/>
    <w:basedOn w:val="DefaultParagraphFont"/>
    <w:link w:val="BalloonText"/>
    <w:rsid w:val="00065305"/>
    <w:rPr>
      <w:rFonts w:ascii="Segoe UI" w:hAnsi="Segoe UI" w:cs="Segoe UI"/>
      <w:sz w:val="18"/>
      <w:szCs w:val="18"/>
    </w:rPr>
  </w:style>
  <w:style w:type="paragraph" w:customStyle="1" w:styleId="NormalTabs">
    <w:name w:val="NormalTabs"/>
    <w:basedOn w:val="Normal"/>
    <w:qFormat/>
    <w:rsid w:val="00FD4DF0"/>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18403">
      <w:bodyDiv w:val="1"/>
      <w:marLeft w:val="0"/>
      <w:marRight w:val="0"/>
      <w:marTop w:val="0"/>
      <w:marBottom w:val="0"/>
      <w:divBdr>
        <w:top w:val="none" w:sz="0" w:space="0" w:color="auto"/>
        <w:left w:val="none" w:sz="0" w:space="0" w:color="auto"/>
        <w:bottom w:val="none" w:sz="0" w:space="0" w:color="auto"/>
        <w:right w:val="none" w:sz="0" w:space="0" w:color="auto"/>
      </w:divBdr>
    </w:div>
    <w:div w:id="193169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439FA-B6E2-4B91-AB2B-090A05751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3059</Words>
  <Characters>19918</Characters>
  <Application>Microsoft Office Word</Application>
  <DocSecurity>0</DocSecurity>
  <Lines>737</Lines>
  <Paragraphs>214</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22763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LUKSITE Marija</dc:creator>
  <cp:keywords/>
  <dc:description/>
  <cp:lastModifiedBy>NIEMINEN-LINDQUIST Jaana</cp:lastModifiedBy>
  <cp:revision>2</cp:revision>
  <cp:lastPrinted>2004-11-04T09:41:00Z</cp:lastPrinted>
  <dcterms:created xsi:type="dcterms:W3CDTF">2018-11-26T13:52:00Z</dcterms:created>
  <dcterms:modified xsi:type="dcterms:W3CDTF">2018-11-26T13:52:00Z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1169535</vt:lpwstr>
  </property>
  <property fmtid="{D5CDD505-2E9C-101B-9397-08002B2CF9AE}" pid="5" name="&lt;Type&gt;">
    <vt:lpwstr>RR</vt:lpwstr>
  </property>
  <property fmtid="{D5CDD505-2E9C-101B-9397-08002B2CF9AE}" pid="6" name="&lt;ModelCod&gt;">
    <vt:lpwstr>\\eiciBRUpr1\pdocep$\DocEP\DOCS\General\PR\PR_Leg\COD\COD_1st\PR_COD_1amCom.dot(30/06/2017 07:37:07)</vt:lpwstr>
  </property>
  <property fmtid="{D5CDD505-2E9C-101B-9397-08002B2CF9AE}" pid="7" name="&lt;ModelTra&gt;">
    <vt:lpwstr>\\eiciBRUpr1\pdocep$\DocEP\TRANSFIL\EN\PR_COD_1amCom.EN(08/05/2018 11:16:02)</vt:lpwstr>
  </property>
  <property fmtid="{D5CDD505-2E9C-101B-9397-08002B2CF9AE}" pid="8" name="&lt;Model&gt;">
    <vt:lpwstr>PR_COD_1amCom</vt:lpwstr>
  </property>
  <property fmtid="{D5CDD505-2E9C-101B-9397-08002B2CF9AE}" pid="9" name="FooterPath">
    <vt:lpwstr>RR\1169535SV.docx</vt:lpwstr>
  </property>
  <property fmtid="{D5CDD505-2E9C-101B-9397-08002B2CF9AE}" pid="10" name="PE number">
    <vt:lpwstr>629.630</vt:lpwstr>
  </property>
  <property fmtid="{D5CDD505-2E9C-101B-9397-08002B2CF9AE}" pid="11" name="SubscribeElise">
    <vt:lpwstr/>
  </property>
  <property fmtid="{D5CDD505-2E9C-101B-9397-08002B2CF9AE}" pid="12" name="SendToEpades">
    <vt:lpwstr>OK(AMNUM) - 2018/11/06 20:22</vt:lpwstr>
  </property>
  <property fmtid="{D5CDD505-2E9C-101B-9397-08002B2CF9AE}" pid="13" name="Bookout">
    <vt:lpwstr>OK - 2018/11/26 14:50</vt:lpwstr>
  </property>
  <property fmtid="{D5CDD505-2E9C-101B-9397-08002B2CF9AE}" pid="14" name="SDLStudio">
    <vt:lpwstr/>
  </property>
  <property fmtid="{D5CDD505-2E9C-101B-9397-08002B2CF9AE}" pid="15" name="&lt;Extension&gt;">
    <vt:lpwstr>SV</vt:lpwstr>
  </property>
</Properties>
</file>