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1351E7" w:rsidRDefault="00C10B94">
      <w:pPr>
        <w:pStyle w:val="Interstitial1"/>
      </w:pPr>
      <w:bookmarkStart w:id="0" w:name="_GoBack"/>
      <w:bookmarkEnd w:id="0"/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168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168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10</w:t>
      </w:r>
      <w:proofErr w:type="gramEnd"/>
      <w:r w:rsidRPr="001351E7">
        <w:rPr>
          <w:color w:val="auto"/>
        </w:rPr>
        <w:t xml:space="preserve"> preambulumbekezdés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(10)</w:t>
            </w:r>
            <w:r w:rsidRPr="001351E7">
              <w:rPr>
                <w:color w:val="auto"/>
              </w:rPr>
              <w:tab/>
              <w:t xml:space="preserve">Egyenlőbb bánásmódot kell biztosítani a határ menti munkavállalók és a határon túli munkavállalók számára annak biztosításával, hogy a határ menti munkavállalók munkanélküli-ellátásban részesüljenek az utolsó tevékenység tagállamától, ha legalább az elmúlt </w:t>
            </w:r>
            <w:r w:rsidRPr="001351E7">
              <w:rPr>
                <w:b/>
                <w:i/>
                <w:color w:val="auto"/>
              </w:rPr>
              <w:t>tizenkét</w:t>
            </w:r>
            <w:r w:rsidRPr="001351E7">
              <w:rPr>
                <w:color w:val="auto"/>
              </w:rPr>
              <w:t xml:space="preserve"> hónapban e tagállamban dolgoztak.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(10)</w:t>
            </w:r>
            <w:r w:rsidRPr="001351E7">
              <w:rPr>
                <w:color w:val="auto"/>
              </w:rPr>
              <w:tab/>
              <w:t xml:space="preserve">Egyenlőbb bánásmódot kell biztosítani a határ menti munkavállalók és a határon túli munkavállalók számára annak biztosításával, hogy a határ menti munkavállalók munkanélküli-ellátásban részesüljenek az utolsó tevékenység tagállamától, ha legalább az elmúlt </w:t>
            </w:r>
            <w:r w:rsidRPr="001351E7">
              <w:rPr>
                <w:b/>
                <w:i/>
                <w:color w:val="auto"/>
              </w:rPr>
              <w:t>tizenöt</w:t>
            </w:r>
            <w:r w:rsidRPr="001351E7">
              <w:rPr>
                <w:color w:val="auto"/>
              </w:rPr>
              <w:t xml:space="preserve"> hónapban e tagállamban dolgoztak.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lastRenderedPageBreak/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169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169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</w:t>
      </w:r>
      <w:proofErr w:type="gramEnd"/>
      <w:r w:rsidRPr="001351E7">
        <w:rPr>
          <w:color w:val="auto"/>
        </w:rPr>
        <w:t xml:space="preserve"> cikk – 1 bekezdés – 9 pont – d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883</w:t>
      </w:r>
      <w:proofErr w:type="gramEnd"/>
      <w:r w:rsidRPr="001351E7">
        <w:t>/2004/EK RENDELET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1</w:t>
      </w:r>
      <w:proofErr w:type="gramEnd"/>
      <w:r w:rsidRPr="001351E7">
        <w:t xml:space="preserve"> cikk – 1 bekezdés – vb pont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vb)</w:t>
            </w:r>
            <w:r w:rsidRPr="001351E7">
              <w:rPr>
                <w:color w:val="auto"/>
              </w:rPr>
              <w:tab/>
            </w:r>
            <w:proofErr w:type="gramStart"/>
            <w:r w:rsidRPr="001351E7">
              <w:rPr>
                <w:b/>
                <w:i/>
                <w:color w:val="auto"/>
              </w:rPr>
              <w:t>»tartós</w:t>
            </w:r>
            <w:proofErr w:type="gramEnd"/>
            <w:r w:rsidRPr="001351E7">
              <w:rPr>
                <w:b/>
                <w:i/>
                <w:color w:val="auto"/>
              </w:rPr>
              <w:t xml:space="preserve"> ápolást</w:t>
            </w:r>
            <w:r w:rsidRPr="001351E7">
              <w:rPr>
                <w:color w:val="auto"/>
              </w:rPr>
              <w:t xml:space="preserve"> biztosító </w:t>
            </w:r>
            <w:r w:rsidRPr="001351E7">
              <w:rPr>
                <w:b/>
                <w:i/>
                <w:color w:val="auto"/>
              </w:rPr>
              <w:t>ellátások«</w:t>
            </w:r>
            <w:r w:rsidRPr="001351E7">
              <w:rPr>
                <w:color w:val="auto"/>
              </w:rPr>
              <w:t>: minden olyan természetbeni</w:t>
            </w:r>
            <w:r w:rsidRPr="001351E7">
              <w:rPr>
                <w:b/>
                <w:i/>
                <w:color w:val="auto"/>
              </w:rPr>
              <w:t>,</w:t>
            </w:r>
            <w:r w:rsidRPr="001351E7">
              <w:rPr>
                <w:color w:val="auto"/>
              </w:rPr>
              <w:t xml:space="preserve"> pénzbeli ellátás</w:t>
            </w:r>
            <w:r w:rsidRPr="001351E7">
              <w:rPr>
                <w:b/>
                <w:i/>
                <w:color w:val="auto"/>
              </w:rPr>
              <w:t xml:space="preserve"> vagy e kettő kombinációja</w:t>
            </w:r>
            <w:r w:rsidRPr="001351E7">
              <w:rPr>
                <w:color w:val="auto"/>
              </w:rPr>
              <w:t xml:space="preserve">, </w:t>
            </w:r>
            <w:r w:rsidRPr="001351E7">
              <w:rPr>
                <w:b/>
                <w:i/>
                <w:color w:val="auto"/>
              </w:rPr>
              <w:t>amelyet</w:t>
            </w:r>
            <w:r w:rsidRPr="001351E7">
              <w:rPr>
                <w:color w:val="auto"/>
              </w:rPr>
              <w:t xml:space="preserve"> olyan személyek </w:t>
            </w:r>
            <w:r w:rsidRPr="001351E7">
              <w:rPr>
                <w:b/>
                <w:i/>
                <w:color w:val="auto"/>
              </w:rPr>
              <w:t>részére nyújtanak</w:t>
            </w:r>
            <w:r w:rsidRPr="001351E7">
              <w:rPr>
                <w:color w:val="auto"/>
              </w:rPr>
              <w:t xml:space="preserve">, akik idős koruk, fogyatékosságuk, betegségük vagy sérülésük miatt hosszú időszakon keresztül jelentős segítségre szorulnak más személytől vagy személyektől </w:t>
            </w:r>
            <w:r w:rsidRPr="001351E7">
              <w:rPr>
                <w:b/>
                <w:i/>
                <w:color w:val="auto"/>
              </w:rPr>
              <w:t>elengedhetetlen napi teendőik</w:t>
            </w:r>
            <w:r w:rsidRPr="001351E7">
              <w:rPr>
                <w:color w:val="auto"/>
              </w:rPr>
              <w:t xml:space="preserve"> ellátásához, </w:t>
            </w:r>
            <w:r w:rsidRPr="001351E7">
              <w:rPr>
                <w:b/>
                <w:i/>
                <w:color w:val="auto"/>
              </w:rPr>
              <w:t xml:space="preserve">beleértve </w:t>
            </w:r>
            <w:r w:rsidRPr="001351E7">
              <w:rPr>
                <w:color w:val="auto"/>
              </w:rPr>
              <w:t xml:space="preserve">személyes autonómiájuk </w:t>
            </w:r>
            <w:r w:rsidRPr="001351E7">
              <w:rPr>
                <w:b/>
                <w:i/>
                <w:color w:val="auto"/>
              </w:rPr>
              <w:t>fenntartását</w:t>
            </w:r>
            <w:r w:rsidRPr="001351E7">
              <w:rPr>
                <w:color w:val="auto"/>
              </w:rPr>
              <w:t xml:space="preserve"> is; ez az ilyen segítséget nyújtó személynek vagy </w:t>
            </w:r>
            <w:r w:rsidRPr="001351E7">
              <w:rPr>
                <w:b/>
                <w:i/>
                <w:color w:val="auto"/>
              </w:rPr>
              <w:t>személy részére</w:t>
            </w:r>
            <w:r w:rsidRPr="001351E7">
              <w:rPr>
                <w:color w:val="auto"/>
              </w:rPr>
              <w:t xml:space="preserve"> nyújtott ellátásokat is magában foglalja;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vb)</w:t>
            </w:r>
            <w:r w:rsidRPr="001351E7">
              <w:rPr>
                <w:color w:val="auto"/>
              </w:rPr>
              <w:tab/>
            </w:r>
            <w:r w:rsidRPr="001351E7">
              <w:rPr>
                <w:b/>
                <w:i/>
                <w:color w:val="auto"/>
              </w:rPr>
              <w:t>„tartós ápolást-gondozást</w:t>
            </w:r>
            <w:r w:rsidRPr="001351E7">
              <w:rPr>
                <w:color w:val="auto"/>
              </w:rPr>
              <w:t xml:space="preserve"> biztosító </w:t>
            </w:r>
            <w:r w:rsidRPr="001351E7">
              <w:rPr>
                <w:b/>
                <w:i/>
                <w:color w:val="auto"/>
              </w:rPr>
              <w:t>ellátások”</w:t>
            </w:r>
            <w:r w:rsidRPr="001351E7">
              <w:rPr>
                <w:color w:val="auto"/>
              </w:rPr>
              <w:t>: minden olyan természetbeni</w:t>
            </w:r>
            <w:r w:rsidRPr="001351E7">
              <w:rPr>
                <w:b/>
                <w:i/>
                <w:color w:val="auto"/>
              </w:rPr>
              <w:t xml:space="preserve"> vagy</w:t>
            </w:r>
            <w:r w:rsidRPr="001351E7">
              <w:rPr>
                <w:color w:val="auto"/>
              </w:rPr>
              <w:t xml:space="preserve"> pénzbeli ellátás, </w:t>
            </w:r>
            <w:r w:rsidRPr="001351E7">
              <w:rPr>
                <w:b/>
                <w:i/>
                <w:color w:val="auto"/>
              </w:rPr>
              <w:t>amely</w:t>
            </w:r>
            <w:r w:rsidRPr="001351E7">
              <w:rPr>
                <w:color w:val="auto"/>
              </w:rPr>
              <w:t xml:space="preserve"> olyan személyek </w:t>
            </w:r>
            <w:r w:rsidRPr="001351E7">
              <w:rPr>
                <w:b/>
                <w:i/>
                <w:color w:val="auto"/>
              </w:rPr>
              <w:t>ápolási és támogatási szükségleteire irányul</w:t>
            </w:r>
            <w:r w:rsidRPr="001351E7">
              <w:rPr>
                <w:color w:val="auto"/>
              </w:rPr>
              <w:t xml:space="preserve">, akik idős koruk, fogyatékosságuk, betegségük vagy sérülésük miatt hosszú időszakon keresztül jelentős segítségre szorulnak más személytől vagy személyektől </w:t>
            </w:r>
            <w:r w:rsidRPr="001351E7">
              <w:rPr>
                <w:b/>
                <w:i/>
                <w:color w:val="auto"/>
              </w:rPr>
              <w:t>alapvető mindennapi tevékenységeik</w:t>
            </w:r>
            <w:r w:rsidRPr="001351E7">
              <w:rPr>
                <w:color w:val="auto"/>
              </w:rPr>
              <w:t xml:space="preserve"> ellátásához, személyes autonómiájuk </w:t>
            </w:r>
            <w:r w:rsidRPr="001351E7">
              <w:rPr>
                <w:b/>
                <w:i/>
                <w:color w:val="auto"/>
              </w:rPr>
              <w:t>fenntartásának támogatása érdekében, akár munkahelyükön</w:t>
            </w:r>
            <w:r w:rsidRPr="001351E7">
              <w:rPr>
                <w:color w:val="auto"/>
              </w:rPr>
              <w:t xml:space="preserve"> is; ez az ilyen segítséget nyújtó személynek vagy </w:t>
            </w:r>
            <w:r w:rsidRPr="001351E7">
              <w:rPr>
                <w:b/>
                <w:i/>
                <w:color w:val="auto"/>
              </w:rPr>
              <w:t>személyeknek ugyanazon célból</w:t>
            </w:r>
            <w:r w:rsidRPr="001351E7">
              <w:rPr>
                <w:color w:val="auto"/>
              </w:rPr>
              <w:t xml:space="preserve"> nyújtott ellátásokat is magában foglalja;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lastRenderedPageBreak/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170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170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</w:t>
      </w:r>
      <w:proofErr w:type="gramEnd"/>
      <w:r w:rsidRPr="001351E7">
        <w:rPr>
          <w:color w:val="auto"/>
        </w:rPr>
        <w:t xml:space="preserve"> cikk – 1 bekezdés – 13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883</w:t>
      </w:r>
      <w:proofErr w:type="gramEnd"/>
      <w:r w:rsidRPr="001351E7">
        <w:t>/2004/EK RENDELET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12</w:t>
      </w:r>
      <w:proofErr w:type="gramEnd"/>
      <w:r w:rsidRPr="001351E7">
        <w:t xml:space="preserve"> cikk – 1 bekezdés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(1)</w:t>
            </w:r>
            <w:r w:rsidRPr="001351E7">
              <w:rPr>
                <w:color w:val="auto"/>
              </w:rPr>
              <w:tab/>
            </w:r>
            <w:proofErr w:type="gramStart"/>
            <w:r w:rsidRPr="001351E7">
              <w:rPr>
                <w:color w:val="auto"/>
              </w:rPr>
              <w:t>Az a személy, aki egy tagállamban munkavállalóként végzi tevékenységét olyan munkáltató nevében, aki tevékenységét szokásosan e tagállamban végzi, és akit az említett munkáltató egy másik tagállamba küld</w:t>
            </w:r>
            <w:r w:rsidRPr="001351E7">
              <w:rPr>
                <w:b/>
                <w:i/>
                <w:color w:val="auto"/>
              </w:rPr>
              <w:t xml:space="preserve"> vagy a munkavállalók szolgáltatások nyújtása keretében történő kiküldetéséről szóló, 1996. december 16-i 96/71/EK európai parlamenti és tanácsi irányelv46 értelmében kiküld</w:t>
            </w:r>
            <w:r w:rsidRPr="001351E7">
              <w:rPr>
                <w:color w:val="auto"/>
              </w:rPr>
              <w:t>, hogy a munkáltató nevében ott munkát végezzen, továbbra is az elsőként említett tagállam jogszabályainak a hatálya alá tartozik, feltéve, hogy az ilyen munkavégzés várható időtartama nem haladja meg a huszonnégy hónapot, é</w:t>
            </w:r>
            <w:proofErr w:type="gramEnd"/>
            <w:r w:rsidRPr="001351E7">
              <w:rPr>
                <w:color w:val="auto"/>
              </w:rPr>
              <w:t>s a szóban forgó személy másik tagállamba történő kiküldése vagy küldése nem egy másik, e cikk értelmében a másik tagállamba korábban kiküldött vagy küldött munkavállaló vagy önálló vállalkozó felváltása céljából történik.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(1)</w:t>
            </w:r>
            <w:r w:rsidRPr="001351E7">
              <w:rPr>
                <w:color w:val="auto"/>
              </w:rPr>
              <w:tab/>
            </w:r>
            <w:proofErr w:type="gramStart"/>
            <w:r w:rsidRPr="001351E7">
              <w:rPr>
                <w:color w:val="auto"/>
              </w:rPr>
              <w:t>Az a személy, aki egy tagállamban munkavállalóként végzi tevékenységét olyan munkáltató nevében, aki tevékenységét szokásosan e tagállamban végzi, és akit az említett munkáltató egy másik tagállamba küld, hogy a munkáltató nevében ott munkát végezzen, továbbra is az elsőként említett tagállam jogszabályainak a hatálya alá tartozik, feltéve, hogy az ilyen munkavégzés várható időtartama nem haladja meg a huszonnégy hónapot, és a szóban forgó személy másik tagállamba történő kiküldése vagy küldése nem egy másik, e cikk értelmében a másik tagállamba korábban kiküldött vagy küldött munkavállaló vagy</w:t>
            </w:r>
            <w:proofErr w:type="gramEnd"/>
            <w:r w:rsidRPr="001351E7">
              <w:rPr>
                <w:color w:val="auto"/>
              </w:rPr>
              <w:t xml:space="preserve"> önálló vállalkozó felváltása céljából történik.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C705D6" w:rsidRPr="001351E7" w:rsidRDefault="00C705D6">
            <w:pPr>
              <w:pStyle w:val="Normal6"/>
              <w:rPr>
                <w:color w:val="auto"/>
              </w:rPr>
            </w:pP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rStyle w:val="SupBoldItalic"/>
                <w:color w:val="auto"/>
              </w:rPr>
              <w:t>46</w:t>
            </w:r>
            <w:r w:rsidRPr="001351E7">
              <w:rPr>
                <w:b/>
                <w:i/>
                <w:color w:val="auto"/>
                <w:vertAlign w:val="superscript"/>
              </w:rPr>
              <w:t xml:space="preserve"> HL L 18</w:t>
            </w:r>
            <w:proofErr w:type="gramStart"/>
            <w:r w:rsidRPr="001351E7">
              <w:rPr>
                <w:b/>
                <w:i/>
                <w:color w:val="auto"/>
                <w:vertAlign w:val="superscript"/>
              </w:rPr>
              <w:t>.,</w:t>
            </w:r>
            <w:proofErr w:type="gramEnd"/>
            <w:r w:rsidRPr="001351E7">
              <w:rPr>
                <w:b/>
                <w:i/>
                <w:color w:val="auto"/>
                <w:vertAlign w:val="superscript"/>
              </w:rPr>
              <w:t xml:space="preserve"> 1997.1.21., 1. o.</w:t>
            </w:r>
          </w:p>
        </w:tc>
        <w:tc>
          <w:tcPr>
            <w:tcW w:w="4876" w:type="dxa"/>
          </w:tcPr>
          <w:p w:rsidR="00C705D6" w:rsidRPr="001351E7" w:rsidRDefault="00C705D6">
            <w:pPr>
              <w:pStyle w:val="Normal6"/>
              <w:rPr>
                <w:color w:val="auto"/>
              </w:rPr>
            </w:pP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171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171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</w:t>
      </w:r>
      <w:proofErr w:type="gramEnd"/>
      <w:r w:rsidRPr="001351E7">
        <w:rPr>
          <w:color w:val="auto"/>
        </w:rPr>
        <w:t xml:space="preserve"> cikk – 1 bekezdés – 22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883</w:t>
      </w:r>
      <w:proofErr w:type="gramEnd"/>
      <w:r w:rsidRPr="001351E7">
        <w:t>/2004/EK RENDELET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65</w:t>
      </w:r>
      <w:proofErr w:type="gramEnd"/>
      <w:r w:rsidRPr="001351E7">
        <w:t xml:space="preserve"> cikk – 2 bekezdés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(2)</w:t>
            </w:r>
            <w:r w:rsidRPr="001351E7">
              <w:rPr>
                <w:color w:val="auto"/>
              </w:rPr>
              <w:tab/>
              <w:t xml:space="preserve">Az (1) bekezdéstől eltérve az a teljes munkanélküli személy, aki a legutóbbi munkavállalói vagy önálló vállalkozói tevékenysége során az illetékes tagállamtól eltérő tagállamban rendelkezett lakóhellyel, és aki nem szerzett legalább </w:t>
            </w:r>
            <w:r w:rsidRPr="001351E7">
              <w:rPr>
                <w:b/>
                <w:i/>
                <w:color w:val="auto"/>
              </w:rPr>
              <w:t>12</w:t>
            </w:r>
            <w:r w:rsidRPr="001351E7">
              <w:rPr>
                <w:color w:val="auto"/>
              </w:rPr>
              <w:t xml:space="preserve"> hónap munkanélküli-biztosítási időt kizárólag az illetékes tagállam jogszabályai alapján, a lakóhely szerinti tagállam foglalkoztatási szolgálata rendelkezésére áll. Az ilyen személy a lakóhely szerinti tagállam jogszabályainak megfelelően jogosult ellátásokra, mintha az összes biztosítási időt e tagállam jogszabályai alapján szerezte volna. Az ellátásokat a lakóhely szerinti tagállam intézménye biztosítja</w:t>
            </w:r>
            <w:r w:rsidRPr="001351E7">
              <w:rPr>
                <w:b/>
                <w:i/>
                <w:color w:val="auto"/>
              </w:rPr>
              <w:t>. Vagylagosan, azon e bekezdésben említett teljes munkanélküli személy, aki kizárólag az illetékes tagállam nemzeti jogszabályai alapján lenne jogosult munkanélküli-ellátásra, ha ott rendelkezne lakóhellyel, ehelyett úgy dönthet, hogy e tagállam foglalkoztatási szolgálata rendelkezésére áll, és e tagállam jogszabályainak megfelelően részesül ellátásokban, mintha ott rendelkezne lakóhellyel.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(2)</w:t>
            </w:r>
            <w:r w:rsidRPr="001351E7">
              <w:rPr>
                <w:color w:val="auto"/>
              </w:rPr>
              <w:tab/>
              <w:t xml:space="preserve">Az (1) bekezdéstől eltérve az a teljes munkanélküli személy, aki a legutóbbi munkavállalói vagy önálló vállalkozói tevékenysége során az illetékes tagállamtól eltérő tagállamban rendelkezett lakóhellyel, és aki </w:t>
            </w:r>
            <w:r w:rsidRPr="001351E7">
              <w:rPr>
                <w:b/>
                <w:i/>
                <w:color w:val="auto"/>
              </w:rPr>
              <w:t xml:space="preserve">megszakítás nélkül </w:t>
            </w:r>
            <w:r w:rsidRPr="001351E7">
              <w:rPr>
                <w:color w:val="auto"/>
              </w:rPr>
              <w:t xml:space="preserve">nem szerzett legalább </w:t>
            </w:r>
            <w:r w:rsidRPr="001351E7">
              <w:rPr>
                <w:b/>
                <w:i/>
                <w:color w:val="auto"/>
              </w:rPr>
              <w:t>15</w:t>
            </w:r>
            <w:r w:rsidRPr="001351E7">
              <w:rPr>
                <w:color w:val="auto"/>
              </w:rPr>
              <w:t xml:space="preserve"> hónap munkanélküli-biztosítási időt kizárólag az illetékes tagállam jogszabályai alapján, a lakóhely szerinti tagállam foglalkoztatási szolgálata rendelkezésére áll. Az ilyen személy a lakóhely szerinti tagállam jogszabályainak megfelelően jogosult ellátásokra, mintha az összes biztosítási időt e tagállam jogszabályai alapján szerezte volna. Az ellátásokat a lakóhely szerinti tagállam intézménye biztosítja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172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172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2</w:t>
      </w:r>
      <w:proofErr w:type="gramEnd"/>
      <w:r w:rsidRPr="001351E7">
        <w:rPr>
          <w:color w:val="auto"/>
        </w:rPr>
        <w:t xml:space="preserve"> cikk – 1 bekezdés – 7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987</w:t>
      </w:r>
      <w:proofErr w:type="gramEnd"/>
      <w:r w:rsidRPr="001351E7">
        <w:t>/2009/EK RENDELET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5</w:t>
      </w:r>
      <w:proofErr w:type="gramEnd"/>
      <w:r w:rsidRPr="001351E7">
        <w:t xml:space="preserve"> cikk – 2 bekezdés – a pont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b)</w:t>
            </w:r>
            <w:r w:rsidRPr="001351E7">
              <w:rPr>
                <w:color w:val="auto"/>
              </w:rPr>
              <w:tab/>
              <w:t xml:space="preserve">Ha a kiállító intézmény a </w:t>
            </w:r>
            <w:proofErr w:type="gramStart"/>
            <w:r w:rsidRPr="001351E7">
              <w:rPr>
                <w:color w:val="auto"/>
              </w:rPr>
              <w:t>dokumentum</w:t>
            </w:r>
            <w:proofErr w:type="gramEnd"/>
            <w:r w:rsidRPr="001351E7">
              <w:rPr>
                <w:color w:val="auto"/>
              </w:rPr>
              <w:t xml:space="preserve"> kiállításának alapját képező indokok felülvizsgálata során nem tár fel hibát, a kérés kézhezvételétől számított </w:t>
            </w:r>
            <w:r w:rsidRPr="001351E7">
              <w:rPr>
                <w:b/>
                <w:i/>
                <w:color w:val="auto"/>
              </w:rPr>
              <w:t>25</w:t>
            </w:r>
            <w:r w:rsidRPr="001351E7">
              <w:rPr>
                <w:color w:val="auto"/>
              </w:rPr>
              <w:t xml:space="preserve"> munkanapon belül minden bizonyítékot továbbít a megkereső intézménynek. Sürgős esetekben, amennyiben a kérés egyértelműen megjelölte a sürgősség indokait, ezt a kérés kézhezvételétől számított </w:t>
            </w:r>
            <w:r w:rsidRPr="001351E7">
              <w:rPr>
                <w:b/>
                <w:i/>
                <w:color w:val="auto"/>
              </w:rPr>
              <w:t>két</w:t>
            </w:r>
            <w:r w:rsidRPr="001351E7">
              <w:rPr>
                <w:color w:val="auto"/>
              </w:rPr>
              <w:t xml:space="preserve"> munkanapon belül kell megtenni akkor is, ha a kiállító intézmény még nem zárta le a fenti a) pont szerinti vizsgálatát.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b)</w:t>
            </w:r>
            <w:r w:rsidRPr="001351E7">
              <w:rPr>
                <w:color w:val="auto"/>
              </w:rPr>
              <w:tab/>
              <w:t xml:space="preserve">Ha a kiállító intézmény a </w:t>
            </w:r>
            <w:proofErr w:type="gramStart"/>
            <w:r w:rsidRPr="001351E7">
              <w:rPr>
                <w:color w:val="auto"/>
              </w:rPr>
              <w:t>dokumentum</w:t>
            </w:r>
            <w:proofErr w:type="gramEnd"/>
            <w:r w:rsidRPr="001351E7">
              <w:rPr>
                <w:color w:val="auto"/>
              </w:rPr>
              <w:t xml:space="preserve"> kiállításának alapját képező indokok felülvizsgálata során nem tár fel hibát, a kérés kézhezvételétől számított </w:t>
            </w:r>
            <w:r w:rsidRPr="001351E7">
              <w:rPr>
                <w:b/>
                <w:i/>
                <w:color w:val="auto"/>
              </w:rPr>
              <w:t>30</w:t>
            </w:r>
            <w:r w:rsidRPr="001351E7">
              <w:rPr>
                <w:color w:val="auto"/>
              </w:rPr>
              <w:t xml:space="preserve"> munkanapon belül minden bizonyítékot továbbít a megkereső intézménynek. </w:t>
            </w:r>
            <w:r w:rsidRPr="001351E7">
              <w:rPr>
                <w:b/>
                <w:i/>
                <w:color w:val="auto"/>
              </w:rPr>
              <w:t xml:space="preserve">Az érintett személy jogainak védelme szempontjából </w:t>
            </w:r>
            <w:r w:rsidRPr="001351E7">
              <w:rPr>
                <w:color w:val="auto"/>
              </w:rPr>
              <w:t>sürgős esetekben,</w:t>
            </w:r>
            <w:r w:rsidRPr="001351E7">
              <w:rPr>
                <w:b/>
                <w:i/>
                <w:color w:val="auto"/>
              </w:rPr>
              <w:t xml:space="preserve"> és</w:t>
            </w:r>
            <w:r w:rsidRPr="001351E7">
              <w:rPr>
                <w:color w:val="auto"/>
              </w:rPr>
              <w:t xml:space="preserve"> amennyiben a kérés egyértelműen megjelölte a sürgősség indokait, ezt a kérés kézhezvételétől számított </w:t>
            </w:r>
            <w:r w:rsidRPr="001351E7">
              <w:rPr>
                <w:b/>
                <w:i/>
                <w:color w:val="auto"/>
              </w:rPr>
              <w:t>öt</w:t>
            </w:r>
            <w:r w:rsidRPr="001351E7">
              <w:rPr>
                <w:color w:val="auto"/>
              </w:rPr>
              <w:t xml:space="preserve"> munkanapon belül kell megtenni akkor is, ha a kiállító intézmény még nem zárta le a fenti a) pont szerinti vizsgálatát.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173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173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2</w:t>
      </w:r>
      <w:proofErr w:type="gramEnd"/>
      <w:r w:rsidRPr="001351E7">
        <w:rPr>
          <w:color w:val="auto"/>
        </w:rPr>
        <w:t xml:space="preserve"> cikk – 1 bekezdés – 7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987</w:t>
      </w:r>
      <w:proofErr w:type="gramEnd"/>
      <w:r w:rsidRPr="001351E7">
        <w:t>/2009/EK RENDELET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5</w:t>
      </w:r>
      <w:proofErr w:type="gramEnd"/>
      <w:r w:rsidRPr="001351E7">
        <w:t xml:space="preserve"> cikk – 2 bekezdés – c pont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c)</w:t>
            </w:r>
            <w:r w:rsidRPr="001351E7">
              <w:rPr>
                <w:color w:val="auto"/>
              </w:rPr>
              <w:tab/>
              <w:t xml:space="preserve">Ha a megkereső intézménynek a bizonyítékok kézhezvételét követően továbbra is kétségei vannak a </w:t>
            </w:r>
            <w:proofErr w:type="gramStart"/>
            <w:r w:rsidRPr="001351E7">
              <w:rPr>
                <w:color w:val="auto"/>
              </w:rPr>
              <w:t>dokumentum</w:t>
            </w:r>
            <w:proofErr w:type="gramEnd"/>
            <w:r w:rsidRPr="001351E7">
              <w:rPr>
                <w:color w:val="auto"/>
              </w:rPr>
              <w:t xml:space="preserve"> érvényessége vagy az abban szereplő bejegyzések alapját képező tények pontossága tekintetében, és úgy véli, hogy a dokumentum kiállításának alapjául szolgáló információk tévesek, erre vonatkozó bizonyítékok előterjesztése mellett újból </w:t>
            </w:r>
            <w:proofErr w:type="spellStart"/>
            <w:r w:rsidRPr="001351E7">
              <w:rPr>
                <w:color w:val="auto"/>
              </w:rPr>
              <w:t>pontosításokat</w:t>
            </w:r>
            <w:proofErr w:type="spellEnd"/>
            <w:r w:rsidRPr="001351E7">
              <w:rPr>
                <w:color w:val="auto"/>
              </w:rPr>
              <w:t xml:space="preserve">, valamint adott esetben a dokumentum visszavonását </w:t>
            </w:r>
            <w:r w:rsidRPr="001351E7">
              <w:rPr>
                <w:b/>
                <w:i/>
                <w:color w:val="auto"/>
              </w:rPr>
              <w:t>kérheti</w:t>
            </w:r>
            <w:r w:rsidRPr="001351E7">
              <w:rPr>
                <w:color w:val="auto"/>
              </w:rPr>
              <w:t xml:space="preserve"> a kiállító intézménytől a fent meghatározott eljárás keretében és határidőkön belül.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c)</w:t>
            </w:r>
            <w:r w:rsidRPr="001351E7">
              <w:rPr>
                <w:color w:val="auto"/>
              </w:rPr>
              <w:tab/>
              <w:t xml:space="preserve">Ha a megkereső intézménynek a bizonyítékok kézhezvételét követően továbbra is kétségei vannak a </w:t>
            </w:r>
            <w:proofErr w:type="gramStart"/>
            <w:r w:rsidRPr="001351E7">
              <w:rPr>
                <w:color w:val="auto"/>
              </w:rPr>
              <w:t>dokumentum</w:t>
            </w:r>
            <w:proofErr w:type="gramEnd"/>
            <w:r w:rsidRPr="001351E7">
              <w:rPr>
                <w:color w:val="auto"/>
              </w:rPr>
              <w:t xml:space="preserve"> érvényessége vagy az abban szereplő bejegyzések alapját képező tények pontossága tekintetében, és úgy véli, hogy a dokumentum kiállításának alapjául szolgáló információk tévesek, erre vonatkozó bizonyítékok előterjesztése mellett újból </w:t>
            </w:r>
            <w:proofErr w:type="spellStart"/>
            <w:r w:rsidRPr="001351E7">
              <w:rPr>
                <w:color w:val="auto"/>
              </w:rPr>
              <w:t>pontosításokat</w:t>
            </w:r>
            <w:proofErr w:type="spellEnd"/>
            <w:r w:rsidRPr="001351E7">
              <w:rPr>
                <w:color w:val="auto"/>
              </w:rPr>
              <w:t xml:space="preserve">, valamint adott esetben a dokumentum visszavonását </w:t>
            </w:r>
            <w:r w:rsidRPr="001351E7">
              <w:rPr>
                <w:b/>
                <w:i/>
                <w:color w:val="auto"/>
              </w:rPr>
              <w:t>kéri</w:t>
            </w:r>
            <w:r w:rsidRPr="001351E7">
              <w:rPr>
                <w:color w:val="auto"/>
              </w:rPr>
              <w:t xml:space="preserve"> a kiállító intézménytől a fent meghatározott eljárás keretében és határidőkön belül.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  <w:rPr>
          <w:color w:val="auto"/>
        </w:rPr>
        <w:sectPr w:rsidR="00C705D6" w:rsidRPr="001351E7">
          <w:footerReference w:type="default" r:id="rId1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Interstitial1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color w:val="auto"/>
        </w:rPr>
        <w:t>{15/04/2019</w:t>
      </w:r>
      <w:proofErr w:type="gramStart"/>
      <w:r w:rsidRPr="001351E7">
        <w:rPr>
          <w:rStyle w:val="HideTWBInt"/>
          <w:color w:val="auto"/>
        </w:rPr>
        <w:t>}</w:t>
      </w:r>
      <w:r w:rsidRPr="001351E7">
        <w:rPr>
          <w:color w:val="auto"/>
        </w:rPr>
        <w:t>15</w:t>
      </w:r>
      <w:proofErr w:type="gramEnd"/>
      <w:r w:rsidRPr="001351E7">
        <w:rPr>
          <w:color w:val="auto"/>
        </w:rPr>
        <w:t>.4.2019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Date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A8-0386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ANo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/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175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AMNumberTabs"/>
      </w:pPr>
      <w:r w:rsidRPr="001351E7">
        <w:rPr>
          <w:color w:val="auto"/>
        </w:rPr>
        <w:t>Módosítás</w:t>
      </w:r>
      <w:r w:rsidRPr="001351E7">
        <w:rPr>
          <w:color w:val="auto"/>
        </w:rPr>
        <w:tab/>
      </w:r>
      <w:r w:rsidRPr="001351E7">
        <w:rPr>
          <w:color w:val="auto"/>
        </w:rPr>
        <w:tab/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NumAm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175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NumAm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</w:t>
      </w:r>
      <w:proofErr w:type="spellStart"/>
      <w:r w:rsidRPr="001351E7">
        <w:rPr>
          <w:rStyle w:val="HideTWBExt"/>
        </w:rPr>
        <w:t>Members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Helga</w:t>
      </w:r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Stevens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Members</w:t>
      </w:r>
      <w:proofErr w:type="spellEnd"/>
      <w:r w:rsidRPr="001351E7">
        <w:rPr>
          <w:rStyle w:val="HideTWBExt"/>
        </w:rPr>
        <w:t>&gt;</w:t>
      </w:r>
    </w:p>
    <w:p w:rsidR="00C10B94" w:rsidRPr="001351E7" w:rsidRDefault="00C10B94" w:rsidP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  <w:b w:val="0"/>
          <w:bCs/>
          <w:color w:val="auto"/>
        </w:rPr>
        <w:t>{ECR</w:t>
      </w:r>
      <w:proofErr w:type="gramStart"/>
      <w:r w:rsidRPr="001351E7">
        <w:rPr>
          <w:rStyle w:val="HideTWBInt"/>
          <w:b w:val="0"/>
          <w:bCs/>
          <w:color w:val="auto"/>
        </w:rPr>
        <w:t>}</w:t>
      </w:r>
      <w:r w:rsidRPr="001351E7">
        <w:rPr>
          <w:b w:val="0"/>
          <w:bCs/>
          <w:color w:val="auto"/>
        </w:rPr>
        <w:t>az</w:t>
      </w:r>
      <w:proofErr w:type="gramEnd"/>
      <w:r w:rsidRPr="001351E7">
        <w:rPr>
          <w:b w:val="0"/>
          <w:bCs/>
          <w:color w:val="auto"/>
        </w:rPr>
        <w:t xml:space="preserve"> ECR képviselőcsoport nevében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AuNomDe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 w:rsidP="00C10B94">
      <w:pPr>
        <w:pStyle w:val="NormalBold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By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RepeatBlock-By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ProjRap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TitreType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t>Jelentés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TitreType</w:t>
      </w:r>
      <w:proofErr w:type="spellEnd"/>
      <w:r w:rsidRPr="001351E7">
        <w:rPr>
          <w:rStyle w:val="HideTWBExt"/>
        </w:rPr>
        <w:t>&gt;</w:t>
      </w:r>
      <w:r w:rsidRPr="001351E7">
        <w:tab/>
        <w:t>A8-0386/2018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Rapporteur</w:t>
      </w:r>
      <w:proofErr w:type="spellEnd"/>
      <w:proofErr w:type="gramStart"/>
      <w:r w:rsidRPr="001351E7">
        <w:rPr>
          <w:rStyle w:val="HideTWBExt"/>
        </w:rPr>
        <w:t>&gt;</w:t>
      </w:r>
      <w:proofErr w:type="spellStart"/>
      <w:r w:rsidRPr="001351E7">
        <w:rPr>
          <w:color w:val="auto"/>
        </w:rPr>
        <w:t>Guillaume</w:t>
      </w:r>
      <w:proofErr w:type="spellEnd"/>
      <w:proofErr w:type="gramEnd"/>
      <w:r w:rsidRPr="001351E7">
        <w:rPr>
          <w:color w:val="auto"/>
        </w:rPr>
        <w:t xml:space="preserve"> </w:t>
      </w:r>
      <w:proofErr w:type="spellStart"/>
      <w:r w:rsidRPr="001351E7">
        <w:rPr>
          <w:color w:val="auto"/>
        </w:rPr>
        <w:t>Balas</w:t>
      </w:r>
      <w:proofErr w:type="spell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Rapporteur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  <w:r w:rsidRPr="001351E7">
        <w:t xml:space="preserve">A szociális biztonsági rendszerek </w:t>
      </w:r>
      <w:proofErr w:type="gramStart"/>
      <w:r w:rsidRPr="001351E7">
        <w:t>koordinálása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Titre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12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  <w:r w:rsidRPr="001351E7">
        <w:rPr>
          <w:color w:val="auto"/>
        </w:rPr>
        <w:t>(</w:t>
      </w:r>
      <w:proofErr w:type="gramStart"/>
      <w:r w:rsidRPr="001351E7">
        <w:rPr>
          <w:color w:val="auto"/>
        </w:rPr>
        <w:t>COM(</w:t>
      </w:r>
      <w:proofErr w:type="gramEnd"/>
      <w:r w:rsidRPr="001351E7">
        <w:rPr>
          <w:color w:val="auto"/>
        </w:rPr>
        <w:t>2016)0815 – C8-0521/2016 – 2016/0397(COD))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DocRef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705D6">
      <w:pPr>
        <w:pStyle w:val="Normal12"/>
      </w:pP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DocAmend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Rendeletre</w:t>
      </w:r>
      <w:proofErr w:type="gramEnd"/>
      <w:r w:rsidRPr="001351E7">
        <w:rPr>
          <w:color w:val="auto"/>
        </w:rPr>
        <w:t xml:space="preserve"> irányuló javaslat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DocAmend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NormalBold"/>
      </w:pP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Article</w:t>
      </w:r>
      <w:proofErr w:type="spellEnd"/>
      <w:proofErr w:type="gramStart"/>
      <w:r w:rsidRPr="001351E7">
        <w:rPr>
          <w:rStyle w:val="HideTWBExt"/>
        </w:rPr>
        <w:t>&gt;</w:t>
      </w:r>
      <w:r w:rsidRPr="001351E7">
        <w:rPr>
          <w:color w:val="auto"/>
        </w:rPr>
        <w:t>2</w:t>
      </w:r>
      <w:proofErr w:type="gramEnd"/>
      <w:r w:rsidRPr="001351E7">
        <w:rPr>
          <w:color w:val="auto"/>
        </w:rPr>
        <w:t xml:space="preserve"> cikk – 1 bekezdés – 23 pont – a pont</w:t>
      </w: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Article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r w:rsidRPr="001351E7">
        <w:rPr>
          <w:rStyle w:val="HideTWBExt"/>
        </w:rPr>
        <w:t>&lt;DocAmend2</w:t>
      </w:r>
      <w:proofErr w:type="gramStart"/>
      <w:r w:rsidRPr="001351E7">
        <w:rPr>
          <w:rStyle w:val="HideTWBExt"/>
        </w:rPr>
        <w:t>&gt;</w:t>
      </w:r>
      <w:r w:rsidRPr="001351E7">
        <w:t>987</w:t>
      </w:r>
      <w:proofErr w:type="gramEnd"/>
      <w:r w:rsidRPr="001351E7">
        <w:t>/2009/EK irányelv</w:t>
      </w:r>
      <w:r w:rsidRPr="001351E7">
        <w:rPr>
          <w:rStyle w:val="HideTWBExt"/>
        </w:rPr>
        <w:t>&lt;/DocAmend2&gt;</w:t>
      </w:r>
    </w:p>
    <w:p w:rsidR="00C705D6" w:rsidRPr="001351E7" w:rsidRDefault="00C10B94">
      <w:r w:rsidRPr="001351E7">
        <w:rPr>
          <w:rStyle w:val="HideTWBExt"/>
        </w:rPr>
        <w:t>&lt;Article2</w:t>
      </w:r>
      <w:proofErr w:type="gramStart"/>
      <w:r w:rsidRPr="001351E7">
        <w:rPr>
          <w:rStyle w:val="HideTWBExt"/>
        </w:rPr>
        <w:t>&gt;</w:t>
      </w:r>
      <w:r w:rsidRPr="001351E7">
        <w:t>56</w:t>
      </w:r>
      <w:proofErr w:type="gramEnd"/>
      <w:r w:rsidRPr="001351E7">
        <w:t xml:space="preserve"> cikk – 1 bekezdés</w:t>
      </w:r>
      <w:r w:rsidRPr="001351E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05D6" w:rsidRPr="001351E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705D6" w:rsidRPr="001351E7" w:rsidRDefault="00C705D6"/>
        </w:tc>
      </w:tr>
      <w:tr w:rsidR="00C705D6" w:rsidRPr="001351E7">
        <w:trPr>
          <w:trHeight w:val="240"/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A Bizottság által javasolt szöveg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ColumnHeading"/>
              <w:rPr>
                <w:color w:val="auto"/>
              </w:rPr>
            </w:pPr>
            <w:r w:rsidRPr="001351E7">
              <w:rPr>
                <w:color w:val="auto"/>
              </w:rPr>
              <w:t>Módosítás</w:t>
            </w:r>
          </w:p>
        </w:tc>
      </w:tr>
      <w:tr w:rsidR="00C705D6" w:rsidRPr="001351E7">
        <w:trPr>
          <w:jc w:val="center"/>
        </w:trPr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a)</w:t>
            </w:r>
            <w:r w:rsidRPr="001351E7">
              <w:rPr>
                <w:color w:val="auto"/>
              </w:rPr>
              <w:tab/>
              <w:t xml:space="preserve">az (1) bekezdésben a „65. cikkének (2) bekezdésével” szöveg helyébe a „65. cikkének (4) </w:t>
            </w:r>
            <w:r w:rsidRPr="001351E7">
              <w:rPr>
                <w:b/>
                <w:i/>
                <w:color w:val="auto"/>
              </w:rPr>
              <w:t>bekezdésével”</w:t>
            </w:r>
            <w:r w:rsidRPr="001351E7">
              <w:rPr>
                <w:color w:val="auto"/>
              </w:rPr>
              <w:t xml:space="preserve"> szöveg lép;</w:t>
            </w:r>
          </w:p>
        </w:tc>
        <w:tc>
          <w:tcPr>
            <w:tcW w:w="4876" w:type="dxa"/>
          </w:tcPr>
          <w:p w:rsidR="00C705D6" w:rsidRPr="001351E7" w:rsidRDefault="00C10B94">
            <w:pPr>
              <w:pStyle w:val="Normal6"/>
              <w:rPr>
                <w:color w:val="auto"/>
              </w:rPr>
            </w:pPr>
            <w:r w:rsidRPr="001351E7">
              <w:rPr>
                <w:color w:val="auto"/>
              </w:rPr>
              <w:t>a)</w:t>
            </w:r>
            <w:r w:rsidRPr="001351E7">
              <w:rPr>
                <w:color w:val="auto"/>
              </w:rPr>
              <w:tab/>
              <w:t>az (1) bekezdésben a „65. cikkének (2) bekezdésével” szöveg helyébe a „65. cikkének (</w:t>
            </w:r>
            <w:r w:rsidRPr="001351E7">
              <w:rPr>
                <w:b/>
                <w:i/>
                <w:color w:val="auto"/>
              </w:rPr>
              <w:t>2) és (</w:t>
            </w:r>
            <w:r w:rsidRPr="001351E7">
              <w:rPr>
                <w:color w:val="auto"/>
              </w:rPr>
              <w:t xml:space="preserve">4) </w:t>
            </w:r>
            <w:r w:rsidRPr="001351E7">
              <w:rPr>
                <w:b/>
                <w:i/>
                <w:color w:val="auto"/>
              </w:rPr>
              <w:t>bekezdésével, valamint 65a. cikkével”</w:t>
            </w:r>
            <w:r w:rsidRPr="001351E7">
              <w:rPr>
                <w:color w:val="auto"/>
              </w:rPr>
              <w:t xml:space="preserve"> szöveg lép;</w:t>
            </w:r>
          </w:p>
        </w:tc>
      </w:tr>
    </w:tbl>
    <w:p w:rsidR="00C705D6" w:rsidRPr="001351E7" w:rsidRDefault="00C10B94" w:rsidP="00CC64D0">
      <w:pPr>
        <w:pStyle w:val="Olang"/>
      </w:pPr>
      <w:proofErr w:type="spellStart"/>
      <w:r w:rsidRPr="001351E7">
        <w:rPr>
          <w:color w:val="auto"/>
        </w:rPr>
        <w:t>Or</w:t>
      </w:r>
      <w:proofErr w:type="spellEnd"/>
      <w:r w:rsidRPr="001351E7">
        <w:rPr>
          <w:color w:val="auto"/>
        </w:rPr>
        <w:t xml:space="preserve">. </w:t>
      </w:r>
      <w:r w:rsidRPr="001351E7">
        <w:rPr>
          <w:rStyle w:val="HideTWBExt"/>
        </w:rPr>
        <w:t>&lt;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  <w:r w:rsidRPr="001351E7">
        <w:rPr>
          <w:rStyle w:val="HideTWBInt"/>
        </w:rPr>
        <w:t>{EN</w:t>
      </w:r>
      <w:proofErr w:type="gramStart"/>
      <w:r w:rsidRPr="001351E7">
        <w:rPr>
          <w:rStyle w:val="HideTWBInt"/>
        </w:rPr>
        <w:t>}</w:t>
      </w:r>
      <w:r w:rsidRPr="001351E7">
        <w:rPr>
          <w:color w:val="auto"/>
        </w:rPr>
        <w:t>en</w:t>
      </w:r>
      <w:proofErr w:type="gramEnd"/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Original</w:t>
      </w:r>
      <w:proofErr w:type="spellEnd"/>
      <w:r w:rsidRPr="001351E7">
        <w:rPr>
          <w:rStyle w:val="HideTWBExt"/>
        </w:rPr>
        <w:t>&gt;</w:t>
      </w:r>
    </w:p>
    <w:p w:rsidR="00C705D6" w:rsidRPr="001351E7" w:rsidRDefault="00C10B94">
      <w:pPr>
        <w:pStyle w:val="Olang"/>
      </w:pPr>
      <w:r w:rsidRPr="001351E7">
        <w:rPr>
          <w:rStyle w:val="HideTWBExt"/>
        </w:rPr>
        <w:t>&lt;/</w:t>
      </w:r>
      <w:proofErr w:type="spellStart"/>
      <w:r w:rsidRPr="001351E7">
        <w:rPr>
          <w:rStyle w:val="HideTWBExt"/>
        </w:rPr>
        <w:t>Amend</w:t>
      </w:r>
      <w:proofErr w:type="spellEnd"/>
      <w:r w:rsidRPr="001351E7">
        <w:rPr>
          <w:rStyle w:val="HideTWBExt"/>
        </w:rPr>
        <w:t>&gt;&lt;/</w:t>
      </w:r>
      <w:proofErr w:type="spellStart"/>
      <w:r w:rsidRPr="001351E7">
        <w:rPr>
          <w:rStyle w:val="HideTWBExt"/>
        </w:rPr>
        <w:t>RepeatBlock-Amend</w:t>
      </w:r>
      <w:proofErr w:type="spellEnd"/>
      <w:r w:rsidRPr="001351E7">
        <w:rPr>
          <w:rStyle w:val="HideTWBExt"/>
        </w:rPr>
        <w:t>&gt;</w:t>
      </w:r>
    </w:p>
    <w:sectPr w:rsidR="00C705D6" w:rsidRPr="001351E7">
      <w:footerReference w:type="default" r:id="rId17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EF" w:rsidRPr="001351E7" w:rsidRDefault="00C10B94">
      <w:r w:rsidRPr="001351E7">
        <w:separator/>
      </w:r>
    </w:p>
  </w:endnote>
  <w:endnote w:type="continuationSeparator" w:id="0">
    <w:p w:rsidR="009E1BEF" w:rsidRPr="001351E7" w:rsidRDefault="00C10B94">
      <w:r w:rsidRPr="001351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E" w:rsidRDefault="000F0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Pr="001351E7" w:rsidRDefault="0043052E" w:rsidP="0043052E">
    <w:pPr>
      <w:pStyle w:val="Footer"/>
    </w:pPr>
    <w:r w:rsidRPr="001351E7">
      <w:rPr>
        <w:rStyle w:val="HideTWBExt"/>
      </w:rPr>
      <w:t>&lt;</w:t>
    </w:r>
    <w:proofErr w:type="spellStart"/>
    <w:r w:rsidRPr="001351E7">
      <w:rPr>
        <w:rStyle w:val="HideTWBExt"/>
      </w:rPr>
      <w:t>PathFdR</w:t>
    </w:r>
    <w:proofErr w:type="spellEnd"/>
    <w:proofErr w:type="gramStart"/>
    <w:r w:rsidRPr="001351E7">
      <w:rPr>
        <w:rStyle w:val="HideTWBExt"/>
      </w:rPr>
      <w:t>&gt;</w:t>
    </w:r>
    <w:r w:rsidRPr="001351E7">
      <w:t>AM</w:t>
    </w:r>
    <w:proofErr w:type="gramEnd"/>
    <w:r w:rsidRPr="001351E7">
      <w:t>\1182655HU.docx</w:t>
    </w:r>
    <w:r w:rsidRPr="001351E7">
      <w:rPr>
        <w:rStyle w:val="HideTWBExt"/>
      </w:rPr>
      <w:t>&lt;/</w:t>
    </w:r>
    <w:proofErr w:type="spellStart"/>
    <w:r w:rsidRPr="001351E7">
      <w:rPr>
        <w:rStyle w:val="HideTWBExt"/>
      </w:rPr>
      <w:t>PathFdR</w:t>
    </w:r>
    <w:proofErr w:type="spellEnd"/>
    <w:r w:rsidRPr="001351E7">
      <w:rPr>
        <w:rStyle w:val="HideTWBExt"/>
      </w:rPr>
      <w:t>&gt;</w:t>
    </w:r>
    <w:r w:rsidRPr="001351E7">
      <w:tab/>
    </w:r>
    <w:r w:rsidRPr="001351E7">
      <w:tab/>
      <w:t>PE</w:t>
    </w:r>
    <w:r w:rsidRPr="001351E7">
      <w:rPr>
        <w:rStyle w:val="HideTWBExt"/>
      </w:rPr>
      <w:t>&lt;</w:t>
    </w:r>
    <w:proofErr w:type="spellStart"/>
    <w:r w:rsidRPr="001351E7">
      <w:rPr>
        <w:rStyle w:val="HideTWBExt"/>
      </w:rPr>
      <w:t>NoPE</w:t>
    </w:r>
    <w:proofErr w:type="spellEnd"/>
    <w:r w:rsidRPr="001351E7">
      <w:rPr>
        <w:rStyle w:val="HideTWBExt"/>
      </w:rPr>
      <w:t>&gt;</w:t>
    </w:r>
    <w:r w:rsidRPr="001351E7">
      <w:t>637.709</w:t>
    </w:r>
    <w:r w:rsidRPr="001351E7">
      <w:rPr>
        <w:rStyle w:val="HideTWBExt"/>
      </w:rPr>
      <w:t>&lt;/</w:t>
    </w:r>
    <w:proofErr w:type="spellStart"/>
    <w:r w:rsidRPr="001351E7">
      <w:rPr>
        <w:rStyle w:val="HideTWBExt"/>
      </w:rPr>
      <w:t>NoPE</w:t>
    </w:r>
    <w:proofErr w:type="spellEnd"/>
    <w:r w:rsidRPr="001351E7">
      <w:rPr>
        <w:rStyle w:val="HideTWBExt"/>
      </w:rPr>
      <w:t>&gt;&lt;Version&gt;</w:t>
    </w:r>
    <w:r w:rsidRPr="001351E7">
      <w:t>v01-00</w:t>
    </w:r>
    <w:r w:rsidRPr="001351E7">
      <w:rPr>
        <w:rStyle w:val="HideTWBExt"/>
      </w:rPr>
      <w:t>&lt;/Version&gt;</w:t>
    </w:r>
  </w:p>
  <w:p w:rsidR="00C705D6" w:rsidRPr="001351E7" w:rsidRDefault="0043052E" w:rsidP="0043052E">
    <w:pPr>
      <w:pStyle w:val="Footer2"/>
      <w:tabs>
        <w:tab w:val="center" w:pos="4535"/>
        <w:tab w:val="right" w:pos="9921"/>
      </w:tabs>
    </w:pPr>
    <w:proofErr w:type="gramStart"/>
    <w:r w:rsidRPr="001351E7">
      <w:t>HU</w:t>
    </w:r>
    <w:proofErr w:type="gramEnd"/>
    <w:r w:rsidRPr="001351E7">
      <w:tab/>
    </w:r>
    <w:r w:rsidRPr="001351E7">
      <w:rPr>
        <w:b w:val="0"/>
        <w:i/>
        <w:color w:val="C0C0C0"/>
        <w:sz w:val="22"/>
      </w:rPr>
      <w:t>Egyesülve a sokféleségben</w:t>
    </w:r>
    <w:r w:rsidRPr="001351E7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E" w:rsidRDefault="000F06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PathFdR</w:t>
    </w:r>
    <w:proofErr w:type="spellEnd"/>
    <w:proofErr w:type="gramStart"/>
    <w:r w:rsidRPr="0043052E">
      <w:rPr>
        <w:rStyle w:val="HideTWBExt"/>
      </w:rPr>
      <w:t>&gt;</w:t>
    </w:r>
    <w:r>
      <w:t>AM</w:t>
    </w:r>
    <w:proofErr w:type="gramEnd"/>
    <w:r>
      <w:t>\1182655HU.docx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PathFdR</w:t>
    </w:r>
    <w:proofErr w:type="spellEnd"/>
    <w:r w:rsidRPr="0043052E">
      <w:rPr>
        <w:rStyle w:val="HideTWBExt"/>
      </w:rPr>
      <w:t>&gt;</w:t>
    </w:r>
    <w:r>
      <w:tab/>
    </w:r>
    <w:r>
      <w:tab/>
      <w:t>PE</w:t>
    </w: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</w:t>
    </w:r>
    <w:r>
      <w:t>637.709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&gt;&lt;Version&gt;</w:t>
    </w:r>
    <w:r>
      <w:t>v01-00</w:t>
    </w:r>
    <w:r w:rsidRPr="0043052E">
      <w:rPr>
        <w:rStyle w:val="HideTWBExt"/>
      </w:rPr>
      <w:t>&lt;/Version&gt;</w:t>
    </w:r>
  </w:p>
  <w:p w:rsidR="00C705D6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PathFdR</w:t>
    </w:r>
    <w:proofErr w:type="spellEnd"/>
    <w:proofErr w:type="gramStart"/>
    <w:r w:rsidRPr="0043052E">
      <w:rPr>
        <w:rStyle w:val="HideTWBExt"/>
      </w:rPr>
      <w:t>&gt;</w:t>
    </w:r>
    <w:r>
      <w:t>AM</w:t>
    </w:r>
    <w:proofErr w:type="gramEnd"/>
    <w:r>
      <w:t>\1182655HU.docx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PathFdR</w:t>
    </w:r>
    <w:proofErr w:type="spellEnd"/>
    <w:r w:rsidRPr="0043052E">
      <w:rPr>
        <w:rStyle w:val="HideTWBExt"/>
      </w:rPr>
      <w:t>&gt;</w:t>
    </w:r>
    <w:r>
      <w:tab/>
    </w:r>
    <w:r>
      <w:tab/>
      <w:t>PE</w:t>
    </w: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</w:t>
    </w:r>
    <w:r>
      <w:t>637.709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&gt;&lt;Version&gt;</w:t>
    </w:r>
    <w:r>
      <w:t>v01-00</w:t>
    </w:r>
    <w:r w:rsidRPr="0043052E">
      <w:rPr>
        <w:rStyle w:val="HideTWBExt"/>
      </w:rPr>
      <w:t>&lt;/Version&gt;</w:t>
    </w:r>
  </w:p>
  <w:p w:rsidR="00C705D6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PathFdR</w:t>
    </w:r>
    <w:proofErr w:type="spellEnd"/>
    <w:proofErr w:type="gramStart"/>
    <w:r w:rsidRPr="0043052E">
      <w:rPr>
        <w:rStyle w:val="HideTWBExt"/>
      </w:rPr>
      <w:t>&gt;</w:t>
    </w:r>
    <w:r>
      <w:t>AM</w:t>
    </w:r>
    <w:proofErr w:type="gramEnd"/>
    <w:r>
      <w:t>\1182655HU.docx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PathFdR</w:t>
    </w:r>
    <w:proofErr w:type="spellEnd"/>
    <w:r w:rsidRPr="0043052E">
      <w:rPr>
        <w:rStyle w:val="HideTWBExt"/>
      </w:rPr>
      <w:t>&gt;</w:t>
    </w:r>
    <w:r>
      <w:tab/>
    </w:r>
    <w:r>
      <w:tab/>
      <w:t>PE</w:t>
    </w: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</w:t>
    </w:r>
    <w:r>
      <w:t>637.709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&gt;&lt;Version&gt;</w:t>
    </w:r>
    <w:r>
      <w:t>v01-00</w:t>
    </w:r>
    <w:r w:rsidRPr="0043052E">
      <w:rPr>
        <w:rStyle w:val="HideTWBExt"/>
      </w:rPr>
      <w:t>&lt;/Version&gt;</w:t>
    </w:r>
  </w:p>
  <w:p w:rsidR="00C705D6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PathFdR</w:t>
    </w:r>
    <w:proofErr w:type="spellEnd"/>
    <w:proofErr w:type="gramStart"/>
    <w:r w:rsidRPr="0043052E">
      <w:rPr>
        <w:rStyle w:val="HideTWBExt"/>
      </w:rPr>
      <w:t>&gt;</w:t>
    </w:r>
    <w:r>
      <w:t>AM</w:t>
    </w:r>
    <w:proofErr w:type="gramEnd"/>
    <w:r>
      <w:t>\1182655HU.docx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PathFdR</w:t>
    </w:r>
    <w:proofErr w:type="spellEnd"/>
    <w:r w:rsidRPr="0043052E">
      <w:rPr>
        <w:rStyle w:val="HideTWBExt"/>
      </w:rPr>
      <w:t>&gt;</w:t>
    </w:r>
    <w:r>
      <w:tab/>
    </w:r>
    <w:r>
      <w:tab/>
      <w:t>PE</w:t>
    </w: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</w:t>
    </w:r>
    <w:r>
      <w:t>637.709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&gt;&lt;Version&gt;</w:t>
    </w:r>
    <w:r>
      <w:t>v01-00</w:t>
    </w:r>
    <w:r w:rsidRPr="0043052E">
      <w:rPr>
        <w:rStyle w:val="HideTWBExt"/>
      </w:rPr>
      <w:t>&lt;/Version&gt;</w:t>
    </w:r>
  </w:p>
  <w:p w:rsidR="00C705D6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PathFdR</w:t>
    </w:r>
    <w:proofErr w:type="spellEnd"/>
    <w:proofErr w:type="gramStart"/>
    <w:r w:rsidRPr="0043052E">
      <w:rPr>
        <w:rStyle w:val="HideTWBExt"/>
      </w:rPr>
      <w:t>&gt;</w:t>
    </w:r>
    <w:r>
      <w:t>AM</w:t>
    </w:r>
    <w:proofErr w:type="gramEnd"/>
    <w:r>
      <w:t>\1182655HU.docx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PathFdR</w:t>
    </w:r>
    <w:proofErr w:type="spellEnd"/>
    <w:r w:rsidRPr="0043052E">
      <w:rPr>
        <w:rStyle w:val="HideTWBExt"/>
      </w:rPr>
      <w:t>&gt;</w:t>
    </w:r>
    <w:r>
      <w:tab/>
    </w:r>
    <w:r>
      <w:tab/>
      <w:t>PE</w:t>
    </w:r>
    <w:r w:rsidRPr="0043052E">
      <w:rPr>
        <w:rStyle w:val="HideTWBExt"/>
      </w:rPr>
      <w:t>&lt;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</w:t>
    </w:r>
    <w:r>
      <w:t>637.709</w:t>
    </w:r>
    <w:r w:rsidRPr="0043052E">
      <w:rPr>
        <w:rStyle w:val="HideTWBExt"/>
      </w:rPr>
      <w:t>&lt;/</w:t>
    </w:r>
    <w:proofErr w:type="spellStart"/>
    <w:r w:rsidRPr="0043052E">
      <w:rPr>
        <w:rStyle w:val="HideTWBExt"/>
      </w:rPr>
      <w:t>NoPE</w:t>
    </w:r>
    <w:proofErr w:type="spellEnd"/>
    <w:r w:rsidRPr="0043052E">
      <w:rPr>
        <w:rStyle w:val="HideTWBExt"/>
      </w:rPr>
      <w:t>&gt;&lt;Version&gt;</w:t>
    </w:r>
    <w:r>
      <w:t>v01-00</w:t>
    </w:r>
    <w:r w:rsidRPr="0043052E">
      <w:rPr>
        <w:rStyle w:val="HideTWBExt"/>
      </w:rPr>
      <w:t>&lt;/Version&gt;</w:t>
    </w:r>
  </w:p>
  <w:p w:rsidR="00C705D6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E" w:rsidRDefault="0043052E" w:rsidP="0043052E">
    <w:pPr>
      <w:pStyle w:val="Footer"/>
    </w:pPr>
    <w:r w:rsidRPr="001351E7">
      <w:rPr>
        <w:rStyle w:val="HideTWBExt"/>
      </w:rPr>
      <w:t>&lt;</w:t>
    </w:r>
    <w:proofErr w:type="spellStart"/>
    <w:r w:rsidRPr="001351E7">
      <w:rPr>
        <w:rStyle w:val="HideTWBExt"/>
      </w:rPr>
      <w:t>PathFdR</w:t>
    </w:r>
    <w:proofErr w:type="spellEnd"/>
    <w:proofErr w:type="gramStart"/>
    <w:r w:rsidRPr="001351E7">
      <w:rPr>
        <w:rStyle w:val="HideTWBExt"/>
      </w:rPr>
      <w:t>&gt;</w:t>
    </w:r>
    <w:r>
      <w:t>AM</w:t>
    </w:r>
    <w:proofErr w:type="gramEnd"/>
    <w:r>
      <w:t>\1182655HU.docx</w:t>
    </w:r>
    <w:r w:rsidRPr="001351E7">
      <w:rPr>
        <w:rStyle w:val="HideTWBExt"/>
      </w:rPr>
      <w:t>&lt;/</w:t>
    </w:r>
    <w:proofErr w:type="spellStart"/>
    <w:r w:rsidRPr="001351E7">
      <w:rPr>
        <w:rStyle w:val="HideTWBExt"/>
      </w:rPr>
      <w:t>PathFdR</w:t>
    </w:r>
    <w:proofErr w:type="spellEnd"/>
    <w:r w:rsidRPr="001351E7">
      <w:rPr>
        <w:rStyle w:val="HideTWBExt"/>
      </w:rPr>
      <w:t>&gt;</w:t>
    </w:r>
    <w:r>
      <w:tab/>
    </w:r>
    <w:r>
      <w:tab/>
      <w:t>PE</w:t>
    </w:r>
    <w:r w:rsidRPr="001351E7">
      <w:rPr>
        <w:rStyle w:val="HideTWBExt"/>
      </w:rPr>
      <w:t>&lt;</w:t>
    </w:r>
    <w:proofErr w:type="spellStart"/>
    <w:r w:rsidRPr="001351E7">
      <w:rPr>
        <w:rStyle w:val="HideTWBExt"/>
      </w:rPr>
      <w:t>NoPE</w:t>
    </w:r>
    <w:proofErr w:type="spellEnd"/>
    <w:r w:rsidRPr="001351E7">
      <w:rPr>
        <w:rStyle w:val="HideTWBExt"/>
      </w:rPr>
      <w:t>&gt;</w:t>
    </w:r>
    <w:r>
      <w:t>637.709</w:t>
    </w:r>
    <w:r w:rsidRPr="001351E7">
      <w:rPr>
        <w:rStyle w:val="HideTWBExt"/>
      </w:rPr>
      <w:t>&lt;/</w:t>
    </w:r>
    <w:proofErr w:type="spellStart"/>
    <w:r w:rsidRPr="001351E7">
      <w:rPr>
        <w:rStyle w:val="HideTWBExt"/>
      </w:rPr>
      <w:t>NoPE</w:t>
    </w:r>
    <w:proofErr w:type="spellEnd"/>
    <w:r w:rsidRPr="001351E7">
      <w:rPr>
        <w:rStyle w:val="HideTWBExt"/>
      </w:rPr>
      <w:t>&gt;&lt;Version&gt;</w:t>
    </w:r>
    <w:r>
      <w:t>v01-00</w:t>
    </w:r>
    <w:r w:rsidRPr="001351E7">
      <w:rPr>
        <w:rStyle w:val="HideTWBExt"/>
      </w:rPr>
      <w:t>&lt;/Version&gt;</w:t>
    </w:r>
  </w:p>
  <w:p w:rsidR="001351E7" w:rsidRDefault="0043052E" w:rsidP="0043052E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43052E">
      <w:rPr>
        <w:b w:val="0"/>
        <w:i/>
        <w:color w:val="C0C0C0"/>
        <w:sz w:val="22"/>
      </w:rPr>
      <w:t>Egyesülve a sokféleségben</w:t>
    </w:r>
    <w:r>
      <w:tab/>
      <w:t>HU</w:t>
    </w:r>
  </w:p>
  <w:p w:rsidR="00C705D6" w:rsidRDefault="001351E7" w:rsidP="001351E7">
    <w:pPr>
      <w:pStyle w:val="Footer2"/>
      <w:tabs>
        <w:tab w:val="center" w:pos="4535"/>
        <w:tab w:val="right" w:pos="9921"/>
      </w:tabs>
    </w:pPr>
    <w:proofErr w:type="gramStart"/>
    <w:r>
      <w:t>HU</w:t>
    </w:r>
    <w:proofErr w:type="gramEnd"/>
    <w:r>
      <w:tab/>
    </w:r>
    <w:r w:rsidRPr="001351E7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EF" w:rsidRPr="001351E7" w:rsidRDefault="00C10B94">
      <w:r w:rsidRPr="001351E7">
        <w:separator/>
      </w:r>
    </w:p>
  </w:footnote>
  <w:footnote w:type="continuationSeparator" w:id="0">
    <w:p w:rsidR="009E1BEF" w:rsidRPr="001351E7" w:rsidRDefault="00C10B94">
      <w:r w:rsidRPr="001351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E" w:rsidRDefault="000F0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E" w:rsidRDefault="000F0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E" w:rsidRDefault="000F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strDocTypeID" w:val="AM_Ple_LegReport"/>
    <w:docVar w:name="TXTLANGUE" w:val="HU"/>
    <w:docVar w:name="TXTLANGUEMIN" w:val="hu"/>
    <w:docVar w:name="TXTNRPE" w:val="637.709"/>
    <w:docVar w:name="TXTPEorAP" w:val="PE"/>
    <w:docVar w:name="TXTROUTE" w:val="AM\1182655HU.docx"/>
    <w:docVar w:name="TXTVERSION" w:val="01-00"/>
  </w:docVars>
  <w:rsids>
    <w:rsidRoot w:val="00C705D6"/>
    <w:rsid w:val="000507AD"/>
    <w:rsid w:val="000F065E"/>
    <w:rsid w:val="001351E7"/>
    <w:rsid w:val="0043052E"/>
    <w:rsid w:val="00596D0F"/>
    <w:rsid w:val="00737D7C"/>
    <w:rsid w:val="009E1BEF"/>
    <w:rsid w:val="00A22EAF"/>
    <w:rsid w:val="00A2519A"/>
    <w:rsid w:val="00C10B94"/>
    <w:rsid w:val="00C705D6"/>
    <w:rsid w:val="00C92C15"/>
    <w:rsid w:val="00CC64D0"/>
    <w:rsid w:val="00D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C5219-F7AF-4DD1-8400-B2B610E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11075</Characters>
  <Application>Microsoft Office Word</Application>
  <DocSecurity>0</DocSecurity>
  <Lines>425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dc:description>IL</dc:description>
  <cp:lastModifiedBy>HERTZ-FARAGO Hajnalka</cp:lastModifiedBy>
  <cp:revision>2</cp:revision>
  <dcterms:created xsi:type="dcterms:W3CDTF">2019-04-17T08:51:00Z</dcterms:created>
  <dcterms:modified xsi:type="dcterms:W3CDTF">2019-04-17T08:51:00Z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1182655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20190415-183603-034166-477620</vt:lpwstr>
  </property>
  <property fmtid="{D5CDD505-2E9C-101B-9397-08002B2CF9AE}" pid="6" name="FooterPath">
    <vt:lpwstr>AM\1182655HU.docx</vt:lpwstr>
  </property>
  <property fmtid="{D5CDD505-2E9C-101B-9397-08002B2CF9AE}" pid="7" name="PE Number">
    <vt:lpwstr>637.709</vt:lpwstr>
  </property>
  <property fmtid="{D5CDD505-2E9C-101B-9397-08002B2CF9AE}" pid="8" name="UID">
    <vt:lpwstr>eu.europa.europarl-DIN1-2019-0000014669_01.00-en-01.00_text-xml</vt:lpwstr>
  </property>
  <property fmtid="{D5CDD505-2E9C-101B-9397-08002B2CF9AE}" pid="9" name="SDLStudio">
    <vt:lpwstr/>
  </property>
  <property fmtid="{D5CDD505-2E9C-101B-9397-08002B2CF9AE}" pid="10" name="&lt;Extension&gt;">
    <vt:lpwstr>HU</vt:lpwstr>
  </property>
  <property fmtid="{D5CDD505-2E9C-101B-9397-08002B2CF9AE}" pid="11" name="LastEdited with">
    <vt:lpwstr>9.6.2 Build [20190327]</vt:lpwstr>
  </property>
  <property fmtid="{D5CDD505-2E9C-101B-9397-08002B2CF9AE}" pid="12" name="SubscribeElise">
    <vt:lpwstr/>
  </property>
  <property fmtid="{D5CDD505-2E9C-101B-9397-08002B2CF9AE}" pid="13" name="Bookout">
    <vt:lpwstr>OK - 2019/04/17 10:51</vt:lpwstr>
  </property>
</Properties>
</file>