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CA73D3" w:rsidRDefault="00E016B9">
      <w:pPr>
        <w:pStyle w:val="Interstitial1"/>
        <w:rPr>
          <w:color w:val="auto"/>
        </w:rPr>
      </w:pPr>
      <w:bookmarkStart w:id="0" w:name="_GoBack"/>
      <w:bookmarkEnd w:id="0"/>
      <w:r w:rsidRPr="00CA73D3">
        <w:rPr>
          <w:rStyle w:val="HideTWBExt"/>
        </w:rPr>
        <w:t>&lt;RepeatBlock-Amend&gt;&lt;Amend&gt;&lt;Date&gt;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11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11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Motyw 3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(3)</w:t>
            </w:r>
            <w:r w:rsidRPr="00CA73D3">
              <w:rPr>
                <w:color w:val="auto"/>
              </w:rPr>
              <w:tab/>
              <w:t xml:space="preserve">Celem programu powinno być wspieranie projektów łagodzących zmianę klimatu, zrównoważonych pod względem środowiskowym i społecznym oraz, w stosownych przypadkach, działań na rzecz łagodzenia zmiany klimatu i przystosowywania się do niej. W szczególności należy wzmocnić wkład programu w realizację </w:t>
            </w:r>
            <w:r w:rsidRPr="00CA73D3">
              <w:rPr>
                <w:b/>
                <w:i/>
                <w:color w:val="auto"/>
              </w:rPr>
              <w:t>celów i </w:t>
            </w:r>
            <w:r w:rsidRPr="00CA73D3">
              <w:rPr>
                <w:color w:val="auto"/>
              </w:rPr>
              <w:t xml:space="preserve">zadań </w:t>
            </w:r>
            <w:r w:rsidRPr="00CA73D3">
              <w:rPr>
                <w:b/>
                <w:i/>
                <w:color w:val="auto"/>
              </w:rPr>
              <w:t xml:space="preserve">porozumienia paryskiego oraz proponowanych wartości docelowych w zakresie klimatu </w:t>
            </w:r>
            <w:r w:rsidRPr="00CA73D3">
              <w:rPr>
                <w:color w:val="auto"/>
              </w:rPr>
              <w:t>i</w:t>
            </w:r>
            <w:r w:rsidRPr="00CA73D3">
              <w:rPr>
                <w:b/>
                <w:i/>
                <w:color w:val="auto"/>
              </w:rPr>
              <w:t> energii na 2030 r., a także</w:t>
            </w:r>
            <w:r w:rsidRPr="00CA73D3">
              <w:rPr>
                <w:color w:val="auto"/>
              </w:rPr>
              <w:t xml:space="preserve"> długoterminowego celu w zakresie dekarbonizacji.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(3)</w:t>
            </w:r>
            <w:r w:rsidRPr="00CA73D3">
              <w:rPr>
                <w:color w:val="auto"/>
              </w:rPr>
              <w:tab/>
              <w:t>Celem programu powinno być wspieranie projektów łagodzących zmianę klimatu, zrównoważonych pod względem środowiskowym i społecznym oraz, w stosownych przypadkach, działań na rzecz łagodzenia zmiany klimatu i przystosowywania się do niej. W szczególności należy wzmocnić wkład programu w realizację zadań i długoterminowego celu w zakresie dekarbonizacji.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 w:rsidSect="00CA73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lastRenderedPageBreak/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12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12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Motyw 4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(4)</w:t>
            </w:r>
            <w:r w:rsidRPr="00CA73D3">
              <w:rPr>
                <w:color w:val="auto"/>
              </w:rPr>
              <w:tab/>
              <w:t xml:space="preserve">Odzwierciedlając znaczenie przeciwdziałania zmianie klimatu, </w:t>
            </w:r>
            <w:r w:rsidRPr="00CA73D3">
              <w:rPr>
                <w:b/>
                <w:i/>
                <w:color w:val="auto"/>
              </w:rPr>
              <w:t xml:space="preserve">zgodnie z zobowiązaniami UE na rzecz realizacji porozumienia paryskiego, oraz dając wyraz zaangażowaniu na rzecz celów zrównoważonego rozwoju Organizacji Narodów Zjednoczonych, </w:t>
            </w:r>
            <w:r w:rsidRPr="00CA73D3">
              <w:rPr>
                <w:color w:val="auto"/>
              </w:rPr>
              <w:t>w niniejszym rozporządzeniu należy uwzględnić działania w dziedzinie klimatu i doprowadzić do tego, aby wydatki na wsparcie realizacji celów klimatycznych</w:t>
            </w:r>
            <w:r w:rsidRPr="00CA73D3">
              <w:rPr>
                <w:rStyle w:val="Sup"/>
                <w:color w:val="auto"/>
              </w:rPr>
              <w:t>18</w:t>
            </w:r>
            <w:r w:rsidRPr="00CA73D3">
              <w:rPr>
                <w:color w:val="auto"/>
              </w:rPr>
              <w:t xml:space="preserve"> osiągnęły docelową wartość 25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 xml:space="preserve">% w skali budżetu UE. Oczekuje się, że </w:t>
            </w:r>
            <w:r w:rsidRPr="00CA73D3">
              <w:rPr>
                <w:b/>
                <w:i/>
                <w:color w:val="auto"/>
              </w:rPr>
              <w:t xml:space="preserve">60 % całkowitej puli środków finansowych programu zostanie przeznaczone na </w:t>
            </w:r>
            <w:r w:rsidRPr="00CA73D3">
              <w:rPr>
                <w:color w:val="auto"/>
              </w:rPr>
              <w:t xml:space="preserve">działania objęte programem </w:t>
            </w:r>
            <w:r w:rsidRPr="00CA73D3">
              <w:rPr>
                <w:b/>
                <w:i/>
                <w:color w:val="auto"/>
              </w:rPr>
              <w:t>przyczyniające</w:t>
            </w:r>
            <w:r w:rsidRPr="00CA73D3">
              <w:rPr>
                <w:color w:val="auto"/>
              </w:rPr>
              <w:t xml:space="preserve"> się do realizacji celów klimatycznych, na podstawie </w:t>
            </w:r>
            <w:r w:rsidRPr="00CA73D3">
              <w:rPr>
                <w:b/>
                <w:i/>
                <w:color w:val="auto"/>
              </w:rPr>
              <w:t xml:space="preserve">–między innymi – </w:t>
            </w:r>
            <w:r w:rsidRPr="00CA73D3">
              <w:rPr>
                <w:color w:val="auto"/>
              </w:rPr>
              <w:t xml:space="preserve">następujących </w:t>
            </w:r>
            <w:r w:rsidRPr="00CA73D3">
              <w:rPr>
                <w:b/>
                <w:i/>
                <w:color w:val="auto"/>
              </w:rPr>
              <w:t>„wskaźników</w:t>
            </w:r>
            <w:r w:rsidRPr="00CA73D3">
              <w:rPr>
                <w:color w:val="auto"/>
              </w:rPr>
              <w:t xml:space="preserve"> z </w:t>
            </w:r>
            <w:r w:rsidRPr="00CA73D3">
              <w:rPr>
                <w:b/>
                <w:i/>
                <w:color w:val="auto"/>
              </w:rPr>
              <w:t>Rio”</w:t>
            </w:r>
            <w:r w:rsidRPr="00CA73D3">
              <w:rPr>
                <w:color w:val="auto"/>
              </w:rPr>
              <w:t xml:space="preserve">: i) 100 % dla wydatków dotyczących infrastruktury kolejowej, paliw alternatywnych, czystego transportu miejskiego, przesyłu energii, magazynowania energii elektrycznej, inteligentnych sieci, transportu CO2 oraz energii odnawialnej; ii) 40 % dla wydatków dotyczących śródlądowych dróg wodnych i transportu multimodalnego, jak również infrastruktury gazowej – jeżeli umożliwia się zwiększone wykorzystanie wodoru lub biometanu jako odnawialnego źródła energii. Odpowiednie działania zostaną określone w trakcie </w:t>
            </w:r>
            <w:r w:rsidRPr="00CA73D3">
              <w:rPr>
                <w:color w:val="auto"/>
              </w:rPr>
              <w:lastRenderedPageBreak/>
              <w:t>przygotowywania i realizacji programu, a także poddane ponownej ocenie w kontekście odpowiednich ocen i przeglądów. Aby zapobiec sytuacji, w której infrastruktura jest narażona na potencjalne długoterminowe skutki zmiany klimatu oraz aby zapewnić uwzględnienie kosztów emisji gazów cieplarnianych powstałych w wyniku realizacji projektu w ramach oceny ekonomicznej projektu, projekty wspierane za pomocą programu powinny, w stosownych przypadkach, podlegać mechanizmowi uodparniania na klimat zgodnie z wytycznymi, które powinny zostać opracowane przez Komisję w sposób spójny z wytycznymi opracowanymi dla innych programów unijnych.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lastRenderedPageBreak/>
              <w:t>(4)</w:t>
            </w:r>
            <w:r w:rsidRPr="00CA73D3">
              <w:rPr>
                <w:color w:val="auto"/>
              </w:rPr>
              <w:tab/>
              <w:t>Odzwierciedlając znaczenie przeciwdziałania zmianie klimatu, w niniejszym rozporządzeniu należy uwzględnić działania w dziedzinie klimatu i doprowadzić do tego, aby wydatki na wsparcie realizacji celów klimatycznych</w:t>
            </w:r>
            <w:r w:rsidRPr="00CA73D3">
              <w:rPr>
                <w:rStyle w:val="Sup"/>
                <w:color w:val="auto"/>
              </w:rPr>
              <w:t>18</w:t>
            </w:r>
            <w:r w:rsidRPr="00CA73D3">
              <w:rPr>
                <w:color w:val="auto"/>
              </w:rPr>
              <w:t xml:space="preserve"> osiągnęły docelową wartość 25% w skali budżetu UE. Oczekuje się, że działania objęte programem </w:t>
            </w:r>
            <w:r w:rsidRPr="00CA73D3">
              <w:rPr>
                <w:b/>
                <w:i/>
                <w:color w:val="auto"/>
              </w:rPr>
              <w:t>przyczynią</w:t>
            </w:r>
            <w:r w:rsidRPr="00CA73D3">
              <w:rPr>
                <w:color w:val="auto"/>
              </w:rPr>
              <w:t xml:space="preserve"> się do realizacji celów klimatycznych,</w:t>
            </w:r>
            <w:r w:rsidRPr="00CA73D3">
              <w:rPr>
                <w:b/>
                <w:i/>
                <w:color w:val="auto"/>
              </w:rPr>
              <w:t xml:space="preserve"> m.in.</w:t>
            </w:r>
            <w:r w:rsidRPr="00CA73D3">
              <w:rPr>
                <w:color w:val="auto"/>
              </w:rPr>
              <w:t xml:space="preserve"> na podstawie następujących </w:t>
            </w:r>
            <w:r w:rsidRPr="00CA73D3">
              <w:rPr>
                <w:b/>
                <w:i/>
                <w:color w:val="auto"/>
              </w:rPr>
              <w:t>wskaźników</w:t>
            </w:r>
            <w:r w:rsidRPr="00CA73D3">
              <w:rPr>
                <w:color w:val="auto"/>
              </w:rPr>
              <w:t xml:space="preserve"> z </w:t>
            </w:r>
            <w:r w:rsidRPr="00CA73D3">
              <w:rPr>
                <w:b/>
                <w:i/>
                <w:color w:val="auto"/>
              </w:rPr>
              <w:t>Rio</w:t>
            </w:r>
            <w:r w:rsidRPr="00CA73D3">
              <w:rPr>
                <w:color w:val="auto"/>
              </w:rPr>
              <w:t xml:space="preserve">: i) 100 % dla wydatków dotyczących infrastruktury kolejowej, paliw alternatywnych, czystego transportu miejskiego, przesyłu energii, magazynowania energii elektrycznej, inteligentnych sieci, transportu CO2 oraz energii odnawialnej; ii) 40 % dla wydatków dotyczących śródlądowych dróg wodnych i transportu multimodalnego, jak również infrastruktury gazowej – jeżeli umożliwia się zwiększone wykorzystanie wodoru lub biometanu jako odnawialnego źródła energii. Odpowiednie działania zostaną określone w trakcie przygotowywania i realizacji programu, a także poddane ponownej ocenie w kontekście odpowiednich ocen i przeglądów. Aby zapobiec sytuacji, w której infrastruktura jest narażona na potencjalne długoterminowe skutki zmiany klimatu oraz aby zapewnić uwzględnienie </w:t>
            </w:r>
            <w:r w:rsidRPr="00CA73D3">
              <w:rPr>
                <w:color w:val="auto"/>
              </w:rPr>
              <w:lastRenderedPageBreak/>
              <w:t>kosztów emisji gazów cieplarnianych powstałych w wyniku realizacji projektu w ramach oceny ekonomicznej projektu, projekty wspierane za pomocą programu powinny, w stosownych przypadkach, podlegać mechanizmowi uodparniania na klimat zgodnie z wytycznymi, które powinny zostać opracowane przez Komisję w sposób spójny z wytycznymi opracowanymi dla innych programów unijnych.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lastRenderedPageBreak/>
              <w:t>_________________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_________________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"/>
                <w:color w:val="auto"/>
              </w:rPr>
              <w:t>18</w:t>
            </w:r>
            <w:r w:rsidRPr="00CA73D3">
              <w:rPr>
                <w:color w:val="auto"/>
              </w:rPr>
              <w:t xml:space="preserve"> COM(2018) 321, s. 13.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"/>
                <w:color w:val="auto"/>
              </w:rPr>
              <w:t>18</w:t>
            </w:r>
            <w:r w:rsidRPr="00CA73D3">
              <w:rPr>
                <w:color w:val="auto"/>
              </w:rPr>
              <w:t xml:space="preserve"> COM(2018) 321, s. 13.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lastRenderedPageBreak/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13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13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Motyw 6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(6)</w:t>
            </w:r>
            <w:r w:rsidRPr="00CA73D3">
              <w:rPr>
                <w:color w:val="auto"/>
              </w:rPr>
              <w:tab/>
              <w:t xml:space="preserve">Jednym z istotnych celów tego programu jest osiągnięcie większej synergii między sektorami transportu, energii i technologii cyfrowych. W tym celu program powinien przewidywać przyjęcie międzysektorowych programów prac, które mogłyby odnosić się do konkretnych obszarów interwencji, na przykład w odniesieniu do mobilności opartej na sieci i zautomatyzowanej lub </w:t>
            </w:r>
            <w:r w:rsidRPr="00CA73D3">
              <w:rPr>
                <w:b/>
                <w:i/>
                <w:color w:val="auto"/>
              </w:rPr>
              <w:t>paliw alternatywnych</w:t>
            </w:r>
            <w:r w:rsidRPr="00CA73D3">
              <w:rPr>
                <w:color w:val="auto"/>
              </w:rPr>
              <w:t>. Ponadto program powinien umożliwiać, w ramach każdego sektora, uznawanie za kwalifikowalne niektórych dodatkowych komponentów odnoszących się do innego sektora, jeżeli takie podejście poprawi korzyści społeczno-gospodarcze danej inwestycji. Należy zachęcać do synergii między sektorami w oparciu o kryteria wyboru na potrzeby kwalifikacji działań.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(6)</w:t>
            </w:r>
            <w:r w:rsidRPr="00CA73D3">
              <w:rPr>
                <w:color w:val="auto"/>
              </w:rPr>
              <w:tab/>
              <w:t>Jednym z istotnych celów tego programu jest osiągnięcie większej synergii między sektorami transportu, energii i technologii cyfrowych. W tym celu program powinien przewidywać przyjęcie międzysektorowych programów prac, które mogłyby odnosić się do konkretnych obszarów interwencji, na przykład w odniesieniu do mobilności opartej na sieci i zautomatyzowanej</w:t>
            </w:r>
            <w:r w:rsidRPr="00CA73D3">
              <w:rPr>
                <w:b/>
                <w:i/>
                <w:color w:val="auto"/>
              </w:rPr>
              <w:t>, paliw alternatywnych</w:t>
            </w:r>
            <w:r w:rsidRPr="00CA73D3">
              <w:rPr>
                <w:color w:val="auto"/>
              </w:rPr>
              <w:t xml:space="preserve"> lub </w:t>
            </w:r>
            <w:r w:rsidRPr="00CA73D3">
              <w:rPr>
                <w:b/>
                <w:i/>
                <w:color w:val="auto"/>
              </w:rPr>
              <w:t>neutralności technologicznej</w:t>
            </w:r>
            <w:r w:rsidRPr="00CA73D3">
              <w:rPr>
                <w:color w:val="auto"/>
              </w:rPr>
              <w:t>. Ponadto program powinien umożliwiać, w ramach każdego sektora, uznawanie za kwalifikowalne niektórych dodatkowych komponentów odnoszących się do innego sektora, jeżeli takie podejście poprawi korzyści społeczno-gospodarcze danej inwestycji. Należy zachęcać do synergii między sektorami w oparciu o kryteria wyboru na potrzeby kwalifikacji działań.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15"/>
          <w:footerReference w:type="default" r:id="rId16"/>
          <w:footerReference w:type="firs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lastRenderedPageBreak/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14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14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Motyw 14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(14)</w:t>
            </w:r>
            <w:r w:rsidRPr="00CA73D3">
              <w:rPr>
                <w:color w:val="auto"/>
              </w:rPr>
              <w:tab/>
              <w:t xml:space="preserve">W następstwie wspólnego komunikatu w sprawie poprawy mobilności </w:t>
            </w:r>
            <w:r w:rsidRPr="00CA73D3">
              <w:rPr>
                <w:b/>
                <w:i/>
                <w:color w:val="auto"/>
              </w:rPr>
              <w:t>wojskowej</w:t>
            </w:r>
            <w:r w:rsidRPr="00CA73D3">
              <w:rPr>
                <w:color w:val="auto"/>
              </w:rPr>
              <w:t xml:space="preserve"> w Unii Europejskiej z listopada 2017 r.</w:t>
            </w:r>
            <w:r w:rsidRPr="00CA73D3">
              <w:rPr>
                <w:rStyle w:val="Sup"/>
                <w:color w:val="auto"/>
              </w:rPr>
              <w:t>24</w:t>
            </w:r>
            <w:r w:rsidRPr="00CA73D3">
              <w:rPr>
                <w:color w:val="auto"/>
              </w:rPr>
              <w:t>, w planie działania na rzecz mobilności wojskowej – przyjętym w dniu 28 marca 2018 r. przez Komisję i Wysokiego Przedstawiciela Unii do Spraw Zagranicznych i Polityki Bezpieczeństwa</w:t>
            </w:r>
            <w:r w:rsidRPr="00CA73D3">
              <w:rPr>
                <w:rStyle w:val="Sup"/>
                <w:color w:val="auto"/>
              </w:rPr>
              <w:t>25</w:t>
            </w:r>
            <w:r w:rsidRPr="00CA73D3">
              <w:rPr>
                <w:color w:val="auto"/>
              </w:rPr>
              <w:t xml:space="preserve"> – podkreślono, iż polityka w zakresie infrastruktury transportowej stanowi okazję do zwiększenia efektów synergii między potrzebami w zakresie obronności a transeuropejską siecią transportową (TEN-T). W planie działania wskazano, że do połowy 2018 r. Rada proszona jest o przeanalizowanie i zatwierdzenie wymogów </w:t>
            </w:r>
            <w:r w:rsidRPr="00CA73D3">
              <w:rPr>
                <w:b/>
                <w:i/>
                <w:color w:val="auto"/>
              </w:rPr>
              <w:t>wojskowych</w:t>
            </w:r>
            <w:r w:rsidRPr="00CA73D3">
              <w:rPr>
                <w:color w:val="auto"/>
              </w:rPr>
              <w:t xml:space="preserve"> w odniesieniu do infrastruktury transportowej oraz że do 2019 r. służby Komisji określą części transeuropejskiej sieci transportowej odpowiednie dla transportu </w:t>
            </w:r>
            <w:r w:rsidRPr="00CA73D3">
              <w:rPr>
                <w:b/>
                <w:i/>
                <w:color w:val="auto"/>
              </w:rPr>
              <w:t>wojskowego</w:t>
            </w:r>
            <w:r w:rsidRPr="00CA73D3">
              <w:rPr>
                <w:color w:val="auto"/>
              </w:rPr>
              <w:t>, z uwzględnieniem koniecznej modernizacji istniejącej infrastruktury. Finansowanie przez Unię realizacji projektów podwójnego zastosowania powinno odbywać się za pośrednictwem programu w oparciu o szczegółowe programy prac określające stosowne wymogi ustalone w kontekście planu działania.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(14)</w:t>
            </w:r>
            <w:r w:rsidRPr="00CA73D3">
              <w:rPr>
                <w:color w:val="auto"/>
              </w:rPr>
              <w:tab/>
              <w:t xml:space="preserve">W następstwie wspólnego komunikatu w sprawie poprawy mobilności </w:t>
            </w:r>
            <w:r w:rsidRPr="00CA73D3">
              <w:rPr>
                <w:b/>
                <w:i/>
                <w:color w:val="auto"/>
              </w:rPr>
              <w:t>na potrzeby obronności</w:t>
            </w:r>
            <w:r w:rsidRPr="00CA73D3">
              <w:rPr>
                <w:color w:val="auto"/>
              </w:rPr>
              <w:t xml:space="preserve"> w Unii Europejskiej z listopada 2017 r.</w:t>
            </w:r>
            <w:r w:rsidRPr="00CA73D3">
              <w:rPr>
                <w:rStyle w:val="Sup"/>
                <w:color w:val="auto"/>
              </w:rPr>
              <w:t>24</w:t>
            </w:r>
            <w:r w:rsidRPr="00CA73D3">
              <w:rPr>
                <w:color w:val="auto"/>
              </w:rPr>
              <w:t>, w planie działania na rzecz mobilności wojskowej – przyjętym w dniu 28 marca 2018 r. przez Komisję i Wysokiego Przedstawiciela Unii do Spraw Zagranicznych i Polityki Bezpieczeństwa</w:t>
            </w:r>
            <w:r w:rsidRPr="00CA73D3">
              <w:rPr>
                <w:rStyle w:val="Sup"/>
                <w:color w:val="auto"/>
              </w:rPr>
              <w:t>25</w:t>
            </w:r>
            <w:r w:rsidRPr="00CA73D3">
              <w:rPr>
                <w:color w:val="auto"/>
              </w:rPr>
              <w:t xml:space="preserve"> – podkreślono, iż polityka w zakresie infrastruktury transportowej stanowi okazję do zwiększenia efektów synergii między potrzebami w zakresie obronności a transeuropejską siecią transportową (TEN-T). W planie działania wskazano, że do połowy 2018 r. Rada proszona jest o przeanalizowanie i zatwierdzenie wymogów </w:t>
            </w:r>
            <w:r w:rsidRPr="00CA73D3">
              <w:rPr>
                <w:b/>
                <w:i/>
                <w:color w:val="auto"/>
              </w:rPr>
              <w:t>dotyczących obronności</w:t>
            </w:r>
            <w:r w:rsidRPr="00CA73D3">
              <w:rPr>
                <w:color w:val="auto"/>
              </w:rPr>
              <w:t xml:space="preserve"> w odniesieniu do infrastruktury transportowej oraz że do 2019 r. służby Komisji określą części transeuropejskiej sieci transportowej odpowiednie dla transportu </w:t>
            </w:r>
            <w:r w:rsidRPr="00CA73D3">
              <w:rPr>
                <w:b/>
                <w:i/>
                <w:color w:val="auto"/>
              </w:rPr>
              <w:t>na potrzeby obronności</w:t>
            </w:r>
            <w:r w:rsidRPr="00CA73D3">
              <w:rPr>
                <w:color w:val="auto"/>
              </w:rPr>
              <w:t>, z uwzględnieniem koniecznej modernizacji istniejącej infrastruktury. Finansowanie przez Unię realizacji projektów</w:t>
            </w:r>
            <w:r w:rsidRPr="00CA73D3">
              <w:rPr>
                <w:b/>
                <w:i/>
                <w:color w:val="auto"/>
              </w:rPr>
              <w:t xml:space="preserve"> w zakresie cywilno</w:t>
            </w:r>
            <w:r w:rsidRPr="00CA73D3">
              <w:rPr>
                <w:color w:val="auto"/>
              </w:rPr>
              <w:noBreakHyphen/>
            </w:r>
            <w:r w:rsidRPr="00CA73D3">
              <w:rPr>
                <w:b/>
                <w:i/>
                <w:color w:val="auto"/>
              </w:rPr>
              <w:t>wojskowej infrastruktury transportowej</w:t>
            </w:r>
            <w:r w:rsidRPr="00CA73D3">
              <w:rPr>
                <w:color w:val="auto"/>
              </w:rPr>
              <w:t xml:space="preserve"> podwójnego zastosowania powinno odbywać się za pośrednictwem programu w oparciu o szczegółowe programy prac określające stosowne wymogi ustalone w kontekście planu </w:t>
            </w:r>
            <w:r w:rsidRPr="00CA73D3">
              <w:rPr>
                <w:color w:val="auto"/>
              </w:rPr>
              <w:lastRenderedPageBreak/>
              <w:t>działania.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lastRenderedPageBreak/>
              <w:t>_________________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_________________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"/>
                <w:color w:val="auto"/>
              </w:rPr>
              <w:t>24</w:t>
            </w:r>
            <w:r w:rsidRPr="00CA73D3">
              <w:rPr>
                <w:color w:val="auto"/>
              </w:rPr>
              <w:t xml:space="preserve"> JOIN(2017) 41.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"/>
                <w:color w:val="auto"/>
              </w:rPr>
              <w:t>24</w:t>
            </w:r>
            <w:r w:rsidRPr="00CA73D3">
              <w:rPr>
                <w:color w:val="auto"/>
              </w:rPr>
              <w:t xml:space="preserve"> JOIN(2017) 41.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"/>
                <w:color w:val="auto"/>
              </w:rPr>
              <w:t>25</w:t>
            </w:r>
            <w:r w:rsidRPr="00CA73D3">
              <w:rPr>
                <w:color w:val="auto"/>
              </w:rPr>
              <w:t xml:space="preserve"> JOIN(2018) 5.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"/>
                <w:color w:val="auto"/>
              </w:rPr>
              <w:t>25</w:t>
            </w:r>
            <w:r w:rsidRPr="00CA73D3">
              <w:rPr>
                <w:color w:val="auto"/>
              </w:rPr>
              <w:t xml:space="preserve"> JOIN(2018) 5.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18"/>
          <w:footerReference w:type="default" r:id="rId19"/>
          <w:footerReference w:type="first" r:id="rId20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lastRenderedPageBreak/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15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15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Motyw 20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(20)</w:t>
            </w:r>
            <w:r w:rsidRPr="00CA73D3">
              <w:rPr>
                <w:color w:val="auto"/>
              </w:rPr>
              <w:tab/>
              <w:t>Innowacyjne technologie infrastrukturalne, które umożliwiają przejście na niskoemisyjne systemy energetyczne i transportowe oraz zwiększają bezpieczeństwo dostaw, są niezbędne w świetle unijnej agendy dekarbonizacji.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 xml:space="preserve">W szczególności w swoim komunikacie z dnia 23 listopada 2017 r. pt. „Komunikat w sprawie rozwoju sieci energetycznych w Europie” </w:t>
            </w:r>
            <w:r w:rsidRPr="00CA73D3">
              <w:rPr>
                <w:rStyle w:val="SupBoldItalic"/>
                <w:color w:val="auto"/>
              </w:rPr>
              <w:t>28</w:t>
            </w:r>
            <w:r w:rsidRPr="00CA73D3">
              <w:rPr>
                <w:color w:val="auto"/>
              </w:rPr>
              <w:t xml:space="preserve"> Komisja podkreśliła, że rola energii elektrycznej, w przypadku gdy energia ze źródeł odnawialnych będzie stanowić połowę produkcji energii elektrycznej do 2030 r., będzie w coraz większym stopniu powodować obniżenie emisyjności sektorów dotychczas zdominowanych przez paliwa kopalne – na przykład transportu, przemysłu oraz sektora ogrzewania i chłodzenia – oraz że w związku z tym priorytetem w ramach polityki transeuropejskiej infrastruktury energetycznej należy w coraz większym stopniu kłaść nacisk na elektroenergetyczne połączenia międzysystemowe, magazynowanie energii elektrycznej i projekty inteligentnych sieci. W celu wspierania realizacji unijnych celów w zakresie dekarbonizacji należy odpowiednio uwzględnić i priorytetowo traktować technologie i projekty przyczyniające się do przejścia na </w:t>
            </w:r>
            <w:r w:rsidRPr="00CA73D3">
              <w:rPr>
                <w:color w:val="auto"/>
              </w:rPr>
              <w:lastRenderedPageBreak/>
              <w:t>gospodarkę niskoemisyjną. Komisja będzie dążyć do zwiększenia liczby projektów w zakresie transgranicznych inteligentnych sieci, innowacyjnych technologii magazynowania oraz przesyłu dwutlenku węgla, przeznaczonych do objęcia wsparciem w ramach programu.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lastRenderedPageBreak/>
              <w:t>(20)</w:t>
            </w:r>
            <w:r w:rsidRPr="00CA73D3">
              <w:rPr>
                <w:color w:val="auto"/>
              </w:rPr>
              <w:tab/>
              <w:t>Innowacyjne technologie infrastrukturalne, które umożliwiają przejście na niskoemisyjne systemy energetyczne i transportowe oraz zwiększają bezpieczeństwo dostaw, są niezbędne w świetle unijnej agendy dekarbonizacji. W celu wspierania realizacji unijnych celów w zakresie dekarbonizacji należy odpowiednio uwzględnić i priorytetowo traktować technologie i projekty przyczyniające się do przejścia na gospodarkę niskoemisyjną. Komisja będzie dążyć do zwiększenia liczby projektów w zakresie transgranicznych inteligentnych sieci, innowacyjnych technologii magazynowania oraz przesyłu dwutlenku węgla, przeznaczonych do objęcia wsparciem w ramach programu.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_________________</w:t>
            </w:r>
          </w:p>
        </w:tc>
        <w:tc>
          <w:tcPr>
            <w:tcW w:w="4876" w:type="dxa"/>
          </w:tcPr>
          <w:p w:rsidR="00931865" w:rsidRPr="00CA73D3" w:rsidRDefault="00931865">
            <w:pPr>
              <w:pStyle w:val="Normal6"/>
              <w:rPr>
                <w:color w:val="auto"/>
              </w:rPr>
            </w:pP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rStyle w:val="SupBoldItalic"/>
                <w:color w:val="auto"/>
              </w:rPr>
              <w:t>28</w:t>
            </w:r>
            <w:r w:rsidRPr="00CA73D3">
              <w:rPr>
                <w:color w:val="auto"/>
              </w:rPr>
              <w:t xml:space="preserve"> COM(2017) 718</w:t>
            </w:r>
          </w:p>
        </w:tc>
        <w:tc>
          <w:tcPr>
            <w:tcW w:w="4876" w:type="dxa"/>
          </w:tcPr>
          <w:p w:rsidR="00931865" w:rsidRPr="00CA73D3" w:rsidRDefault="00931865">
            <w:pPr>
              <w:pStyle w:val="Normal6"/>
              <w:rPr>
                <w:color w:val="auto"/>
              </w:rPr>
            </w:pP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21"/>
          <w:footerReference w:type="default" r:id="rId22"/>
          <w:footerReference w:type="first" r:id="rId2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16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16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Motyw 25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(25)</w:t>
            </w:r>
            <w:r w:rsidRPr="00CA73D3">
              <w:rPr>
                <w:color w:val="auto"/>
              </w:rPr>
              <w:tab/>
              <w:t>Ponadto</w:t>
            </w:r>
            <w:r w:rsidRPr="00CA73D3">
              <w:rPr>
                <w:b/>
                <w:i/>
                <w:color w:val="auto"/>
              </w:rPr>
              <w:t>, wykorzystując sukces realizacji inicjatywy WiFi4EU,</w:t>
            </w:r>
            <w:r w:rsidRPr="00CA73D3">
              <w:rPr>
                <w:color w:val="auto"/>
              </w:rPr>
              <w:t xml:space="preserve"> w ramach programu należy nadal wspierać zapewnianie bezpłatnej, wysokiej jakości lokalnej łączności bezprzewodowej w ośrodkach lokalnego życia publicznego, z uwzględnieniem podmiotów pełniących misję publiczną, takich jak organy publiczne i dostawcy usług publicznych, jak również w przestrzeniach zewnętrznych dostępnych publicznie, w celu promowania unijnej wizji cyfrowej w społecznościach lokalnych.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(25)</w:t>
            </w:r>
            <w:r w:rsidRPr="00CA73D3">
              <w:rPr>
                <w:color w:val="auto"/>
              </w:rPr>
              <w:tab/>
              <w:t>Ponadto w ramach programu należy nadal wspierać zapewnianie bezpłatnej, wysokiej jakości lokalnej łączności bezprzewodowej w ośrodkach lokalnego życia publicznego, z uwzględnieniem podmiotów pełniących misję publiczną, takich jak organy publiczne i dostawcy usług publicznych, jak również w przestrzeniach zewnętrznych dostępnych publicznie, w celu promowania unijnej wizji cyfrowej w społecznościach lokalnych.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24"/>
          <w:footerReference w:type="default" r:id="rId25"/>
          <w:footerReference w:type="first" r:id="rId2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17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17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Artykuł 3 – ustęp 2 – litera a – podpunkt ii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(ii)</w:t>
            </w:r>
            <w:r w:rsidRPr="00CA73D3">
              <w:rPr>
                <w:color w:val="auto"/>
              </w:rPr>
              <w:tab/>
              <w:t xml:space="preserve">dostosowanie sieci TEN-T do </w:t>
            </w:r>
            <w:r w:rsidRPr="00CA73D3">
              <w:rPr>
                <w:b/>
                <w:i/>
                <w:color w:val="auto"/>
              </w:rPr>
              <w:t>potrzeb</w:t>
            </w:r>
            <w:r w:rsidRPr="00CA73D3">
              <w:rPr>
                <w:color w:val="auto"/>
              </w:rPr>
              <w:t xml:space="preserve"> w</w:t>
            </w:r>
            <w:r w:rsidRPr="00CA73D3">
              <w:rPr>
                <w:b/>
                <w:i/>
                <w:color w:val="auto"/>
              </w:rPr>
              <w:t> zakresie mobilności wojskowej</w:t>
            </w:r>
            <w:r w:rsidRPr="00CA73D3">
              <w:rPr>
                <w:color w:val="auto"/>
              </w:rPr>
              <w:t>;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(ii)</w:t>
            </w:r>
            <w:r w:rsidRPr="00CA73D3">
              <w:rPr>
                <w:color w:val="auto"/>
              </w:rPr>
              <w:tab/>
              <w:t xml:space="preserve">dostosowanie sieci TEN-T do </w:t>
            </w:r>
            <w:r w:rsidRPr="00CA73D3">
              <w:rPr>
                <w:b/>
                <w:i/>
                <w:color w:val="auto"/>
              </w:rPr>
              <w:t>wymogów mobilności na potrzeby obronności</w:t>
            </w:r>
            <w:r w:rsidRPr="00CA73D3">
              <w:rPr>
                <w:color w:val="auto"/>
              </w:rPr>
              <w:t xml:space="preserve"> w</w:t>
            </w:r>
            <w:r w:rsidRPr="00CA73D3">
              <w:rPr>
                <w:b/>
                <w:i/>
                <w:color w:val="auto"/>
              </w:rPr>
              <w:t xml:space="preserve"> odniesieniu do podwójnego wykorzystania infrastruktury transportowej</w:t>
            </w:r>
            <w:r w:rsidRPr="00CA73D3">
              <w:rPr>
                <w:color w:val="auto"/>
              </w:rPr>
              <w:t>;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27"/>
          <w:footerReference w:type="default" r:id="rId28"/>
          <w:footerReference w:type="first" r:id="rId29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</w:rPr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18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</w:rPr>
        <w:t>&lt;NumAm&gt;</w:t>
      </w:r>
      <w:r w:rsidRPr="00CA73D3">
        <w:rPr>
          <w:color w:val="auto"/>
        </w:rPr>
        <w:t>18</w:t>
      </w:r>
      <w:r w:rsidRPr="00CA73D3">
        <w:rPr>
          <w:rStyle w:val="HideTWBExt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</w:rPr>
        <w:t>&lt;/Members&gt;</w:t>
      </w:r>
    </w:p>
    <w:p w:rsidR="00931865" w:rsidRPr="00CA73D3" w:rsidRDefault="00E016B9">
      <w:r w:rsidRPr="00CA73D3">
        <w:rPr>
          <w:rStyle w:val="HideTWBExt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</w:rPr>
        <w:t>&lt;/AuNomDe&gt;</w:t>
      </w:r>
    </w:p>
    <w:p w:rsidR="00931865" w:rsidRPr="00CA73D3" w:rsidRDefault="00E016B9">
      <w:r w:rsidRPr="00CA73D3">
        <w:rPr>
          <w:rStyle w:val="HideTWBExt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</w:rPr>
        <w:t>&lt;TitreType&gt;</w:t>
      </w:r>
      <w:r w:rsidRPr="00CA73D3">
        <w:t>Sprawozdanie</w:t>
      </w:r>
      <w:r w:rsidRPr="00CA73D3">
        <w:rPr>
          <w:rStyle w:val="HideTWBExt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</w:rPr>
        <w:t>&lt;Article&gt;</w:t>
      </w:r>
      <w:r w:rsidRPr="00CA73D3">
        <w:rPr>
          <w:color w:val="auto"/>
        </w:rPr>
        <w:t>Artykuł 4 – ustęp 2 – litera a – wprowadzenie</w:t>
      </w:r>
      <w:r w:rsidRPr="00CA73D3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a)</w:t>
            </w:r>
            <w:r w:rsidRPr="00CA73D3">
              <w:rPr>
                <w:color w:val="auto"/>
              </w:rPr>
              <w:tab/>
            </w:r>
            <w:r w:rsidRPr="00CA73D3">
              <w:rPr>
                <w:b/>
                <w:i/>
                <w:color w:val="auto"/>
              </w:rPr>
              <w:t>do </w:t>
            </w:r>
            <w:r w:rsidRPr="00CA73D3">
              <w:rPr>
                <w:color w:val="auto"/>
              </w:rPr>
              <w:t>30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615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493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EUR na cele szczegółowe, o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których mowa w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art.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3 ust.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2 lit.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a), w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tym: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a)</w:t>
            </w:r>
            <w:r w:rsidRPr="00CA73D3">
              <w:rPr>
                <w:color w:val="auto"/>
              </w:rPr>
              <w:tab/>
              <w:t>30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615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493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EUR na cele szczegółowe, o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których mowa w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art.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3 ust.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2 lit.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a), w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tym: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30"/>
          <w:footerReference w:type="default" r:id="rId31"/>
          <w:footerReference w:type="first" r:id="rId3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  <w:color w:val="auto"/>
        </w:rPr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  <w:color w:val="auto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  <w:color w:val="auto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  <w:color w:val="auto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  <w:color w:val="auto"/>
        </w:rPr>
        <w:t>&lt;NumAm&gt;</w:t>
      </w:r>
      <w:r w:rsidRPr="00CA73D3">
        <w:rPr>
          <w:color w:val="auto"/>
        </w:rPr>
        <w:t>19</w:t>
      </w:r>
      <w:r w:rsidRPr="00CA73D3">
        <w:rPr>
          <w:rStyle w:val="HideTWBExt"/>
          <w:color w:val="auto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  <w:color w:val="auto"/>
        </w:rPr>
        <w:t>&lt;NumAm&gt;</w:t>
      </w:r>
      <w:r w:rsidRPr="00CA73D3">
        <w:rPr>
          <w:color w:val="auto"/>
        </w:rPr>
        <w:t>19</w:t>
      </w:r>
      <w:r w:rsidRPr="00CA73D3">
        <w:rPr>
          <w:rStyle w:val="HideTWBExt"/>
          <w:color w:val="auto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  <w:color w:val="auto"/>
        </w:rPr>
        <w:t>&lt;/Members&gt;</w:t>
      </w:r>
    </w:p>
    <w:p w:rsidR="00931865" w:rsidRPr="00CA73D3" w:rsidRDefault="00E016B9">
      <w:r w:rsidRPr="00CA73D3">
        <w:rPr>
          <w:rStyle w:val="HideTWBExt"/>
          <w:color w:val="auto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  <w:color w:val="auto"/>
        </w:rPr>
        <w:t>&lt;/AuNomDe&gt;</w:t>
      </w:r>
    </w:p>
    <w:p w:rsidR="00931865" w:rsidRPr="00CA73D3" w:rsidRDefault="00E016B9">
      <w:r w:rsidRPr="00CA73D3">
        <w:rPr>
          <w:rStyle w:val="HideTWBExt"/>
          <w:color w:val="auto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  <w:color w:val="auto"/>
        </w:rPr>
        <w:t>&lt;TitreType&gt;</w:t>
      </w:r>
      <w:r w:rsidRPr="00CA73D3">
        <w:t>Sprawozdanie</w:t>
      </w:r>
      <w:r w:rsidRPr="00CA73D3">
        <w:rPr>
          <w:rStyle w:val="HideTWBExt"/>
          <w:color w:val="auto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  <w:color w:val="auto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  <w:color w:val="auto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  <w:color w:val="auto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  <w:color w:val="auto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  <w:color w:val="auto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  <w:color w:val="auto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&lt;Article&gt;</w:t>
      </w:r>
      <w:r w:rsidRPr="00CA73D3">
        <w:rPr>
          <w:color w:val="auto"/>
        </w:rPr>
        <w:t>Artykuł 4 – ustęp 2 – litera b</w:t>
      </w:r>
      <w:r w:rsidRPr="00CA73D3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b)</w:t>
            </w:r>
            <w:r w:rsidRPr="00CA73D3">
              <w:rPr>
                <w:color w:val="auto"/>
              </w:rPr>
              <w:tab/>
            </w:r>
            <w:r w:rsidRPr="00CA73D3">
              <w:rPr>
                <w:b/>
                <w:i/>
                <w:color w:val="auto"/>
              </w:rPr>
              <w:t>do </w:t>
            </w:r>
            <w:r w:rsidRPr="00CA73D3">
              <w:rPr>
                <w:color w:val="auto"/>
              </w:rPr>
              <w:t>8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650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EUR na cele szczegółowe, o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których mowa w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art.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3 ust.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2 lit.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b), z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czego maksymalnie 10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% na projekty transgraniczne w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dziedzinie energii odnawialnej;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b)</w:t>
            </w:r>
            <w:r w:rsidRPr="00CA73D3">
              <w:rPr>
                <w:color w:val="auto"/>
              </w:rPr>
              <w:tab/>
              <w:t>8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650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EUR na cele szczegółowe, o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których mowa w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art.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3 ust.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2 lit.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b), z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czego maksymalnie 10% na projekty transgraniczne w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dziedzinie energii odnawialnej;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  <w:color w:val="auto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  <w:color w:val="auto"/>
        </w:rPr>
        <w:t>&lt;/Original&gt;</w:t>
      </w:r>
    </w:p>
    <w:p w:rsidR="00931865" w:rsidRPr="00CA73D3" w:rsidRDefault="00E016B9">
      <w:pPr>
        <w:pStyle w:val="Olang"/>
        <w:rPr>
          <w:color w:val="auto"/>
        </w:rPr>
        <w:sectPr w:rsidR="00931865" w:rsidRPr="00CA73D3">
          <w:footerReference w:type="even" r:id="rId33"/>
          <w:footerReference w:type="default" r:id="rId34"/>
          <w:footerReference w:type="first" r:id="rId3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CA73D3">
        <w:rPr>
          <w:rStyle w:val="HideTWBExt"/>
          <w:color w:val="auto"/>
        </w:rPr>
        <w:t>&lt;/Amend&gt;</w:t>
      </w:r>
    </w:p>
    <w:p w:rsidR="00931865" w:rsidRPr="00CA73D3" w:rsidRDefault="00E016B9">
      <w:pPr>
        <w:pStyle w:val="Interstitial1"/>
        <w:rPr>
          <w:color w:val="auto"/>
        </w:rPr>
      </w:pPr>
      <w:r w:rsidRPr="00CA73D3">
        <w:rPr>
          <w:rStyle w:val="HideTWBExt"/>
          <w:color w:val="auto"/>
        </w:rPr>
        <w:t>&lt;Amend&gt;&lt;Date&gt;</w:t>
      </w:r>
      <w:r w:rsidRPr="00CA73D3">
        <w:rPr>
          <w:rStyle w:val="HideTWBInt"/>
        </w:rPr>
        <w:t>{06/12/2018}</w:t>
      </w:r>
      <w:r w:rsidRPr="00CA73D3">
        <w:rPr>
          <w:color w:val="auto"/>
        </w:rPr>
        <w:t>6.12.2018</w:t>
      </w:r>
      <w:r w:rsidRPr="00CA73D3">
        <w:rPr>
          <w:rStyle w:val="HideTWBExt"/>
          <w:color w:val="auto"/>
        </w:rPr>
        <w:t>&lt;/Date&gt;</w:t>
      </w:r>
      <w:r w:rsidRPr="00CA73D3">
        <w:rPr>
          <w:color w:val="auto"/>
        </w:rPr>
        <w:tab/>
      </w:r>
      <w:r w:rsidRPr="00CA73D3">
        <w:rPr>
          <w:rStyle w:val="HideTWBExt"/>
          <w:color w:val="auto"/>
        </w:rPr>
        <w:t>&lt;ANo&gt;</w:t>
      </w:r>
      <w:r w:rsidRPr="00CA73D3">
        <w:rPr>
          <w:color w:val="auto"/>
        </w:rPr>
        <w:t>A8-0409</w:t>
      </w:r>
      <w:r w:rsidRPr="00CA73D3">
        <w:rPr>
          <w:rStyle w:val="HideTWBExt"/>
          <w:color w:val="auto"/>
        </w:rPr>
        <w:t>&lt;/ANo&gt;</w:t>
      </w:r>
      <w:r w:rsidRPr="00CA73D3">
        <w:rPr>
          <w:color w:val="auto"/>
        </w:rPr>
        <w:t>/</w:t>
      </w:r>
      <w:r w:rsidRPr="00CA73D3">
        <w:rPr>
          <w:rStyle w:val="HideTWBExt"/>
          <w:color w:val="auto"/>
        </w:rPr>
        <w:t>&lt;NumAm&gt;</w:t>
      </w:r>
      <w:r w:rsidRPr="00CA73D3">
        <w:rPr>
          <w:color w:val="auto"/>
        </w:rPr>
        <w:t>20</w:t>
      </w:r>
      <w:r w:rsidRPr="00CA73D3">
        <w:rPr>
          <w:rStyle w:val="HideTWBExt"/>
          <w:color w:val="auto"/>
        </w:rPr>
        <w:t>&lt;/NumAm&gt;</w:t>
      </w:r>
    </w:p>
    <w:p w:rsidR="00931865" w:rsidRPr="00CA73D3" w:rsidRDefault="00E016B9">
      <w:pPr>
        <w:pStyle w:val="AMNumberTabs"/>
        <w:rPr>
          <w:color w:val="auto"/>
        </w:rPr>
      </w:pPr>
      <w:r w:rsidRPr="00CA73D3">
        <w:rPr>
          <w:color w:val="auto"/>
        </w:rPr>
        <w:t>Poprawka</w:t>
      </w:r>
      <w:r w:rsidRPr="00CA73D3">
        <w:rPr>
          <w:color w:val="auto"/>
        </w:rPr>
        <w:tab/>
      </w:r>
      <w:r w:rsidRPr="00CA73D3">
        <w:rPr>
          <w:color w:val="auto"/>
        </w:rPr>
        <w:tab/>
      </w:r>
      <w:r w:rsidRPr="00CA73D3">
        <w:rPr>
          <w:rStyle w:val="HideTWBExt"/>
          <w:color w:val="auto"/>
        </w:rPr>
        <w:t>&lt;NumAm&gt;</w:t>
      </w:r>
      <w:r w:rsidRPr="00CA73D3">
        <w:rPr>
          <w:color w:val="auto"/>
        </w:rPr>
        <w:t>20</w:t>
      </w:r>
      <w:r w:rsidRPr="00CA73D3">
        <w:rPr>
          <w:rStyle w:val="HideTWBExt"/>
          <w:color w:val="auto"/>
        </w:rPr>
        <w:t>&lt;/NumAm&gt;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&lt;RepeatBlock-By&gt;&lt;Members&gt;</w:t>
      </w:r>
      <w:r w:rsidRPr="00CA73D3">
        <w:rPr>
          <w:color w:val="auto"/>
        </w:rPr>
        <w:t>Angelo Ciocca</w:t>
      </w:r>
      <w:r w:rsidRPr="00CA73D3">
        <w:rPr>
          <w:rStyle w:val="HideTWBExt"/>
          <w:color w:val="auto"/>
        </w:rPr>
        <w:t>&lt;/Members&gt;</w:t>
      </w:r>
    </w:p>
    <w:p w:rsidR="00931865" w:rsidRPr="00CA73D3" w:rsidRDefault="00E016B9">
      <w:r w:rsidRPr="00CA73D3">
        <w:rPr>
          <w:rStyle w:val="HideTWBExt"/>
          <w:color w:val="auto"/>
        </w:rPr>
        <w:t>&lt;AuNomDe&gt;</w:t>
      </w:r>
      <w:r w:rsidRPr="00CA73D3">
        <w:rPr>
          <w:rStyle w:val="HideTWBInt"/>
        </w:rPr>
        <w:t>{ENF}</w:t>
      </w:r>
      <w:r w:rsidRPr="00CA73D3">
        <w:t>w imieniu grupy ENF</w:t>
      </w:r>
      <w:r w:rsidRPr="00CA73D3">
        <w:rPr>
          <w:rStyle w:val="HideTWBExt"/>
          <w:color w:val="auto"/>
        </w:rPr>
        <w:t>&lt;/AuNomDe&gt;</w:t>
      </w:r>
    </w:p>
    <w:p w:rsidR="00931865" w:rsidRPr="00CA73D3" w:rsidRDefault="00E016B9">
      <w:r w:rsidRPr="00CA73D3">
        <w:rPr>
          <w:rStyle w:val="HideTWBExt"/>
          <w:color w:val="auto"/>
        </w:rPr>
        <w:t>&lt;/RepeatBlock-By&gt;</w:t>
      </w:r>
    </w:p>
    <w:p w:rsidR="00931865" w:rsidRPr="00CA73D3" w:rsidRDefault="00E016B9">
      <w:pPr>
        <w:pStyle w:val="ProjRap"/>
      </w:pPr>
      <w:r w:rsidRPr="00CA73D3">
        <w:rPr>
          <w:rStyle w:val="HideTWBExt"/>
          <w:color w:val="auto"/>
        </w:rPr>
        <w:t>&lt;TitreType&gt;</w:t>
      </w:r>
      <w:r w:rsidRPr="00CA73D3">
        <w:t>Sprawozdanie</w:t>
      </w:r>
      <w:r w:rsidRPr="00CA73D3">
        <w:rPr>
          <w:rStyle w:val="HideTWBExt"/>
          <w:color w:val="auto"/>
        </w:rPr>
        <w:t>&lt;/TitreType&gt;</w:t>
      </w:r>
      <w:r w:rsidRPr="00CA73D3">
        <w:tab/>
        <w:t>A8-0409/2018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&lt;Rapporteur&gt;</w:t>
      </w:r>
      <w:r w:rsidRPr="00CA73D3">
        <w:rPr>
          <w:color w:val="auto"/>
        </w:rPr>
        <w:t>Marian-Jean Marinescu</w:t>
      </w:r>
      <w:r w:rsidRPr="00CA73D3">
        <w:rPr>
          <w:rStyle w:val="HideTWBExt"/>
          <w:color w:val="auto"/>
        </w:rPr>
        <w:t>&lt;/Rapporteur&gt;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  <w:color w:val="auto"/>
        </w:rPr>
        <w:t>&lt;Titre&gt;</w:t>
      </w:r>
      <w:r w:rsidRPr="00CA73D3">
        <w:rPr>
          <w:color w:val="auto"/>
        </w:rPr>
        <w:t xml:space="preserve">Ustanowienie instrumentu „Łącząc Europę” </w:t>
      </w:r>
      <w:r w:rsidRPr="00CA73D3">
        <w:rPr>
          <w:rStyle w:val="HideTWBExt"/>
          <w:color w:val="auto"/>
        </w:rPr>
        <w:t>&lt;/Titre&gt;</w:t>
      </w:r>
    </w:p>
    <w:p w:rsidR="00931865" w:rsidRPr="00CA73D3" w:rsidRDefault="00E016B9">
      <w:pPr>
        <w:pStyle w:val="Normal12"/>
        <w:rPr>
          <w:color w:val="auto"/>
        </w:rPr>
      </w:pPr>
      <w:r w:rsidRPr="00CA73D3">
        <w:rPr>
          <w:rStyle w:val="HideTWBExt"/>
          <w:color w:val="auto"/>
        </w:rPr>
        <w:t>&lt;DocRef&gt;</w:t>
      </w:r>
      <w:r w:rsidRPr="00CA73D3">
        <w:rPr>
          <w:color w:val="auto"/>
        </w:rPr>
        <w:t>(COM(2018)0438 – C8-0255/2018 – 2018/0228(COD))</w:t>
      </w:r>
      <w:r w:rsidRPr="00CA73D3">
        <w:rPr>
          <w:rStyle w:val="HideTWBExt"/>
          <w:color w:val="auto"/>
        </w:rPr>
        <w:t>&lt;/DocRef&gt;</w:t>
      </w:r>
    </w:p>
    <w:p w:rsidR="00931865" w:rsidRPr="00CA73D3" w:rsidRDefault="00931865">
      <w:pPr>
        <w:pStyle w:val="Normal12"/>
        <w:rPr>
          <w:color w:val="auto"/>
        </w:rPr>
      </w:pP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&lt;DocAmend&gt;</w:t>
      </w:r>
      <w:r w:rsidRPr="00CA73D3">
        <w:rPr>
          <w:color w:val="auto"/>
        </w:rPr>
        <w:t>Wniosek dotyczący rozporządzenia</w:t>
      </w:r>
      <w:r w:rsidRPr="00CA73D3">
        <w:rPr>
          <w:rStyle w:val="HideTWBExt"/>
          <w:color w:val="auto"/>
        </w:rPr>
        <w:t>&lt;/DocAmend&gt;</w:t>
      </w:r>
    </w:p>
    <w:p w:rsidR="00931865" w:rsidRPr="00CA73D3" w:rsidRDefault="00E016B9">
      <w:pPr>
        <w:pStyle w:val="NormalBold"/>
        <w:rPr>
          <w:color w:val="auto"/>
        </w:rPr>
      </w:pPr>
      <w:r w:rsidRPr="00CA73D3">
        <w:rPr>
          <w:rStyle w:val="HideTWBExt"/>
          <w:color w:val="auto"/>
        </w:rPr>
        <w:t>&lt;Article&gt;</w:t>
      </w:r>
      <w:r w:rsidRPr="00CA73D3">
        <w:rPr>
          <w:color w:val="auto"/>
        </w:rPr>
        <w:t>Artykuł 4 – ustęp 2 – litera c</w:t>
      </w:r>
      <w:r w:rsidRPr="00CA73D3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1865" w:rsidRPr="00CA73D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931865" w:rsidRPr="00CA73D3" w:rsidRDefault="00931865"/>
        </w:tc>
      </w:tr>
      <w:tr w:rsidR="00931865" w:rsidRPr="00CA73D3">
        <w:trPr>
          <w:trHeight w:val="240"/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ColumnHeading"/>
              <w:rPr>
                <w:color w:val="auto"/>
              </w:rPr>
            </w:pPr>
            <w:r w:rsidRPr="00CA73D3">
              <w:rPr>
                <w:color w:val="auto"/>
              </w:rPr>
              <w:t>Poprawka</w:t>
            </w:r>
          </w:p>
        </w:tc>
      </w:tr>
      <w:tr w:rsidR="00931865" w:rsidRPr="00CA73D3">
        <w:trPr>
          <w:jc w:val="center"/>
        </w:trPr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c)</w:t>
            </w:r>
            <w:r w:rsidRPr="00CA73D3">
              <w:rPr>
                <w:color w:val="auto"/>
              </w:rPr>
              <w:tab/>
            </w:r>
            <w:r w:rsidRPr="00CA73D3">
              <w:rPr>
                <w:b/>
                <w:i/>
                <w:color w:val="auto"/>
              </w:rPr>
              <w:t>do </w:t>
            </w:r>
            <w:r w:rsidRPr="00CA73D3">
              <w:rPr>
                <w:color w:val="auto"/>
              </w:rPr>
              <w:t>3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EUR na cele szczegółowe, o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których mowa w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art.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3 ust.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2 lit.</w:t>
            </w:r>
            <w:r w:rsidRPr="00CA73D3">
              <w:rPr>
                <w:b/>
                <w:i/>
                <w:color w:val="auto"/>
              </w:rPr>
              <w:t> </w:t>
            </w:r>
            <w:r w:rsidRPr="00CA73D3">
              <w:rPr>
                <w:color w:val="auto"/>
              </w:rPr>
              <w:t>c).</w:t>
            </w:r>
          </w:p>
        </w:tc>
        <w:tc>
          <w:tcPr>
            <w:tcW w:w="4876" w:type="dxa"/>
          </w:tcPr>
          <w:p w:rsidR="00931865" w:rsidRPr="00CA73D3" w:rsidRDefault="00E016B9">
            <w:pPr>
              <w:pStyle w:val="Normal6"/>
              <w:rPr>
                <w:color w:val="auto"/>
              </w:rPr>
            </w:pPr>
            <w:r w:rsidRPr="00CA73D3">
              <w:rPr>
                <w:color w:val="auto"/>
              </w:rPr>
              <w:t>c)</w:t>
            </w:r>
            <w:r w:rsidRPr="00CA73D3">
              <w:rPr>
                <w:color w:val="auto"/>
              </w:rPr>
              <w:tab/>
              <w:t>3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000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EUR na cele szczegółowe, o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których mowa w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art.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3 ust.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2 lit.</w:t>
            </w:r>
            <w:r w:rsidRPr="00CA73D3">
              <w:rPr>
                <w:b/>
                <w:i/>
                <w:color w:val="auto"/>
              </w:rPr>
              <w:t xml:space="preserve"> </w:t>
            </w:r>
            <w:r w:rsidRPr="00CA73D3">
              <w:rPr>
                <w:color w:val="auto"/>
              </w:rPr>
              <w:t>c).</w:t>
            </w:r>
          </w:p>
        </w:tc>
      </w:tr>
    </w:tbl>
    <w:p w:rsidR="00931865" w:rsidRPr="00CA73D3" w:rsidRDefault="00E016B9" w:rsidP="00181786">
      <w:pPr>
        <w:pStyle w:val="Olang"/>
        <w:rPr>
          <w:color w:val="auto"/>
        </w:rPr>
      </w:pPr>
      <w:r w:rsidRPr="00CA73D3">
        <w:rPr>
          <w:color w:val="auto"/>
        </w:rPr>
        <w:t xml:space="preserve">Or. </w:t>
      </w:r>
      <w:r w:rsidRPr="00CA73D3">
        <w:rPr>
          <w:rStyle w:val="HideTWBExt"/>
          <w:color w:val="auto"/>
        </w:rPr>
        <w:t>&lt;Original&gt;</w:t>
      </w:r>
      <w:r w:rsidRPr="00CA73D3">
        <w:rPr>
          <w:rStyle w:val="HideTWBInt"/>
        </w:rPr>
        <w:t>{EN}</w:t>
      </w:r>
      <w:r w:rsidRPr="00CA73D3">
        <w:rPr>
          <w:color w:val="auto"/>
        </w:rPr>
        <w:t>en</w:t>
      </w:r>
      <w:r w:rsidRPr="00CA73D3">
        <w:rPr>
          <w:rStyle w:val="HideTWBExt"/>
          <w:color w:val="auto"/>
        </w:rPr>
        <w:t>&lt;/Original&gt;</w:t>
      </w:r>
    </w:p>
    <w:p w:rsidR="00931865" w:rsidRPr="00CA73D3" w:rsidRDefault="00E016B9">
      <w:pPr>
        <w:pStyle w:val="Olang"/>
        <w:rPr>
          <w:color w:val="auto"/>
        </w:rPr>
      </w:pPr>
      <w:r w:rsidRPr="00CA73D3">
        <w:rPr>
          <w:rStyle w:val="HideTWBExt"/>
          <w:color w:val="auto"/>
        </w:rPr>
        <w:t>&lt;/Amend&gt;&lt;/RepeatBlock-Amend&gt;</w:t>
      </w:r>
    </w:p>
    <w:sectPr w:rsidR="00931865" w:rsidRPr="00CA73D3">
      <w:footerReference w:type="even" r:id="rId36"/>
      <w:footerReference w:type="default" r:id="rId37"/>
      <w:footerReference w:type="first" r:id="rId38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A2" w:rsidRPr="00CA73D3" w:rsidRDefault="00E016B9">
      <w:r w:rsidRPr="00CA73D3">
        <w:separator/>
      </w:r>
    </w:p>
  </w:endnote>
  <w:endnote w:type="continuationSeparator" w:id="0">
    <w:p w:rsidR="00440BA2" w:rsidRPr="00CA73D3" w:rsidRDefault="00E016B9">
      <w:r w:rsidRPr="00CA73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Pr="00CA73D3" w:rsidRDefault="00E016B9">
    <w:pPr>
      <w:pStyle w:val="Footer"/>
    </w:pPr>
    <w:r w:rsidRPr="00CA73D3">
      <w:rPr>
        <w:rStyle w:val="HideTWBExt"/>
      </w:rPr>
      <w:t>&lt;PathFdR&gt;</w:t>
    </w:r>
    <w:r w:rsidRPr="00CA73D3">
      <w:t>AM\P8_AMA(2018)0409(011-020)EN.docx</w:t>
    </w:r>
    <w:r w:rsidRPr="00CA73D3">
      <w:rPr>
        <w:rStyle w:val="HideTWBExt"/>
      </w:rPr>
      <w:t>&lt;/PathFdR&gt;</w:t>
    </w:r>
    <w:r w:rsidRPr="00CA73D3">
      <w:tab/>
    </w:r>
    <w:r w:rsidRPr="00CA73D3">
      <w:tab/>
      <w:t>PE</w:t>
    </w:r>
    <w:r w:rsidRPr="00CA73D3">
      <w:rPr>
        <w:rStyle w:val="HideTWBExt"/>
      </w:rPr>
      <w:t>&lt;NoPE&gt;</w:t>
    </w:r>
    <w:r w:rsidRPr="00CA73D3">
      <w:t>631.579</w:t>
    </w:r>
    <w:r w:rsidRPr="00CA73D3">
      <w:rPr>
        <w:rStyle w:val="HideTWBExt"/>
      </w:rPr>
      <w:t>&lt;/NoPE&gt;&lt;Version&gt;</w:t>
    </w:r>
    <w:r w:rsidRPr="00CA73D3">
      <w:t>v01-00</w:t>
    </w:r>
    <w:r w:rsidRPr="00CA73D3">
      <w:rPr>
        <w:rStyle w:val="HideTWBExt"/>
      </w:rPr>
      <w:t>&lt;/Version&gt;</w:t>
    </w:r>
  </w:p>
  <w:p w:rsidR="00931865" w:rsidRPr="00CA73D3" w:rsidRDefault="00E016B9">
    <w:pPr>
      <w:pStyle w:val="Footer2"/>
    </w:pPr>
    <w:r w:rsidRPr="00CA73D3">
      <w:t>EN</w:t>
    </w:r>
    <w:r w:rsidRPr="00CA73D3">
      <w:tab/>
    </w:r>
    <w:r w:rsidRPr="00CA73D3">
      <w:rPr>
        <w:rStyle w:val="Footer2Middle"/>
      </w:rPr>
      <w:t>United in diversity</w:t>
    </w:r>
    <w:r w:rsidRPr="00CA73D3">
      <w:tab/>
      <w:t>EN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CA73D3" w:rsidRDefault="00CA73D3" w:rsidP="00CA73D3">
    <w:pPr>
      <w:pStyle w:val="Footer"/>
    </w:pPr>
    <w:r w:rsidRPr="00CA73D3">
      <w:rPr>
        <w:rStyle w:val="HideTWBExt"/>
      </w:rPr>
      <w:t>&lt;PathFdR&gt;</w:t>
    </w:r>
    <w:r w:rsidRPr="00CA73D3">
      <w:t>AM\1171561PL.docx</w:t>
    </w:r>
    <w:r w:rsidRPr="00CA73D3">
      <w:rPr>
        <w:rStyle w:val="HideTWBExt"/>
      </w:rPr>
      <w:t>&lt;/PathFdR&gt;</w:t>
    </w:r>
    <w:r w:rsidRPr="00CA73D3">
      <w:tab/>
    </w:r>
    <w:r w:rsidRPr="00CA73D3">
      <w:tab/>
      <w:t>PE</w:t>
    </w:r>
    <w:r w:rsidRPr="00CA73D3">
      <w:rPr>
        <w:rStyle w:val="HideTWBExt"/>
      </w:rPr>
      <w:t>&lt;NoPE&gt;</w:t>
    </w:r>
    <w:r w:rsidRPr="00CA73D3">
      <w:t>631.579</w:t>
    </w:r>
    <w:r w:rsidRPr="00CA73D3">
      <w:rPr>
        <w:rStyle w:val="HideTWBExt"/>
      </w:rPr>
      <w:t>&lt;/NoPE&gt;&lt;Version&gt;</w:t>
    </w:r>
    <w:r w:rsidRPr="00CA73D3">
      <w:t>v01-00</w:t>
    </w:r>
    <w:r w:rsidRPr="00CA73D3">
      <w:rPr>
        <w:rStyle w:val="HideTWBExt"/>
      </w:rPr>
      <w:t>&lt;/Version&gt;</w:t>
    </w:r>
  </w:p>
  <w:p w:rsidR="00931865" w:rsidRPr="00CA73D3" w:rsidRDefault="00CA73D3" w:rsidP="00CA73D3">
    <w:pPr>
      <w:pStyle w:val="Footer2"/>
      <w:tabs>
        <w:tab w:val="center" w:pos="4535"/>
        <w:tab w:val="right" w:pos="9921"/>
      </w:tabs>
    </w:pPr>
    <w:r w:rsidRPr="00CA73D3">
      <w:t>PL</w:t>
    </w:r>
    <w:r w:rsidRPr="00CA73D3">
      <w:tab/>
    </w:r>
    <w:r w:rsidRPr="00CA73D3">
      <w:rPr>
        <w:b w:val="0"/>
        <w:i/>
        <w:color w:val="C0C0C0"/>
        <w:sz w:val="22"/>
      </w:rPr>
      <w:t>Zjednoczona w różnorodności</w:t>
    </w:r>
    <w:r w:rsidRPr="00CA73D3">
      <w:tab/>
      <w:t>PL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Pr="00CA73D3" w:rsidRDefault="00E016B9">
    <w:pPr>
      <w:pStyle w:val="Footer"/>
    </w:pPr>
    <w:r w:rsidRPr="00CA73D3">
      <w:rPr>
        <w:rStyle w:val="HideTWBExt"/>
      </w:rPr>
      <w:t>&lt;PathFdR&gt;</w:t>
    </w:r>
    <w:r w:rsidRPr="00CA73D3">
      <w:t>AM\P8_AMA(2018)0409(011-020)EN.docx</w:t>
    </w:r>
    <w:r w:rsidRPr="00CA73D3">
      <w:rPr>
        <w:rStyle w:val="HideTWBExt"/>
      </w:rPr>
      <w:t>&lt;/PathFdR&gt;</w:t>
    </w:r>
    <w:r w:rsidRPr="00CA73D3">
      <w:tab/>
    </w:r>
    <w:r w:rsidRPr="00CA73D3">
      <w:tab/>
      <w:t>PE</w:t>
    </w:r>
    <w:r w:rsidRPr="00CA73D3">
      <w:rPr>
        <w:rStyle w:val="HideTWBExt"/>
      </w:rPr>
      <w:t>&lt;NoPE&gt;</w:t>
    </w:r>
    <w:r w:rsidRPr="00CA73D3">
      <w:t>631.579</w:t>
    </w:r>
    <w:r w:rsidRPr="00CA73D3">
      <w:rPr>
        <w:rStyle w:val="HideTWBExt"/>
      </w:rPr>
      <w:t>&lt;/NoPE&gt;&lt;Version&gt;</w:t>
    </w:r>
    <w:r w:rsidRPr="00CA73D3">
      <w:t>v01-00</w:t>
    </w:r>
    <w:r w:rsidRPr="00CA73D3">
      <w:rPr>
        <w:rStyle w:val="HideTWBExt"/>
      </w:rPr>
      <w:t>&lt;/Version&gt;</w:t>
    </w:r>
  </w:p>
  <w:p w:rsidR="00931865" w:rsidRPr="00CA73D3" w:rsidRDefault="00E016B9">
    <w:pPr>
      <w:pStyle w:val="Footer2"/>
    </w:pPr>
    <w:r w:rsidRPr="00CA73D3">
      <w:t>EN</w:t>
    </w:r>
    <w:r w:rsidRPr="00CA73D3">
      <w:tab/>
    </w:r>
    <w:r w:rsidRPr="00CA73D3">
      <w:rPr>
        <w:rStyle w:val="Footer2Middle"/>
      </w:rPr>
      <w:t>United in diversity</w:t>
    </w:r>
    <w:r w:rsidRPr="00CA73D3">
      <w:tab/>
      <w:t>EN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3" w:rsidRPr="00283784" w:rsidRDefault="00CA73D3" w:rsidP="00CA73D3">
    <w:pPr>
      <w:pStyle w:val="Footer"/>
      <w:rPr>
        <w:lang w:val="de-DE"/>
      </w:rPr>
    </w:pPr>
    <w:r w:rsidRPr="00283784">
      <w:rPr>
        <w:rStyle w:val="HideTWBExt"/>
        <w:lang w:val="de-DE"/>
      </w:rPr>
      <w:t>&lt;PathFdR&gt;</w:t>
    </w:r>
    <w:r w:rsidRPr="00283784">
      <w:rPr>
        <w:lang w:val="de-DE"/>
      </w:rPr>
      <w:t>AM\1171561PL.docx</w:t>
    </w:r>
    <w:r w:rsidRPr="00283784">
      <w:rPr>
        <w:rStyle w:val="HideTWBExt"/>
        <w:lang w:val="de-DE"/>
      </w:rPr>
      <w:t>&lt;/PathFdR&gt;</w:t>
    </w:r>
    <w:r w:rsidRPr="00283784">
      <w:rPr>
        <w:lang w:val="de-DE"/>
      </w:rPr>
      <w:tab/>
    </w:r>
    <w:r w:rsidRPr="00283784">
      <w:rPr>
        <w:lang w:val="de-DE"/>
      </w:rPr>
      <w:tab/>
      <w:t>PE</w:t>
    </w:r>
    <w:r w:rsidRPr="00283784">
      <w:rPr>
        <w:rStyle w:val="HideTWBExt"/>
        <w:lang w:val="de-DE"/>
      </w:rPr>
      <w:t>&lt;NoPE&gt;</w:t>
    </w:r>
    <w:r w:rsidRPr="00283784">
      <w:rPr>
        <w:lang w:val="de-DE"/>
      </w:rPr>
      <w:t>631.579</w:t>
    </w:r>
    <w:r w:rsidRPr="00283784">
      <w:rPr>
        <w:rStyle w:val="HideTWBExt"/>
        <w:lang w:val="de-DE"/>
      </w:rPr>
      <w:t>&lt;/NoPE&gt;&lt;Version&gt;</w:t>
    </w:r>
    <w:r w:rsidRPr="00283784">
      <w:rPr>
        <w:lang w:val="de-DE"/>
      </w:rPr>
      <w:t>v01-00</w:t>
    </w:r>
    <w:r w:rsidRPr="00283784">
      <w:rPr>
        <w:rStyle w:val="HideTWBExt"/>
        <w:lang w:val="de-DE"/>
      </w:rPr>
      <w:t>&lt;/Version&gt;</w:t>
    </w:r>
  </w:p>
  <w:p w:rsidR="00931865" w:rsidRDefault="00CA73D3" w:rsidP="00CA73D3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CA73D3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65" w:rsidRDefault="00E016B9">
    <w:pPr>
      <w:pStyle w:val="Footer"/>
    </w:pPr>
    <w:r>
      <w:rPr>
        <w:rStyle w:val="HideTWBExt"/>
      </w:rPr>
      <w:t>&lt;PathFdR&gt;</w:t>
    </w:r>
    <w:r>
      <w:t>AM\P8_AMA(2018)0409(011-020)EN.docx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631.579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931865" w:rsidRDefault="00E016B9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A2" w:rsidRPr="00CA73D3" w:rsidRDefault="00E016B9">
      <w:r w:rsidRPr="00CA73D3">
        <w:separator/>
      </w:r>
    </w:p>
  </w:footnote>
  <w:footnote w:type="continuationSeparator" w:id="0">
    <w:p w:rsidR="00440BA2" w:rsidRPr="00CA73D3" w:rsidRDefault="00E016B9">
      <w:r w:rsidRPr="00CA73D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84" w:rsidRDefault="0028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84" w:rsidRDefault="00283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84" w:rsidRDefault="00283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1.579"/>
    <w:docVar w:name="TXTPEorAP" w:val="PE"/>
    <w:docVar w:name="TXTVERSION" w:val="01-00"/>
  </w:docVars>
  <w:rsids>
    <w:rsidRoot w:val="00931865"/>
    <w:rsid w:val="00152AD4"/>
    <w:rsid w:val="00181786"/>
    <w:rsid w:val="00283784"/>
    <w:rsid w:val="00440BA2"/>
    <w:rsid w:val="007E6412"/>
    <w:rsid w:val="00931865"/>
    <w:rsid w:val="00CA73D3"/>
    <w:rsid w:val="00DD20E5"/>
    <w:rsid w:val="00E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FC260-0B35-49B6-BB90-49A79A6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1900</Words>
  <Characters>16415</Characters>
  <Application>Microsoft Office Word</Application>
  <DocSecurity>0</DocSecurity>
  <Lines>656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MUSZYNSKA Katarzyna</cp:lastModifiedBy>
  <cp:revision>2</cp:revision>
  <dcterms:created xsi:type="dcterms:W3CDTF">2018-12-10T15:31:00Z</dcterms:created>
  <dcterms:modified xsi:type="dcterms:W3CDTF">2018-12-10T15:31:00Z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1171561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20181206-223545-073011-522159</vt:lpwstr>
  </property>
  <property fmtid="{D5CDD505-2E9C-101B-9397-08002B2CF9AE}" pid="6" name="FooterPath">
    <vt:lpwstr>AM\1171561PL.docx</vt:lpwstr>
  </property>
  <property fmtid="{D5CDD505-2E9C-101B-9397-08002B2CF9AE}" pid="7" name="PE Number">
    <vt:lpwstr>631.579</vt:lpwstr>
  </property>
  <property fmtid="{D5CDD505-2E9C-101B-9397-08002B2CF9AE}" pid="8" name="UID">
    <vt:lpwstr>eu.europa.europarl-DIN1-2018-0000150166_01.00-en-01.00_text-xml</vt:lpwstr>
  </property>
  <property fmtid="{D5CDD505-2E9C-101B-9397-08002B2CF9AE}" pid="9" name="SDLStudio">
    <vt:lpwstr/>
  </property>
  <property fmtid="{D5CDD505-2E9C-101B-9397-08002B2CF9AE}" pid="10" name="&lt;Extension&gt;">
    <vt:lpwstr>PL</vt:lpwstr>
  </property>
  <property fmtid="{D5CDD505-2E9C-101B-9397-08002B2CF9AE}" pid="11" name="Bookout">
    <vt:lpwstr>OK - 2018/12/10 16:31</vt:lpwstr>
  </property>
</Properties>
</file>