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6302FD" w:rsidRDefault="003277DB">
      <w:pPr>
        <w:pStyle w:val="Interstitial1"/>
      </w:pPr>
      <w:bookmarkStart w:id="0" w:name="_GoBack"/>
      <w:bookmarkEnd w:id="0"/>
      <w:r>
        <w:rPr>
          <w:rStyle w:val="HideTWBExt"/>
        </w:rPr>
        <w:t>&lt;RepeatBlock-Amend&gt;&lt;Amend&gt;&lt;Date&gt;</w:t>
      </w:r>
      <w:r w:rsidRPr="00971432">
        <w:rPr>
          <w:rStyle w:val="HideTWBInt"/>
          <w:color w:val="auto"/>
        </w:rPr>
        <w:t>{06/12/2018}</w:t>
      </w:r>
      <w:r w:rsidRPr="00971432">
        <w:rPr>
          <w:color w:val="auto"/>
        </w:rPr>
        <w:t>6.12.2018</w:t>
      </w:r>
      <w:r>
        <w:rPr>
          <w:rStyle w:val="HideTWBExt"/>
        </w:rPr>
        <w:t>&lt;/Date&gt;</w:t>
      </w:r>
      <w:r w:rsidRPr="00971432">
        <w:rPr>
          <w:color w:val="auto"/>
        </w:rPr>
        <w:tab/>
      </w:r>
      <w:r>
        <w:rPr>
          <w:rStyle w:val="HideTWBExt"/>
        </w:rPr>
        <w:t>&lt;ANo&gt;</w:t>
      </w:r>
      <w:r w:rsidRPr="00971432">
        <w:rPr>
          <w:color w:val="auto"/>
        </w:rPr>
        <w:t>A8-0409</w:t>
      </w:r>
      <w:r>
        <w:rPr>
          <w:rStyle w:val="HideTWBExt"/>
        </w:rPr>
        <w:t>&lt;/ANo&gt;</w:t>
      </w:r>
      <w:r w:rsidRPr="00971432">
        <w:rPr>
          <w:color w:val="auto"/>
        </w:rPr>
        <w:t>/</w:t>
      </w:r>
      <w:r>
        <w:rPr>
          <w:rStyle w:val="HideTWBExt"/>
        </w:rPr>
        <w:t>&lt;NumAm&gt;</w:t>
      </w:r>
      <w:r w:rsidRPr="00971432">
        <w:rPr>
          <w:color w:val="auto"/>
        </w:rPr>
        <w:t>38</w:t>
      </w:r>
      <w:r>
        <w:rPr>
          <w:rStyle w:val="HideTWBExt"/>
        </w:rPr>
        <w:t>&lt;/NumAm&gt;</w:t>
      </w:r>
    </w:p>
    <w:p w:rsidR="00C9129B" w:rsidRPr="006302FD" w:rsidRDefault="003277DB">
      <w:pPr>
        <w:pStyle w:val="AMNumberTabs"/>
      </w:pPr>
      <w:r w:rsidRPr="00971432">
        <w:rPr>
          <w:color w:val="auto"/>
        </w:rPr>
        <w:t>Pozměňovací návrh</w:t>
      </w:r>
      <w:r w:rsidRPr="00971432">
        <w:rPr>
          <w:color w:val="auto"/>
        </w:rPr>
        <w:tab/>
      </w:r>
      <w:r w:rsidRPr="00971432">
        <w:rPr>
          <w:color w:val="auto"/>
        </w:rPr>
        <w:tab/>
      </w:r>
      <w:r>
        <w:rPr>
          <w:rStyle w:val="HideTWBExt"/>
        </w:rPr>
        <w:t>&lt;NumAm&gt;</w:t>
      </w:r>
      <w:r w:rsidRPr="00971432">
        <w:rPr>
          <w:color w:val="auto"/>
        </w:rPr>
        <w:t>38</w:t>
      </w:r>
      <w:r>
        <w:rPr>
          <w:rStyle w:val="HideTWBExt"/>
        </w:rPr>
        <w:t>&lt;/NumAm&gt;</w:t>
      </w:r>
    </w:p>
    <w:p w:rsidR="00C9129B" w:rsidRPr="006302FD" w:rsidRDefault="003277DB">
      <w:pPr>
        <w:pStyle w:val="NormalBold"/>
      </w:pPr>
      <w:r>
        <w:rPr>
          <w:rStyle w:val="HideTWBExt"/>
        </w:rPr>
        <w:t>&lt;RepeatBlock-By&gt;&lt;Members&gt;</w:t>
      </w:r>
      <w:r w:rsidRPr="00971432">
        <w:rPr>
          <w:color w:val="auto"/>
        </w:rPr>
        <w:t>Marian-Jean Marinescu, Mihai Ţurcanu, Ramona Nicole Mănescu, Siegfried Mureşan, José Inácio Faria, Christophe Hansen, Sorin Moisă, Brian Hayes, Cristian-Silviu Buşoi, Daniel Buda, Maria Grapini, Claudia Țapardel, Răzvan Popa, Andrey Novakov, Tomáš Zdechovský, Giovanni La Via, José Manuel Fernandes, Ingeborg Gräßle, Adina-Ioana Vălean, Csaba Sógor, Laurenţiu Rebega, Victor Boştinaru, Traian Ungureanu, Franck Proust, Georges Bach, Damian Drăghici, Maria Gabriela Zoană, Claudiu Ciprian Tănăsescu, Pavel Poc, Dan Nica, Alojz Peterle, Czesław Adam Siekierski, Svetoslav Hristov Malinov, Andor Deli, Esteban González Pons, Gabriel Mato, Esther Herranz García, Pavel Svoboda, Ioan Mircea Paşcu, Cláudia Monteiro de Aguiar, Peter Kouroumbashev</w:t>
      </w:r>
      <w:r>
        <w:rPr>
          <w:rStyle w:val="HideTWBExt"/>
        </w:rPr>
        <w:t>&lt;/Members&gt;</w:t>
      </w:r>
    </w:p>
    <w:p w:rsidR="00C9129B" w:rsidRPr="006302FD" w:rsidRDefault="003277DB">
      <w:pPr>
        <w:pStyle w:val="NormalBold"/>
      </w:pPr>
      <w:r>
        <w:rPr>
          <w:rStyle w:val="HideTWBExt"/>
        </w:rPr>
        <w:t>&lt;/RepeatBlock-By&gt;</w:t>
      </w:r>
    </w:p>
    <w:p w:rsidR="00C9129B" w:rsidRPr="00971432" w:rsidRDefault="003277DB">
      <w:pPr>
        <w:pStyle w:val="ProjRap"/>
      </w:pPr>
      <w:r>
        <w:rPr>
          <w:rStyle w:val="HideTWBExt"/>
        </w:rPr>
        <w:t>&lt;TitreType&gt;</w:t>
      </w:r>
      <w:r w:rsidRPr="00971432">
        <w:t>Zpráva</w:t>
      </w:r>
      <w:r>
        <w:rPr>
          <w:rStyle w:val="HideTWBExt"/>
        </w:rPr>
        <w:t>&lt;/TitreType&gt;</w:t>
      </w:r>
      <w:r w:rsidRPr="00971432">
        <w:tab/>
        <w:t>A8-0409/2018</w:t>
      </w:r>
    </w:p>
    <w:p w:rsidR="00C9129B" w:rsidRPr="006302FD" w:rsidRDefault="003277DB">
      <w:pPr>
        <w:pStyle w:val="NormalBold"/>
      </w:pPr>
      <w:r>
        <w:rPr>
          <w:rStyle w:val="HideTWBExt"/>
        </w:rPr>
        <w:t>&lt;Rapporteur&gt;</w:t>
      </w:r>
      <w:r w:rsidRPr="00971432">
        <w:rPr>
          <w:color w:val="auto"/>
        </w:rPr>
        <w:t>Marian-Jean Marinescu</w:t>
      </w:r>
      <w:r>
        <w:rPr>
          <w:rStyle w:val="HideTWBExt"/>
        </w:rPr>
        <w:t>&lt;/Rapporteur&gt;</w:t>
      </w:r>
    </w:p>
    <w:p w:rsidR="00C9129B" w:rsidRPr="006302FD" w:rsidRDefault="003277DB">
      <w:pPr>
        <w:pStyle w:val="Normal12"/>
      </w:pPr>
      <w:r>
        <w:rPr>
          <w:rStyle w:val="HideTWBExt"/>
        </w:rPr>
        <w:t>&lt;Titre&gt;</w:t>
      </w:r>
      <w:r>
        <w:t xml:space="preserve">Zřízení Nástroje pro propojení Evropy </w:t>
      </w:r>
      <w:r>
        <w:rPr>
          <w:rStyle w:val="HideTWBExt"/>
        </w:rPr>
        <w:t>&lt;/Titre&gt;</w:t>
      </w:r>
    </w:p>
    <w:p w:rsidR="00C9129B" w:rsidRPr="006302FD" w:rsidRDefault="003277DB">
      <w:pPr>
        <w:pStyle w:val="Normal12"/>
      </w:pPr>
      <w:r>
        <w:rPr>
          <w:rStyle w:val="HideTWBExt"/>
        </w:rPr>
        <w:t>&lt;DocRef&gt;</w:t>
      </w:r>
      <w:r w:rsidRPr="00971432">
        <w:rPr>
          <w:color w:val="auto"/>
        </w:rPr>
        <w:t>(COM(2018)0438 – C8-0255/2018 – 2018/0228(COD))</w:t>
      </w:r>
      <w:r>
        <w:rPr>
          <w:rStyle w:val="HideTWBExt"/>
        </w:rPr>
        <w:t>&lt;/DocRef&gt;</w:t>
      </w:r>
    </w:p>
    <w:p w:rsidR="00C9129B" w:rsidRPr="006302FD" w:rsidRDefault="00C9129B">
      <w:pPr>
        <w:pStyle w:val="Normal12"/>
      </w:pPr>
    </w:p>
    <w:p w:rsidR="00C9129B" w:rsidRPr="006302FD" w:rsidRDefault="003277DB">
      <w:pPr>
        <w:pStyle w:val="NormalBold"/>
      </w:pPr>
      <w:r>
        <w:rPr>
          <w:rStyle w:val="HideTWBExt"/>
        </w:rPr>
        <w:t>&lt;DocAmend&gt;</w:t>
      </w:r>
      <w:r w:rsidRPr="00971432">
        <w:rPr>
          <w:color w:val="auto"/>
        </w:rPr>
        <w:t>Návrh nařízení</w:t>
      </w:r>
      <w:r>
        <w:rPr>
          <w:rStyle w:val="HideTWBExt"/>
        </w:rPr>
        <w:t>&lt;/DocAmend&gt;</w:t>
      </w:r>
    </w:p>
    <w:p w:rsidR="00C9129B" w:rsidRPr="006302FD" w:rsidRDefault="003277DB">
      <w:pPr>
        <w:pStyle w:val="NormalBold"/>
      </w:pPr>
      <w:r>
        <w:rPr>
          <w:rStyle w:val="HideTWBExt"/>
        </w:rPr>
        <w:t>&lt;Article&gt;</w:t>
      </w:r>
      <w:r w:rsidRPr="00971432">
        <w:rPr>
          <w:color w:val="auto"/>
        </w:rPr>
        <w:t>Čl. 15 – odst. 1 – písm. c</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129B" w:rsidRPr="006302FD">
        <w:trPr>
          <w:trHeight w:hRule="exact" w:val="240"/>
          <w:jc w:val="center"/>
        </w:trPr>
        <w:tc>
          <w:tcPr>
            <w:tcW w:w="9752" w:type="dxa"/>
            <w:gridSpan w:val="2"/>
          </w:tcPr>
          <w:p w:rsidR="00C9129B" w:rsidRPr="006302FD" w:rsidRDefault="00C9129B"/>
        </w:tc>
      </w:tr>
      <w:tr w:rsidR="00C9129B" w:rsidRPr="006302FD">
        <w:trPr>
          <w:trHeight w:val="240"/>
          <w:jc w:val="center"/>
        </w:trPr>
        <w:tc>
          <w:tcPr>
            <w:tcW w:w="4876" w:type="dxa"/>
          </w:tcPr>
          <w:p w:rsidR="00C9129B" w:rsidRPr="00971432" w:rsidRDefault="003277DB">
            <w:pPr>
              <w:pStyle w:val="ColumnHeading"/>
              <w:rPr>
                <w:color w:val="auto"/>
              </w:rPr>
            </w:pPr>
            <w:r w:rsidRPr="00971432">
              <w:rPr>
                <w:color w:val="auto"/>
              </w:rPr>
              <w:t>Znění navržené Komisí</w:t>
            </w:r>
          </w:p>
        </w:tc>
        <w:tc>
          <w:tcPr>
            <w:tcW w:w="4876" w:type="dxa"/>
          </w:tcPr>
          <w:p w:rsidR="00C9129B" w:rsidRPr="00971432" w:rsidRDefault="003277DB">
            <w:pPr>
              <w:pStyle w:val="ColumnHeading"/>
              <w:rPr>
                <w:color w:val="auto"/>
              </w:rPr>
            </w:pPr>
            <w:r w:rsidRPr="00971432">
              <w:rPr>
                <w:color w:val="auto"/>
              </w:rPr>
              <w:t>Pozměňovací návrh</w:t>
            </w:r>
          </w:p>
        </w:tc>
      </w:tr>
      <w:tr w:rsidR="00C9129B" w:rsidRPr="006302FD">
        <w:trPr>
          <w:jc w:val="center"/>
        </w:trPr>
        <w:tc>
          <w:tcPr>
            <w:tcW w:w="4876" w:type="dxa"/>
          </w:tcPr>
          <w:p w:rsidR="00C9129B" w:rsidRPr="00971432" w:rsidRDefault="003277DB">
            <w:pPr>
              <w:pStyle w:val="Normal6"/>
              <w:rPr>
                <w:color w:val="auto"/>
              </w:rPr>
            </w:pPr>
            <w:r w:rsidRPr="00971432">
              <w:rPr>
                <w:color w:val="auto"/>
              </w:rPr>
              <w:t>c)</w:t>
            </w:r>
            <w:r w:rsidRPr="00971432">
              <w:rPr>
                <w:color w:val="auto"/>
              </w:rPr>
              <w:tab/>
              <w:t>výdaje související s nákupem pozemků se za způsobilé náklady nepovažují</w:t>
            </w:r>
            <w:r w:rsidRPr="00971432">
              <w:rPr>
                <w:b/>
                <w:i/>
                <w:color w:val="auto"/>
              </w:rPr>
              <w:t>;</w:t>
            </w:r>
          </w:p>
        </w:tc>
        <w:tc>
          <w:tcPr>
            <w:tcW w:w="4876" w:type="dxa"/>
          </w:tcPr>
          <w:p w:rsidR="00C9129B" w:rsidRPr="00971432" w:rsidRDefault="003277DB">
            <w:pPr>
              <w:pStyle w:val="Normal6"/>
              <w:rPr>
                <w:color w:val="auto"/>
              </w:rPr>
            </w:pPr>
            <w:r w:rsidRPr="00971432">
              <w:rPr>
                <w:color w:val="auto"/>
              </w:rPr>
              <w:t>c)</w:t>
            </w:r>
            <w:r w:rsidRPr="00971432">
              <w:rPr>
                <w:color w:val="auto"/>
              </w:rPr>
              <w:tab/>
              <w:t>výdaje související s nákupem pozemků se za způsobilé náklady nepovažují</w:t>
            </w:r>
            <w:r w:rsidRPr="00971432">
              <w:rPr>
                <w:b/>
                <w:i/>
                <w:color w:val="auto"/>
              </w:rPr>
              <w:t>, kromě případu částek převáděných z Fondu soudržnosti, na něž se vtahuje [čl. 58 odst. 1 písm. b)] nařízení (EU) XXX [nařízení o společných ustanoveních].</w:t>
            </w:r>
          </w:p>
        </w:tc>
      </w:tr>
    </w:tbl>
    <w:p w:rsidR="00C9129B" w:rsidRPr="006302FD" w:rsidRDefault="003277DB" w:rsidP="00CD3E7A">
      <w:pPr>
        <w:pStyle w:val="Olang"/>
      </w:pPr>
      <w:r w:rsidRPr="00971432">
        <w:rPr>
          <w:color w:val="auto"/>
        </w:rPr>
        <w:t xml:space="preserve">Or. </w:t>
      </w:r>
      <w:r w:rsidRPr="00CD3E7A">
        <w:rPr>
          <w:rStyle w:val="HideTWBExt"/>
        </w:rPr>
        <w:t>&lt;Original&gt;</w:t>
      </w:r>
      <w:r w:rsidRPr="00CD3E7A">
        <w:rPr>
          <w:rStyle w:val="HideTWBInt"/>
        </w:rPr>
        <w:t>{EN}</w:t>
      </w:r>
      <w:r w:rsidRPr="00971432">
        <w:rPr>
          <w:color w:val="auto"/>
        </w:rPr>
        <w:t>en</w:t>
      </w:r>
      <w:r w:rsidRPr="00CD3E7A">
        <w:rPr>
          <w:rStyle w:val="HideTWBExt"/>
        </w:rPr>
        <w:t>&lt;/Original&gt;</w:t>
      </w:r>
    </w:p>
    <w:p w:rsidR="00C9129B" w:rsidRPr="00971432" w:rsidRDefault="003277DB">
      <w:pPr>
        <w:pStyle w:val="Olang"/>
        <w:rPr>
          <w:color w:val="auto"/>
        </w:rPr>
        <w:sectPr w:rsidR="00C9129B" w:rsidRPr="00971432" w:rsidSect="002E6D91">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1134" w:footer="567" w:gutter="0"/>
          <w:cols w:space="708"/>
          <w:docGrid w:linePitch="360"/>
        </w:sectPr>
      </w:pPr>
      <w:r w:rsidRPr="006302FD">
        <w:rPr>
          <w:rStyle w:val="HideTWBExt"/>
        </w:rPr>
        <w:t>&lt;/Amend&gt;</w:t>
      </w:r>
    </w:p>
    <w:p w:rsidR="00C9129B" w:rsidRPr="006302FD" w:rsidRDefault="003277DB">
      <w:pPr>
        <w:pStyle w:val="Interstitial1"/>
      </w:pPr>
      <w:r>
        <w:rPr>
          <w:rStyle w:val="HideTWBExt"/>
        </w:rPr>
        <w:lastRenderedPageBreak/>
        <w:t>&lt;Amend&gt;&lt;Date&gt;</w:t>
      </w:r>
      <w:r w:rsidRPr="00971432">
        <w:rPr>
          <w:rStyle w:val="HideTWBInt"/>
          <w:color w:val="auto"/>
        </w:rPr>
        <w:t>{06/12/2018}</w:t>
      </w:r>
      <w:r w:rsidRPr="00971432">
        <w:rPr>
          <w:color w:val="auto"/>
        </w:rPr>
        <w:t>6.12.2018</w:t>
      </w:r>
      <w:r>
        <w:rPr>
          <w:rStyle w:val="HideTWBExt"/>
        </w:rPr>
        <w:t>&lt;/Date&gt;</w:t>
      </w:r>
      <w:r w:rsidRPr="00971432">
        <w:rPr>
          <w:color w:val="auto"/>
        </w:rPr>
        <w:tab/>
      </w:r>
      <w:r>
        <w:rPr>
          <w:rStyle w:val="HideTWBExt"/>
        </w:rPr>
        <w:t>&lt;ANo&gt;</w:t>
      </w:r>
      <w:r w:rsidRPr="00971432">
        <w:rPr>
          <w:color w:val="auto"/>
        </w:rPr>
        <w:t>A8-0409</w:t>
      </w:r>
      <w:r>
        <w:rPr>
          <w:rStyle w:val="HideTWBExt"/>
        </w:rPr>
        <w:t>&lt;/ANo&gt;</w:t>
      </w:r>
      <w:r w:rsidRPr="00971432">
        <w:rPr>
          <w:color w:val="auto"/>
        </w:rPr>
        <w:t>/</w:t>
      </w:r>
      <w:r>
        <w:rPr>
          <w:rStyle w:val="HideTWBExt"/>
        </w:rPr>
        <w:t>&lt;NumAm&gt;</w:t>
      </w:r>
      <w:r w:rsidRPr="00971432">
        <w:rPr>
          <w:color w:val="auto"/>
        </w:rPr>
        <w:t>39</w:t>
      </w:r>
      <w:r>
        <w:rPr>
          <w:rStyle w:val="HideTWBExt"/>
        </w:rPr>
        <w:t>&lt;/NumAm&gt;</w:t>
      </w:r>
    </w:p>
    <w:p w:rsidR="00C9129B" w:rsidRPr="006302FD" w:rsidRDefault="003277DB">
      <w:pPr>
        <w:pStyle w:val="AMNumberTabs"/>
      </w:pPr>
      <w:r w:rsidRPr="00971432">
        <w:rPr>
          <w:color w:val="auto"/>
        </w:rPr>
        <w:t>Pozměňovací návrh</w:t>
      </w:r>
      <w:r w:rsidRPr="00971432">
        <w:rPr>
          <w:color w:val="auto"/>
        </w:rPr>
        <w:tab/>
      </w:r>
      <w:r w:rsidRPr="00971432">
        <w:rPr>
          <w:color w:val="auto"/>
        </w:rPr>
        <w:tab/>
      </w:r>
      <w:r>
        <w:rPr>
          <w:rStyle w:val="HideTWBExt"/>
        </w:rPr>
        <w:t>&lt;NumAm&gt;</w:t>
      </w:r>
      <w:r w:rsidRPr="00971432">
        <w:rPr>
          <w:color w:val="auto"/>
        </w:rPr>
        <w:t>39</w:t>
      </w:r>
      <w:r>
        <w:rPr>
          <w:rStyle w:val="HideTWBExt"/>
        </w:rPr>
        <w:t>&lt;/NumAm&gt;</w:t>
      </w:r>
    </w:p>
    <w:p w:rsidR="00C9129B" w:rsidRPr="006302FD" w:rsidRDefault="003277DB">
      <w:pPr>
        <w:pStyle w:val="NormalBold"/>
      </w:pPr>
      <w:r>
        <w:rPr>
          <w:rStyle w:val="HideTWBExt"/>
        </w:rPr>
        <w:t>&lt;RepeatBlock-By&gt;&lt;Members&gt;</w:t>
      </w:r>
      <w:r w:rsidRPr="00971432">
        <w:rPr>
          <w:color w:val="auto"/>
        </w:rPr>
        <w:t>Marian-Jean Marinescu, Mihai Ţurcanu, Ramona Nicole Mănescu, Siegfried Mureşan, José Inácio Faria, Christophe Hansen, Sorin Moisă, Brian Hayes, Cristian-Silviu Buşoi, Daniel Buda, Maria Grapini, Claudia Țapardel, Răzvan Popa, Andrey Novakov, Tomáš Zdechovský, Giovanni La Via, José Manuel Fernandes, Ingeborg Gräßle, Adina-Ioana Vălean, Csaba Sógor, Laurenţiu Rebega, Victor Boştinaru, Traian Ungureanu, Franck Proust, Georges Bach, Damian Drăghici, Maria Gabriela Zoană, Claudiu Ciprian Tănăsescu, Pavel Poc, Dan Nica, Alojz Peterle, Czesław Adam Siekierski, Svetoslav Hristov Malinov, Andor Deli, Esteban González Pons, Gabriel Mato, Esther Herranz García, Pavel Svoboda, Ioan Mircea Paşcu, Cláudia Monteiro de Aguiar, Peter Kouroumbashev</w:t>
      </w:r>
      <w:r>
        <w:rPr>
          <w:rStyle w:val="HideTWBExt"/>
        </w:rPr>
        <w:t>&lt;/Members&gt;</w:t>
      </w:r>
    </w:p>
    <w:p w:rsidR="00C9129B" w:rsidRPr="006302FD" w:rsidRDefault="003277DB">
      <w:pPr>
        <w:pStyle w:val="NormalBold"/>
      </w:pPr>
      <w:r>
        <w:rPr>
          <w:rStyle w:val="HideTWBExt"/>
        </w:rPr>
        <w:t>&lt;/RepeatBlock-By&gt;</w:t>
      </w:r>
    </w:p>
    <w:p w:rsidR="00C9129B" w:rsidRPr="00971432" w:rsidRDefault="003277DB">
      <w:pPr>
        <w:pStyle w:val="ProjRap"/>
      </w:pPr>
      <w:r>
        <w:rPr>
          <w:rStyle w:val="HideTWBExt"/>
        </w:rPr>
        <w:t>&lt;TitreType&gt;</w:t>
      </w:r>
      <w:r w:rsidRPr="00971432">
        <w:t>Zpráva</w:t>
      </w:r>
      <w:r>
        <w:rPr>
          <w:rStyle w:val="HideTWBExt"/>
        </w:rPr>
        <w:t>&lt;/TitreType&gt;</w:t>
      </w:r>
      <w:r w:rsidRPr="00971432">
        <w:tab/>
        <w:t>A8-0409/2018</w:t>
      </w:r>
    </w:p>
    <w:p w:rsidR="00C9129B" w:rsidRPr="006302FD" w:rsidRDefault="003277DB">
      <w:pPr>
        <w:pStyle w:val="NormalBold"/>
      </w:pPr>
      <w:r>
        <w:rPr>
          <w:rStyle w:val="HideTWBExt"/>
        </w:rPr>
        <w:t>&lt;Rapporteur&gt;</w:t>
      </w:r>
      <w:r w:rsidRPr="00971432">
        <w:rPr>
          <w:color w:val="auto"/>
        </w:rPr>
        <w:t>Marian-Jean Marinescu</w:t>
      </w:r>
      <w:r>
        <w:rPr>
          <w:rStyle w:val="HideTWBExt"/>
        </w:rPr>
        <w:t>&lt;/Rapporteur&gt;</w:t>
      </w:r>
    </w:p>
    <w:p w:rsidR="00C9129B" w:rsidRPr="006302FD" w:rsidRDefault="003277DB">
      <w:pPr>
        <w:pStyle w:val="Normal12"/>
      </w:pPr>
      <w:r>
        <w:rPr>
          <w:rStyle w:val="HideTWBExt"/>
        </w:rPr>
        <w:t>&lt;Titre&gt;</w:t>
      </w:r>
      <w:r>
        <w:t xml:space="preserve">Zřízení Nástroje pro propojení Evropy </w:t>
      </w:r>
      <w:r>
        <w:rPr>
          <w:rStyle w:val="HideTWBExt"/>
        </w:rPr>
        <w:t>&lt;/Titre&gt;</w:t>
      </w:r>
    </w:p>
    <w:p w:rsidR="00C9129B" w:rsidRPr="006302FD" w:rsidRDefault="003277DB">
      <w:pPr>
        <w:pStyle w:val="Normal12"/>
      </w:pPr>
      <w:r>
        <w:rPr>
          <w:rStyle w:val="HideTWBExt"/>
        </w:rPr>
        <w:t>&lt;DocRef&gt;</w:t>
      </w:r>
      <w:r w:rsidRPr="00971432">
        <w:rPr>
          <w:color w:val="auto"/>
        </w:rPr>
        <w:t>(COM(2018)0438 – C8-0255/2018 – 2018/0228(COD))</w:t>
      </w:r>
      <w:r>
        <w:rPr>
          <w:rStyle w:val="HideTWBExt"/>
        </w:rPr>
        <w:t>&lt;/DocRef&gt;</w:t>
      </w:r>
    </w:p>
    <w:p w:rsidR="00C9129B" w:rsidRPr="006302FD" w:rsidRDefault="00C9129B">
      <w:pPr>
        <w:pStyle w:val="Normal12"/>
      </w:pPr>
    </w:p>
    <w:p w:rsidR="00C9129B" w:rsidRPr="006302FD" w:rsidRDefault="003277DB">
      <w:pPr>
        <w:pStyle w:val="NormalBold"/>
      </w:pPr>
      <w:r>
        <w:rPr>
          <w:rStyle w:val="HideTWBExt"/>
        </w:rPr>
        <w:t>&lt;DocAmend&gt;</w:t>
      </w:r>
      <w:r w:rsidRPr="00971432">
        <w:rPr>
          <w:color w:val="auto"/>
        </w:rPr>
        <w:t>Návrh nařízení</w:t>
      </w:r>
      <w:r>
        <w:rPr>
          <w:rStyle w:val="HideTWBExt"/>
        </w:rPr>
        <w:t>&lt;/DocAmend&gt;</w:t>
      </w:r>
    </w:p>
    <w:p w:rsidR="00C9129B" w:rsidRPr="006302FD" w:rsidRDefault="003277DB">
      <w:pPr>
        <w:pStyle w:val="NormalBold"/>
      </w:pPr>
      <w:r>
        <w:rPr>
          <w:rStyle w:val="HideTWBExt"/>
        </w:rPr>
        <w:t>&lt;Article&gt;</w:t>
      </w:r>
      <w:r w:rsidRPr="00971432">
        <w:rPr>
          <w:color w:val="auto"/>
        </w:rPr>
        <w:t>Čl. 15 – odst. 1 – písm. d</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129B" w:rsidRPr="006302FD">
        <w:trPr>
          <w:trHeight w:hRule="exact" w:val="240"/>
          <w:jc w:val="center"/>
        </w:trPr>
        <w:tc>
          <w:tcPr>
            <w:tcW w:w="9752" w:type="dxa"/>
            <w:gridSpan w:val="2"/>
          </w:tcPr>
          <w:p w:rsidR="00C9129B" w:rsidRPr="006302FD" w:rsidRDefault="00C9129B"/>
        </w:tc>
      </w:tr>
      <w:tr w:rsidR="00C9129B" w:rsidRPr="006302FD">
        <w:trPr>
          <w:trHeight w:val="240"/>
          <w:jc w:val="center"/>
        </w:trPr>
        <w:tc>
          <w:tcPr>
            <w:tcW w:w="4876" w:type="dxa"/>
          </w:tcPr>
          <w:p w:rsidR="00C9129B" w:rsidRPr="00971432" w:rsidRDefault="003277DB">
            <w:pPr>
              <w:pStyle w:val="ColumnHeading"/>
              <w:rPr>
                <w:color w:val="auto"/>
              </w:rPr>
            </w:pPr>
            <w:r w:rsidRPr="00971432">
              <w:rPr>
                <w:color w:val="auto"/>
              </w:rPr>
              <w:t>Znění navržené Komisí</w:t>
            </w:r>
          </w:p>
        </w:tc>
        <w:tc>
          <w:tcPr>
            <w:tcW w:w="4876" w:type="dxa"/>
          </w:tcPr>
          <w:p w:rsidR="00C9129B" w:rsidRPr="00971432" w:rsidRDefault="003277DB">
            <w:pPr>
              <w:pStyle w:val="ColumnHeading"/>
              <w:rPr>
                <w:color w:val="auto"/>
              </w:rPr>
            </w:pPr>
            <w:r w:rsidRPr="00971432">
              <w:rPr>
                <w:color w:val="auto"/>
              </w:rPr>
              <w:t>Pozměňovací návrh</w:t>
            </w:r>
          </w:p>
        </w:tc>
      </w:tr>
      <w:tr w:rsidR="00C9129B" w:rsidRPr="006302FD">
        <w:trPr>
          <w:jc w:val="center"/>
        </w:trPr>
        <w:tc>
          <w:tcPr>
            <w:tcW w:w="4876" w:type="dxa"/>
          </w:tcPr>
          <w:p w:rsidR="00C9129B" w:rsidRPr="00971432" w:rsidRDefault="003277DB">
            <w:pPr>
              <w:pStyle w:val="Normal6"/>
              <w:rPr>
                <w:color w:val="auto"/>
              </w:rPr>
            </w:pPr>
            <w:r w:rsidRPr="00971432">
              <w:rPr>
                <w:color w:val="auto"/>
              </w:rPr>
              <w:t>d)</w:t>
            </w:r>
            <w:r w:rsidRPr="00971432">
              <w:rPr>
                <w:color w:val="auto"/>
              </w:rPr>
              <w:tab/>
              <w:t>způsobilé náklady nezahrnují daň z přidané hodnoty („DPH“).</w:t>
            </w:r>
          </w:p>
        </w:tc>
        <w:tc>
          <w:tcPr>
            <w:tcW w:w="4876" w:type="dxa"/>
          </w:tcPr>
          <w:p w:rsidR="00C9129B" w:rsidRPr="00971432" w:rsidRDefault="003277DB">
            <w:pPr>
              <w:pStyle w:val="Normal6"/>
              <w:rPr>
                <w:color w:val="auto"/>
              </w:rPr>
            </w:pPr>
            <w:r w:rsidRPr="00971432">
              <w:rPr>
                <w:color w:val="auto"/>
              </w:rPr>
              <w:t>d)</w:t>
            </w:r>
            <w:r w:rsidRPr="00971432">
              <w:rPr>
                <w:color w:val="auto"/>
              </w:rPr>
              <w:tab/>
              <w:t>způsobilé náklady nezahrnují daň z přidané hodnoty („DPH“)</w:t>
            </w:r>
            <w:r w:rsidRPr="00971432">
              <w:rPr>
                <w:b/>
                <w:i/>
                <w:color w:val="auto"/>
              </w:rPr>
              <w:t>, kromě případu částek převáděných z Fondu soudržnosti, na něž se vztahuje [čl. 58 odst. 1 písm. c)] nařízení (EU) XXX [nařízení o společných ustanoveních]</w:t>
            </w:r>
            <w:r w:rsidRPr="00971432">
              <w:rPr>
                <w:color w:val="auto"/>
              </w:rPr>
              <w:t>.</w:t>
            </w:r>
          </w:p>
        </w:tc>
      </w:tr>
    </w:tbl>
    <w:p w:rsidR="00C9129B" w:rsidRPr="006302FD" w:rsidRDefault="003277DB" w:rsidP="00CD3E7A">
      <w:pPr>
        <w:pStyle w:val="Olang"/>
      </w:pPr>
      <w:r w:rsidRPr="00971432">
        <w:rPr>
          <w:color w:val="auto"/>
        </w:rPr>
        <w:t xml:space="preserve">Or. </w:t>
      </w:r>
      <w:r w:rsidRPr="00CD3E7A">
        <w:rPr>
          <w:rStyle w:val="HideTWBExt"/>
        </w:rPr>
        <w:t>&lt;Original&gt;</w:t>
      </w:r>
      <w:r w:rsidRPr="00CD3E7A">
        <w:rPr>
          <w:rStyle w:val="HideTWBInt"/>
        </w:rPr>
        <w:t>{EN}</w:t>
      </w:r>
      <w:r w:rsidRPr="00971432">
        <w:rPr>
          <w:color w:val="auto"/>
        </w:rPr>
        <w:t>en</w:t>
      </w:r>
      <w:r w:rsidRPr="00CD3E7A">
        <w:rPr>
          <w:rStyle w:val="HideTWBExt"/>
        </w:rPr>
        <w:t>&lt;/Original&gt;</w:t>
      </w:r>
    </w:p>
    <w:p w:rsidR="00C9129B" w:rsidRPr="00971432" w:rsidRDefault="003277DB">
      <w:pPr>
        <w:pStyle w:val="Olang"/>
        <w:rPr>
          <w:color w:val="auto"/>
        </w:rPr>
        <w:sectPr w:rsidR="00C9129B" w:rsidRPr="00971432">
          <w:footerReference w:type="even" r:id="rId12"/>
          <w:footerReference w:type="default" r:id="rId13"/>
          <w:footerReference w:type="first" r:id="rId14"/>
          <w:pgSz w:w="11906" w:h="16838"/>
          <w:pgMar w:top="1134" w:right="1417" w:bottom="1417" w:left="1417" w:header="1134" w:footer="567" w:gutter="0"/>
          <w:cols w:space="708"/>
          <w:docGrid w:linePitch="360"/>
        </w:sectPr>
      </w:pPr>
      <w:r w:rsidRPr="006302FD">
        <w:rPr>
          <w:rStyle w:val="HideTWBExt"/>
        </w:rPr>
        <w:t>&lt;/Amend&gt;</w:t>
      </w:r>
    </w:p>
    <w:p w:rsidR="00C9129B" w:rsidRPr="006302FD" w:rsidRDefault="003277DB">
      <w:pPr>
        <w:pStyle w:val="Interstitial1"/>
      </w:pPr>
      <w:r>
        <w:rPr>
          <w:rStyle w:val="HideTWBExt"/>
        </w:rPr>
        <w:lastRenderedPageBreak/>
        <w:t>&lt;Amend&gt;&lt;Date&gt;</w:t>
      </w:r>
      <w:r w:rsidRPr="00971432">
        <w:rPr>
          <w:rStyle w:val="HideTWBInt"/>
          <w:color w:val="auto"/>
        </w:rPr>
        <w:t>{06/12/2018}</w:t>
      </w:r>
      <w:r w:rsidRPr="00971432">
        <w:rPr>
          <w:color w:val="auto"/>
        </w:rPr>
        <w:t>6.12.2018</w:t>
      </w:r>
      <w:r>
        <w:rPr>
          <w:rStyle w:val="HideTWBExt"/>
        </w:rPr>
        <w:t>&lt;/Date&gt;</w:t>
      </w:r>
      <w:r w:rsidRPr="00971432">
        <w:rPr>
          <w:color w:val="auto"/>
        </w:rPr>
        <w:tab/>
      </w:r>
      <w:r>
        <w:rPr>
          <w:rStyle w:val="HideTWBExt"/>
        </w:rPr>
        <w:t>&lt;ANo&gt;</w:t>
      </w:r>
      <w:r w:rsidRPr="00971432">
        <w:rPr>
          <w:color w:val="auto"/>
        </w:rPr>
        <w:t>A8-0409</w:t>
      </w:r>
      <w:r>
        <w:rPr>
          <w:rStyle w:val="HideTWBExt"/>
        </w:rPr>
        <w:t>&lt;/ANo&gt;</w:t>
      </w:r>
      <w:r w:rsidRPr="00971432">
        <w:rPr>
          <w:color w:val="auto"/>
        </w:rPr>
        <w:t>/</w:t>
      </w:r>
      <w:r>
        <w:rPr>
          <w:rStyle w:val="HideTWBExt"/>
        </w:rPr>
        <w:t>&lt;NumAm&gt;</w:t>
      </w:r>
      <w:r w:rsidRPr="00971432">
        <w:rPr>
          <w:color w:val="auto"/>
        </w:rPr>
        <w:t>40</w:t>
      </w:r>
      <w:r>
        <w:rPr>
          <w:rStyle w:val="HideTWBExt"/>
        </w:rPr>
        <w:t>&lt;/NumAm&gt;</w:t>
      </w:r>
    </w:p>
    <w:p w:rsidR="00C9129B" w:rsidRPr="006302FD" w:rsidRDefault="003277DB">
      <w:pPr>
        <w:pStyle w:val="AMNumberTabs"/>
      </w:pPr>
      <w:r w:rsidRPr="00971432">
        <w:rPr>
          <w:color w:val="auto"/>
        </w:rPr>
        <w:t>Pozměňovací návrh</w:t>
      </w:r>
      <w:r w:rsidRPr="00971432">
        <w:rPr>
          <w:color w:val="auto"/>
        </w:rPr>
        <w:tab/>
      </w:r>
      <w:r w:rsidRPr="00971432">
        <w:rPr>
          <w:color w:val="auto"/>
        </w:rPr>
        <w:tab/>
      </w:r>
      <w:r>
        <w:rPr>
          <w:rStyle w:val="HideTWBExt"/>
        </w:rPr>
        <w:t>&lt;NumAm&gt;</w:t>
      </w:r>
      <w:r w:rsidRPr="00971432">
        <w:rPr>
          <w:color w:val="auto"/>
        </w:rPr>
        <w:t>40</w:t>
      </w:r>
      <w:r>
        <w:rPr>
          <w:rStyle w:val="HideTWBExt"/>
        </w:rPr>
        <w:t>&lt;/NumAm&gt;</w:t>
      </w:r>
    </w:p>
    <w:p w:rsidR="00C9129B" w:rsidRPr="006302FD" w:rsidRDefault="003277DB">
      <w:pPr>
        <w:pStyle w:val="NormalBold"/>
      </w:pPr>
      <w:r>
        <w:rPr>
          <w:rStyle w:val="HideTWBExt"/>
        </w:rPr>
        <w:t>&lt;RepeatBlock-By&gt;&lt;Members&gt;</w:t>
      </w:r>
      <w:r w:rsidRPr="00971432">
        <w:rPr>
          <w:color w:val="auto"/>
        </w:rPr>
        <w:t>Marian-Jean Marinescu, Mihai Ţurcanu, Ramona Nicole Mănescu, Siegfried Mureşan, José Inácio Faria, Christophe Hansen, Sorin Moisă, Brian Hayes, Cristian-Silviu Buşoi, Daniel Buda, Maria Grapini, Claudia Țapardel, Răzvan Popa, Andrey Novakov, Tomáš Zdechovský, Giovanni La Via, José Manuel Fernandes, Ingeborg Gräßle, Adina-Ioana Vălean, Csaba Sógor, Laurenţiu Rebega, Victor Boştinaru, Traian Ungureanu, Franck Proust, Georges Bach, Damian Drăghici, Maria Gabriela Zoană, Claudiu Ciprian Tănăsescu, Pavel Poc, Dan Nica, Alojz Peterle, Czesław Adam Siekierski, Svetoslav Hristov Malinov, Andor Deli, Esteban González Pons, Gabriel Mato, Esther Herranz García, Pavel Svoboda, Ioan Mircea Paşcu, Cláudia Monteiro de Aguiar, Peter Kouroumbashev</w:t>
      </w:r>
      <w:r>
        <w:rPr>
          <w:rStyle w:val="HideTWBExt"/>
        </w:rPr>
        <w:t>&lt;/Members&gt;</w:t>
      </w:r>
    </w:p>
    <w:p w:rsidR="00C9129B" w:rsidRPr="006302FD" w:rsidRDefault="003277DB">
      <w:pPr>
        <w:pStyle w:val="NormalBold"/>
      </w:pPr>
      <w:r>
        <w:rPr>
          <w:rStyle w:val="HideTWBExt"/>
        </w:rPr>
        <w:t>&lt;/RepeatBlock-By&gt;</w:t>
      </w:r>
    </w:p>
    <w:p w:rsidR="00C9129B" w:rsidRPr="00971432" w:rsidRDefault="003277DB">
      <w:pPr>
        <w:pStyle w:val="ProjRap"/>
      </w:pPr>
      <w:r>
        <w:rPr>
          <w:rStyle w:val="HideTWBExt"/>
        </w:rPr>
        <w:t>&lt;TitreType&gt;</w:t>
      </w:r>
      <w:r w:rsidRPr="00971432">
        <w:t>Zpráva</w:t>
      </w:r>
      <w:r>
        <w:rPr>
          <w:rStyle w:val="HideTWBExt"/>
        </w:rPr>
        <w:t>&lt;/TitreType&gt;</w:t>
      </w:r>
      <w:r w:rsidRPr="00971432">
        <w:tab/>
        <w:t>A8-0409/2018</w:t>
      </w:r>
    </w:p>
    <w:p w:rsidR="00C9129B" w:rsidRPr="006302FD" w:rsidRDefault="003277DB">
      <w:pPr>
        <w:pStyle w:val="NormalBold"/>
      </w:pPr>
      <w:r>
        <w:rPr>
          <w:rStyle w:val="HideTWBExt"/>
        </w:rPr>
        <w:t>&lt;Rapporteur&gt;</w:t>
      </w:r>
      <w:r w:rsidRPr="00971432">
        <w:rPr>
          <w:color w:val="auto"/>
        </w:rPr>
        <w:t>Marian-Jean Marinescu</w:t>
      </w:r>
      <w:r>
        <w:rPr>
          <w:rStyle w:val="HideTWBExt"/>
        </w:rPr>
        <w:t>&lt;/Rapporteur&gt;</w:t>
      </w:r>
    </w:p>
    <w:p w:rsidR="00C9129B" w:rsidRPr="006302FD" w:rsidRDefault="003277DB">
      <w:pPr>
        <w:pStyle w:val="Normal12"/>
      </w:pPr>
      <w:r>
        <w:rPr>
          <w:rStyle w:val="HideTWBExt"/>
        </w:rPr>
        <w:t>&lt;Titre&gt;</w:t>
      </w:r>
      <w:r>
        <w:t xml:space="preserve">Zřízení Nástroje pro propojení Evropy </w:t>
      </w:r>
      <w:r>
        <w:rPr>
          <w:rStyle w:val="HideTWBExt"/>
        </w:rPr>
        <w:t>&lt;/Titre&gt;</w:t>
      </w:r>
    </w:p>
    <w:p w:rsidR="00C9129B" w:rsidRPr="006302FD" w:rsidRDefault="003277DB">
      <w:pPr>
        <w:pStyle w:val="Normal12"/>
      </w:pPr>
      <w:r>
        <w:rPr>
          <w:rStyle w:val="HideTWBExt"/>
        </w:rPr>
        <w:t>&lt;DocRef&gt;</w:t>
      </w:r>
      <w:r w:rsidRPr="00971432">
        <w:rPr>
          <w:color w:val="auto"/>
        </w:rPr>
        <w:t>(COM(2018)0438 – C8-0255/2018 – 2018/0228(COD))</w:t>
      </w:r>
      <w:r>
        <w:rPr>
          <w:rStyle w:val="HideTWBExt"/>
        </w:rPr>
        <w:t>&lt;/DocRef&gt;</w:t>
      </w:r>
    </w:p>
    <w:p w:rsidR="00C9129B" w:rsidRPr="006302FD" w:rsidRDefault="00C9129B">
      <w:pPr>
        <w:pStyle w:val="Normal12"/>
      </w:pPr>
    </w:p>
    <w:p w:rsidR="00C9129B" w:rsidRPr="006302FD" w:rsidRDefault="003277DB">
      <w:pPr>
        <w:pStyle w:val="NormalBold"/>
      </w:pPr>
      <w:r>
        <w:rPr>
          <w:rStyle w:val="HideTWBExt"/>
        </w:rPr>
        <w:t>&lt;DocAmend&gt;</w:t>
      </w:r>
      <w:r w:rsidRPr="00971432">
        <w:rPr>
          <w:color w:val="auto"/>
        </w:rPr>
        <w:t>Návrh nařízení</w:t>
      </w:r>
      <w:r>
        <w:rPr>
          <w:rStyle w:val="HideTWBExt"/>
        </w:rPr>
        <w:t>&lt;/DocAmend&gt;</w:t>
      </w:r>
    </w:p>
    <w:p w:rsidR="00C9129B" w:rsidRPr="006302FD" w:rsidRDefault="003277DB">
      <w:pPr>
        <w:pStyle w:val="NormalBold"/>
      </w:pPr>
      <w:r>
        <w:rPr>
          <w:rStyle w:val="HideTWBExt"/>
        </w:rPr>
        <w:t>&lt;Article&gt;</w:t>
      </w:r>
      <w:r w:rsidRPr="00971432">
        <w:rPr>
          <w:color w:val="auto"/>
        </w:rPr>
        <w:t>Článek 16 a (nový)</w:t>
      </w:r>
      <w:r>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9129B" w:rsidRPr="006302FD">
        <w:trPr>
          <w:trHeight w:hRule="exact" w:val="240"/>
          <w:jc w:val="center"/>
        </w:trPr>
        <w:tc>
          <w:tcPr>
            <w:tcW w:w="9752" w:type="dxa"/>
            <w:gridSpan w:val="2"/>
          </w:tcPr>
          <w:p w:rsidR="00C9129B" w:rsidRPr="006302FD" w:rsidRDefault="00C9129B"/>
        </w:tc>
      </w:tr>
      <w:tr w:rsidR="00C9129B" w:rsidRPr="006302FD">
        <w:trPr>
          <w:trHeight w:val="240"/>
          <w:jc w:val="center"/>
        </w:trPr>
        <w:tc>
          <w:tcPr>
            <w:tcW w:w="4876" w:type="dxa"/>
          </w:tcPr>
          <w:p w:rsidR="00C9129B" w:rsidRPr="00971432" w:rsidRDefault="003277DB">
            <w:pPr>
              <w:pStyle w:val="ColumnHeading"/>
              <w:rPr>
                <w:color w:val="auto"/>
              </w:rPr>
            </w:pPr>
            <w:r w:rsidRPr="00971432">
              <w:rPr>
                <w:color w:val="auto"/>
              </w:rPr>
              <w:t>Znění navržené Komisí</w:t>
            </w:r>
          </w:p>
        </w:tc>
        <w:tc>
          <w:tcPr>
            <w:tcW w:w="4876" w:type="dxa"/>
          </w:tcPr>
          <w:p w:rsidR="00C9129B" w:rsidRPr="00971432" w:rsidRDefault="003277DB">
            <w:pPr>
              <w:pStyle w:val="ColumnHeading"/>
              <w:rPr>
                <w:color w:val="auto"/>
              </w:rPr>
            </w:pPr>
            <w:r w:rsidRPr="00971432">
              <w:rPr>
                <w:color w:val="auto"/>
              </w:rPr>
              <w:t>Pozměňovací návrh</w:t>
            </w:r>
          </w:p>
        </w:tc>
      </w:tr>
      <w:tr w:rsidR="00C9129B" w:rsidRPr="006302FD">
        <w:trPr>
          <w:jc w:val="center"/>
        </w:trPr>
        <w:tc>
          <w:tcPr>
            <w:tcW w:w="4876" w:type="dxa"/>
          </w:tcPr>
          <w:p w:rsidR="00C9129B" w:rsidRPr="00971432" w:rsidRDefault="00C9129B">
            <w:pPr>
              <w:pStyle w:val="Normal6"/>
              <w:rPr>
                <w:color w:val="auto"/>
              </w:rPr>
            </w:pPr>
          </w:p>
        </w:tc>
        <w:tc>
          <w:tcPr>
            <w:tcW w:w="4876" w:type="dxa"/>
          </w:tcPr>
          <w:p w:rsidR="00C9129B" w:rsidRPr="00971432" w:rsidRDefault="003277DB">
            <w:pPr>
              <w:pStyle w:val="Normal6Center"/>
              <w:rPr>
                <w:color w:val="auto"/>
              </w:rPr>
            </w:pPr>
            <w:r w:rsidRPr="00971432">
              <w:rPr>
                <w:color w:val="auto"/>
              </w:rPr>
              <w:t>Článek 16 a</w:t>
            </w:r>
          </w:p>
        </w:tc>
      </w:tr>
      <w:tr w:rsidR="00C9129B" w:rsidRPr="006302FD">
        <w:trPr>
          <w:jc w:val="center"/>
        </w:trPr>
        <w:tc>
          <w:tcPr>
            <w:tcW w:w="4876" w:type="dxa"/>
          </w:tcPr>
          <w:p w:rsidR="00C9129B" w:rsidRPr="00971432" w:rsidRDefault="00C9129B">
            <w:pPr>
              <w:pStyle w:val="Normal6"/>
              <w:rPr>
                <w:color w:val="auto"/>
              </w:rPr>
            </w:pPr>
          </w:p>
        </w:tc>
        <w:tc>
          <w:tcPr>
            <w:tcW w:w="4876" w:type="dxa"/>
          </w:tcPr>
          <w:p w:rsidR="00C9129B" w:rsidRPr="00971432" w:rsidRDefault="003277DB">
            <w:pPr>
              <w:pStyle w:val="Normal6Center"/>
              <w:rPr>
                <w:color w:val="auto"/>
              </w:rPr>
            </w:pPr>
            <w:r w:rsidRPr="00971432">
              <w:rPr>
                <w:color w:val="auto"/>
              </w:rPr>
              <w:t>Podmínky pro operace podléhající postupnému provádění</w:t>
            </w:r>
          </w:p>
        </w:tc>
      </w:tr>
      <w:tr w:rsidR="00C9129B" w:rsidRPr="006302FD">
        <w:trPr>
          <w:jc w:val="center"/>
        </w:trPr>
        <w:tc>
          <w:tcPr>
            <w:tcW w:w="4876" w:type="dxa"/>
          </w:tcPr>
          <w:p w:rsidR="00C9129B" w:rsidRPr="00971432" w:rsidRDefault="00C9129B">
            <w:pPr>
              <w:pStyle w:val="Normal6"/>
              <w:rPr>
                <w:color w:val="auto"/>
              </w:rPr>
            </w:pPr>
          </w:p>
        </w:tc>
        <w:tc>
          <w:tcPr>
            <w:tcW w:w="4876" w:type="dxa"/>
          </w:tcPr>
          <w:p w:rsidR="00C9129B" w:rsidRPr="00971432" w:rsidRDefault="003277DB">
            <w:pPr>
              <w:pStyle w:val="Normal6"/>
              <w:rPr>
                <w:color w:val="auto"/>
              </w:rPr>
            </w:pPr>
            <w:r w:rsidRPr="00971432">
              <w:rPr>
                <w:b/>
                <w:i/>
                <w:color w:val="auto"/>
              </w:rPr>
              <w:t>Pokud jde o částky převáděné z Fondu soudržnosti, uplatní se následující ustanovení:</w:t>
            </w:r>
          </w:p>
        </w:tc>
      </w:tr>
      <w:tr w:rsidR="00C9129B" w:rsidRPr="006302FD">
        <w:trPr>
          <w:jc w:val="center"/>
        </w:trPr>
        <w:tc>
          <w:tcPr>
            <w:tcW w:w="4876" w:type="dxa"/>
          </w:tcPr>
          <w:p w:rsidR="00C9129B" w:rsidRPr="00971432" w:rsidRDefault="00C9129B">
            <w:pPr>
              <w:pStyle w:val="Normal6"/>
              <w:rPr>
                <w:color w:val="auto"/>
              </w:rPr>
            </w:pPr>
          </w:p>
        </w:tc>
        <w:tc>
          <w:tcPr>
            <w:tcW w:w="4876" w:type="dxa"/>
          </w:tcPr>
          <w:p w:rsidR="00C9129B" w:rsidRPr="00971432" w:rsidRDefault="003277DB">
            <w:pPr>
              <w:pStyle w:val="Normal6"/>
              <w:rPr>
                <w:color w:val="auto"/>
              </w:rPr>
            </w:pPr>
            <w:r w:rsidRPr="00971432">
              <w:rPr>
                <w:b/>
                <w:i/>
                <w:color w:val="auto"/>
              </w:rPr>
              <w:t>a) členský stát může přikročit k výběru operace sestávající z druhé fáze operace vybrané pro podporu a zahájené podle nařízení (ES) č. 1316/2013 v souladu s [čl. 111 odst. 1] nařízení (EU) XXX [nařízení o společných ustanoveních];</w:t>
            </w:r>
          </w:p>
        </w:tc>
      </w:tr>
      <w:tr w:rsidR="00C9129B" w:rsidRPr="006302FD">
        <w:trPr>
          <w:jc w:val="center"/>
        </w:trPr>
        <w:tc>
          <w:tcPr>
            <w:tcW w:w="4876" w:type="dxa"/>
          </w:tcPr>
          <w:p w:rsidR="00C9129B" w:rsidRPr="00971432" w:rsidRDefault="00C9129B">
            <w:pPr>
              <w:pStyle w:val="Normal6"/>
              <w:rPr>
                <w:color w:val="auto"/>
              </w:rPr>
            </w:pPr>
          </w:p>
        </w:tc>
        <w:tc>
          <w:tcPr>
            <w:tcW w:w="4876" w:type="dxa"/>
          </w:tcPr>
          <w:p w:rsidR="00C9129B" w:rsidRPr="00971432" w:rsidRDefault="003277DB">
            <w:pPr>
              <w:pStyle w:val="Normal6"/>
              <w:rPr>
                <w:color w:val="auto"/>
              </w:rPr>
            </w:pPr>
            <w:r w:rsidRPr="00971432">
              <w:rPr>
                <w:b/>
                <w:i/>
                <w:color w:val="auto"/>
              </w:rPr>
              <w:t>b) opatření nedokončené do konce roku 2029 a nesplňující všechny podmínky stanovené v [článek 111] nařízení (EU) XXX [nařízení o společných ustanoveních] je způsobilé pro postupné provádění.</w:t>
            </w:r>
          </w:p>
        </w:tc>
      </w:tr>
    </w:tbl>
    <w:p w:rsidR="00C9129B" w:rsidRPr="006302FD" w:rsidRDefault="003277DB" w:rsidP="00CD3E7A">
      <w:pPr>
        <w:pStyle w:val="Olang"/>
      </w:pPr>
      <w:r w:rsidRPr="00971432">
        <w:rPr>
          <w:color w:val="auto"/>
        </w:rPr>
        <w:t xml:space="preserve">Or. </w:t>
      </w:r>
      <w:r w:rsidRPr="00CD3E7A">
        <w:rPr>
          <w:rStyle w:val="HideTWBExt"/>
        </w:rPr>
        <w:t>&lt;Original&gt;</w:t>
      </w:r>
      <w:r w:rsidRPr="00CD3E7A">
        <w:rPr>
          <w:rStyle w:val="HideTWBInt"/>
        </w:rPr>
        <w:t>{EN}</w:t>
      </w:r>
      <w:r w:rsidRPr="00971432">
        <w:rPr>
          <w:color w:val="auto"/>
        </w:rPr>
        <w:t>en</w:t>
      </w:r>
      <w:r w:rsidRPr="00CD3E7A">
        <w:rPr>
          <w:rStyle w:val="HideTWBExt"/>
        </w:rPr>
        <w:t>&lt;/Original&gt;</w:t>
      </w:r>
    </w:p>
    <w:p w:rsidR="00C9129B" w:rsidRPr="006302FD" w:rsidRDefault="003277DB">
      <w:pPr>
        <w:pStyle w:val="Olang"/>
      </w:pPr>
      <w:r w:rsidRPr="006302FD">
        <w:rPr>
          <w:rStyle w:val="HideTWBExt"/>
        </w:rPr>
        <w:t>&lt;/Amend&gt;&lt;/RepeatBlock-Amend&gt;</w:t>
      </w:r>
    </w:p>
    <w:sectPr w:rsidR="00C9129B" w:rsidRPr="006302FD">
      <w:footerReference w:type="even" r:id="rId15"/>
      <w:footerReference w:type="default" r:id="rId16"/>
      <w:footerReference w:type="first" r:id="rId17"/>
      <w:pgSz w:w="11906" w:h="16838"/>
      <w:pgMar w:top="1134" w:right="1417" w:bottom="1417" w:left="1417"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81" w:rsidRPr="006302FD" w:rsidRDefault="003277DB">
      <w:r w:rsidRPr="006302FD">
        <w:separator/>
      </w:r>
    </w:p>
  </w:endnote>
  <w:endnote w:type="continuationSeparator" w:id="0">
    <w:p w:rsidR="00836681" w:rsidRPr="006302FD" w:rsidRDefault="003277DB">
      <w:r w:rsidRPr="006302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B" w:rsidRPr="006302FD" w:rsidRDefault="003277DB">
    <w:pPr>
      <w:pStyle w:val="Footer"/>
    </w:pPr>
    <w:r w:rsidRPr="006302FD">
      <w:rPr>
        <w:rStyle w:val="HideTWBExt"/>
      </w:rPr>
      <w:t>&lt;PathFdR&gt;</w:t>
    </w:r>
    <w:r w:rsidR="006302FD" w:rsidRPr="006302FD">
      <w:t>AM\1171564CS.docx</w:t>
    </w:r>
    <w:r w:rsidRPr="006302FD">
      <w:rPr>
        <w:rStyle w:val="HideTWBExt"/>
      </w:rPr>
      <w:t>&lt;/PathFdR&gt;</w:t>
    </w:r>
    <w:r w:rsidRPr="006302FD">
      <w:tab/>
    </w:r>
    <w:r w:rsidRPr="006302FD">
      <w:tab/>
      <w:t>PE</w:t>
    </w:r>
    <w:r w:rsidRPr="006302FD">
      <w:rPr>
        <w:rStyle w:val="HideTWBExt"/>
      </w:rPr>
      <w:t>&lt;NoPE&gt;</w:t>
    </w:r>
    <w:r w:rsidRPr="006302FD">
      <w:t>631.579</w:t>
    </w:r>
    <w:r w:rsidRPr="006302FD">
      <w:rPr>
        <w:rStyle w:val="HideTWBExt"/>
      </w:rPr>
      <w:t>&lt;/NoPE&gt;&lt;Version&gt;</w:t>
    </w:r>
    <w:r w:rsidRPr="006302FD">
      <w:t>v01-00</w:t>
    </w:r>
    <w:r w:rsidRPr="006302FD">
      <w:rPr>
        <w:rStyle w:val="HideTWBExt"/>
      </w:rPr>
      <w:t>&lt;/Version&gt;</w:t>
    </w:r>
  </w:p>
  <w:p w:rsidR="00C9129B" w:rsidRPr="006302FD" w:rsidRDefault="003277DB">
    <w:pPr>
      <w:pStyle w:val="Footer2"/>
    </w:pPr>
    <w:r w:rsidRPr="006302FD">
      <w:t>EN</w:t>
    </w:r>
    <w:r w:rsidRPr="006302FD">
      <w:tab/>
    </w:r>
    <w:r w:rsidRPr="006302FD">
      <w:rPr>
        <w:rStyle w:val="Footer2Middle"/>
      </w:rPr>
      <w:t>United in diversity</w:t>
    </w:r>
    <w:r w:rsidRPr="006302FD">
      <w:ta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91" w:rsidRPr="006302FD" w:rsidRDefault="002E6D91" w:rsidP="002E6D91">
    <w:pPr>
      <w:pStyle w:val="Footer"/>
    </w:pPr>
    <w:r w:rsidRPr="006302FD">
      <w:rPr>
        <w:rStyle w:val="HideTWBExt"/>
      </w:rPr>
      <w:t>&lt;PathFdR&gt;</w:t>
    </w:r>
    <w:r w:rsidRPr="006302FD">
      <w:t>AM\1171564CS.docx</w:t>
    </w:r>
    <w:r w:rsidRPr="006302FD">
      <w:rPr>
        <w:rStyle w:val="HideTWBExt"/>
      </w:rPr>
      <w:t>&lt;/PathFdR&gt;</w:t>
    </w:r>
    <w:r w:rsidRPr="006302FD">
      <w:tab/>
    </w:r>
    <w:r w:rsidRPr="006302FD">
      <w:tab/>
      <w:t>PE</w:t>
    </w:r>
    <w:r w:rsidRPr="006302FD">
      <w:rPr>
        <w:rStyle w:val="HideTWBExt"/>
      </w:rPr>
      <w:t>&lt;NoPE&gt;</w:t>
    </w:r>
    <w:r w:rsidRPr="006302FD">
      <w:t>631.579</w:t>
    </w:r>
    <w:r w:rsidRPr="006302FD">
      <w:rPr>
        <w:rStyle w:val="HideTWBExt"/>
      </w:rPr>
      <w:t>&lt;/NoPE&gt;&lt;Version&gt;</w:t>
    </w:r>
    <w:r w:rsidRPr="006302FD">
      <w:t>v01-00</w:t>
    </w:r>
    <w:r w:rsidRPr="006302FD">
      <w:rPr>
        <w:rStyle w:val="HideTWBExt"/>
      </w:rPr>
      <w:t>&lt;/Version&gt;</w:t>
    </w:r>
  </w:p>
  <w:p w:rsidR="00C9129B" w:rsidRPr="006302FD" w:rsidRDefault="002E6D91" w:rsidP="002E6D91">
    <w:pPr>
      <w:pStyle w:val="Footer2"/>
      <w:tabs>
        <w:tab w:val="center" w:pos="4535"/>
      </w:tabs>
    </w:pPr>
    <w:r w:rsidRPr="006302FD">
      <w:t>CS</w:t>
    </w:r>
    <w:r w:rsidRPr="006302FD">
      <w:tab/>
    </w:r>
    <w:r w:rsidRPr="006302FD">
      <w:rPr>
        <w:b w:val="0"/>
        <w:i/>
        <w:color w:val="C0C0C0"/>
        <w:sz w:val="22"/>
      </w:rPr>
      <w:t>Jednotná v rozmanitosti</w:t>
    </w:r>
    <w:r w:rsidRPr="006302FD">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B" w:rsidRPr="006302FD" w:rsidRDefault="003277DB">
    <w:pPr>
      <w:pStyle w:val="Footer"/>
    </w:pPr>
    <w:r w:rsidRPr="006302FD">
      <w:rPr>
        <w:rStyle w:val="HideTWBExt"/>
      </w:rPr>
      <w:t>&lt;PathFdR&gt;</w:t>
    </w:r>
    <w:r w:rsidR="006302FD" w:rsidRPr="006302FD">
      <w:t>AM\1171564CS.docx</w:t>
    </w:r>
    <w:r w:rsidRPr="006302FD">
      <w:rPr>
        <w:rStyle w:val="HideTWBExt"/>
      </w:rPr>
      <w:t>&lt;/PathFdR&gt;</w:t>
    </w:r>
    <w:r w:rsidRPr="006302FD">
      <w:tab/>
    </w:r>
    <w:r w:rsidRPr="006302FD">
      <w:tab/>
      <w:t>PE</w:t>
    </w:r>
    <w:r w:rsidRPr="006302FD">
      <w:rPr>
        <w:rStyle w:val="HideTWBExt"/>
      </w:rPr>
      <w:t>&lt;NoPE&gt;</w:t>
    </w:r>
    <w:r w:rsidRPr="006302FD">
      <w:t>631.579</w:t>
    </w:r>
    <w:r w:rsidRPr="006302FD">
      <w:rPr>
        <w:rStyle w:val="HideTWBExt"/>
      </w:rPr>
      <w:t>&lt;/NoPE&gt;&lt;Version&gt;</w:t>
    </w:r>
    <w:r w:rsidRPr="006302FD">
      <w:t>v01-00</w:t>
    </w:r>
    <w:r w:rsidRPr="006302FD">
      <w:rPr>
        <w:rStyle w:val="HideTWBExt"/>
      </w:rPr>
      <w:t>&lt;/Version&gt;</w:t>
    </w:r>
  </w:p>
  <w:p w:rsidR="00C9129B" w:rsidRPr="006302FD" w:rsidRDefault="003277DB">
    <w:pPr>
      <w:pStyle w:val="Footer2"/>
    </w:pPr>
    <w:r w:rsidRPr="006302FD">
      <w:t>EN</w:t>
    </w:r>
    <w:r w:rsidRPr="006302FD">
      <w:tab/>
    </w:r>
    <w:r w:rsidRPr="006302FD">
      <w:rPr>
        <w:rStyle w:val="Footer2Middle"/>
      </w:rPr>
      <w:t>United in diversity</w:t>
    </w:r>
    <w:r w:rsidRPr="006302FD">
      <w:tab/>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B" w:rsidRDefault="003277DB">
    <w:pPr>
      <w:pStyle w:val="Footer"/>
    </w:pPr>
    <w:r>
      <w:rPr>
        <w:rStyle w:val="HideTWBExt"/>
      </w:rPr>
      <w:t>&lt;PathFdR&gt;</w:t>
    </w:r>
    <w:r w:rsidR="006302FD">
      <w:t>AM\1171564CS.docx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C9129B" w:rsidRDefault="003277DB">
    <w:pPr>
      <w:pStyle w:val="Footer2"/>
    </w:pPr>
    <w:r>
      <w:t>EN</w:t>
    </w:r>
    <w:r>
      <w:tab/>
    </w:r>
    <w:r>
      <w:rPr>
        <w:rStyle w:val="Footer2Middle"/>
      </w:rPr>
      <w:t>United in diversity</w:t>
    </w:r>
    <w:r>
      <w:tab/>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91" w:rsidRDefault="002E6D91" w:rsidP="002E6D91">
    <w:pPr>
      <w:pStyle w:val="Footer"/>
    </w:pPr>
    <w:r w:rsidRPr="002E6D91">
      <w:rPr>
        <w:rStyle w:val="HideTWBExt"/>
      </w:rPr>
      <w:t>&lt;PathFdR&gt;</w:t>
    </w:r>
    <w:r>
      <w:t>AM\1171564CS.docx</w:t>
    </w:r>
    <w:r w:rsidRPr="002E6D91">
      <w:rPr>
        <w:rStyle w:val="HideTWBExt"/>
      </w:rPr>
      <w:t>&lt;/PathFdR&gt;</w:t>
    </w:r>
    <w:r>
      <w:tab/>
    </w:r>
    <w:r>
      <w:tab/>
      <w:t>PE</w:t>
    </w:r>
    <w:r w:rsidRPr="002E6D91">
      <w:rPr>
        <w:rStyle w:val="HideTWBExt"/>
      </w:rPr>
      <w:t>&lt;NoPE&gt;</w:t>
    </w:r>
    <w:r>
      <w:t>631.579</w:t>
    </w:r>
    <w:r w:rsidRPr="002E6D91">
      <w:rPr>
        <w:rStyle w:val="HideTWBExt"/>
      </w:rPr>
      <w:t>&lt;/NoPE&gt;&lt;Version&gt;</w:t>
    </w:r>
    <w:r>
      <w:t>v01-00</w:t>
    </w:r>
    <w:r w:rsidRPr="002E6D91">
      <w:rPr>
        <w:rStyle w:val="HideTWBExt"/>
      </w:rPr>
      <w:t>&lt;/Version&gt;</w:t>
    </w:r>
  </w:p>
  <w:p w:rsidR="00C9129B" w:rsidRDefault="002E6D91" w:rsidP="002E6D91">
    <w:pPr>
      <w:pStyle w:val="Footer2"/>
      <w:tabs>
        <w:tab w:val="center" w:pos="4535"/>
      </w:tabs>
    </w:pPr>
    <w:r>
      <w:t>CS</w:t>
    </w:r>
    <w:r>
      <w:tab/>
    </w:r>
    <w:r w:rsidRPr="002E6D91">
      <w:rPr>
        <w:b w:val="0"/>
        <w:i/>
        <w:color w:val="C0C0C0"/>
        <w:sz w:val="22"/>
      </w:rPr>
      <w:t>Jednotná v rozmanitosti</w:t>
    </w:r>
    <w:r>
      <w:tab/>
      <w:t>CS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B" w:rsidRDefault="003277DB">
    <w:pPr>
      <w:pStyle w:val="Footer"/>
    </w:pPr>
    <w:r>
      <w:rPr>
        <w:rStyle w:val="HideTWBExt"/>
      </w:rPr>
      <w:t>&lt;PathFdR&gt;</w:t>
    </w:r>
    <w:r w:rsidR="006302FD">
      <w:t>AM\1171564CS.docx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C9129B" w:rsidRDefault="003277DB">
    <w:pPr>
      <w:pStyle w:val="Footer2"/>
    </w:pPr>
    <w:r>
      <w:t>EN</w:t>
    </w:r>
    <w:r>
      <w:tab/>
    </w:r>
    <w:r>
      <w:rPr>
        <w:rStyle w:val="Footer2Middle"/>
      </w:rPr>
      <w:t>United in diversity</w:t>
    </w:r>
    <w:r>
      <w:tab/>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B" w:rsidRDefault="003277DB">
    <w:pPr>
      <w:pStyle w:val="Footer"/>
    </w:pPr>
    <w:r>
      <w:rPr>
        <w:rStyle w:val="HideTWBExt"/>
      </w:rPr>
      <w:t>&lt;PathFdR&gt;</w:t>
    </w:r>
    <w:r w:rsidR="006302FD">
      <w:t>AM\1171564CS.docx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C9129B" w:rsidRDefault="003277DB">
    <w:pPr>
      <w:pStyle w:val="Footer2"/>
    </w:pPr>
    <w:r>
      <w:t>EN</w:t>
    </w:r>
    <w:r>
      <w:tab/>
    </w:r>
    <w:r>
      <w:rPr>
        <w:rStyle w:val="Footer2Middle"/>
      </w:rPr>
      <w:t>United in diversity</w:t>
    </w:r>
    <w:r>
      <w:tab/>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91" w:rsidRDefault="002E6D91" w:rsidP="002E6D91">
    <w:pPr>
      <w:pStyle w:val="Footer"/>
    </w:pPr>
    <w:r w:rsidRPr="002E6D91">
      <w:rPr>
        <w:rStyle w:val="HideTWBExt"/>
      </w:rPr>
      <w:t>&lt;PathFdR&gt;</w:t>
    </w:r>
    <w:r>
      <w:t>AM\1171564CS.docx</w:t>
    </w:r>
    <w:r w:rsidRPr="002E6D91">
      <w:rPr>
        <w:rStyle w:val="HideTWBExt"/>
      </w:rPr>
      <w:t>&lt;/PathFdR&gt;</w:t>
    </w:r>
    <w:r>
      <w:tab/>
    </w:r>
    <w:r>
      <w:tab/>
      <w:t>PE</w:t>
    </w:r>
    <w:r w:rsidRPr="002E6D91">
      <w:rPr>
        <w:rStyle w:val="HideTWBExt"/>
      </w:rPr>
      <w:t>&lt;NoPE&gt;</w:t>
    </w:r>
    <w:r>
      <w:t>631.579</w:t>
    </w:r>
    <w:r w:rsidRPr="002E6D91">
      <w:rPr>
        <w:rStyle w:val="HideTWBExt"/>
      </w:rPr>
      <w:t>&lt;/NoPE&gt;&lt;Version&gt;</w:t>
    </w:r>
    <w:r>
      <w:t>v01-00</w:t>
    </w:r>
    <w:r w:rsidRPr="002E6D91">
      <w:rPr>
        <w:rStyle w:val="HideTWBExt"/>
      </w:rPr>
      <w:t>&lt;/Version&gt;</w:t>
    </w:r>
  </w:p>
  <w:p w:rsidR="00C9129B" w:rsidRDefault="002E6D91" w:rsidP="002E6D91">
    <w:pPr>
      <w:pStyle w:val="Footer2"/>
      <w:tabs>
        <w:tab w:val="center" w:pos="4535"/>
      </w:tabs>
    </w:pPr>
    <w:r>
      <w:t>CS</w:t>
    </w:r>
    <w:r>
      <w:tab/>
    </w:r>
    <w:r w:rsidRPr="002E6D91">
      <w:rPr>
        <w:b w:val="0"/>
        <w:i/>
        <w:color w:val="C0C0C0"/>
        <w:sz w:val="22"/>
      </w:rPr>
      <w:t>Jednotná v rozmanitosti</w:t>
    </w:r>
    <w:r>
      <w:tab/>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9B" w:rsidRDefault="003277DB">
    <w:pPr>
      <w:pStyle w:val="Footer"/>
    </w:pPr>
    <w:r>
      <w:rPr>
        <w:rStyle w:val="HideTWBExt"/>
      </w:rPr>
      <w:t>&lt;PathFdR&gt;</w:t>
    </w:r>
    <w:r w:rsidR="006302FD">
      <w:t>AM\1171564CS.docx</w:t>
    </w:r>
    <w:r>
      <w:rPr>
        <w:rStyle w:val="HideTWBExt"/>
      </w:rPr>
      <w:t>&lt;/PathFdR&gt;</w:t>
    </w:r>
    <w:r>
      <w:tab/>
    </w:r>
    <w:r>
      <w:tab/>
      <w:t>PE</w:t>
    </w:r>
    <w:r>
      <w:rPr>
        <w:rStyle w:val="HideTWBExt"/>
      </w:rPr>
      <w:t>&lt;NoPE&gt;</w:t>
    </w:r>
    <w:r>
      <w:t>631.579</w:t>
    </w:r>
    <w:r>
      <w:rPr>
        <w:rStyle w:val="HideTWBExt"/>
      </w:rPr>
      <w:t>&lt;/NoPE&gt;&lt;Version&gt;</w:t>
    </w:r>
    <w:r>
      <w:t>v01-00</w:t>
    </w:r>
    <w:r>
      <w:rPr>
        <w:rStyle w:val="HideTWBExt"/>
      </w:rPr>
      <w:t>&lt;/Version&gt;</w:t>
    </w:r>
  </w:p>
  <w:p w:rsidR="00C9129B" w:rsidRDefault="003277DB">
    <w:pPr>
      <w:pStyle w:val="Footer2"/>
    </w:pPr>
    <w:r>
      <w:t>EN</w:t>
    </w:r>
    <w:r>
      <w:tab/>
    </w:r>
    <w:r>
      <w:rPr>
        <w:rStyle w:val="Footer2Middle"/>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81" w:rsidRPr="006302FD" w:rsidRDefault="003277DB">
      <w:r w:rsidRPr="006302FD">
        <w:separator/>
      </w:r>
    </w:p>
  </w:footnote>
  <w:footnote w:type="continuationSeparator" w:id="0">
    <w:p w:rsidR="00836681" w:rsidRPr="006302FD" w:rsidRDefault="003277DB">
      <w:r w:rsidRPr="006302F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E7" w:rsidRDefault="009E7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E7" w:rsidRDefault="009E7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E7" w:rsidRDefault="009E7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EditedSection"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4\fbidi \froman\fcharset238\fprq2 Times New Roman CE;}{\f305\fbidi \froman\fcharset204\fprq2 Times New Roman Cyr;}_x000d__x000a_{\f307\fbidi \froman\fcharset161\fprq2 Times New Roman Greek;}{\f308\fbidi \froman\fcharset162\fprq2 Times New Roman Tur;}{\f309\fbidi \froman\fcharset177\fprq2 Times New Roman (Hebrew);}{\f310\fbidi \froman\fcharset178\fprq2 Times New Roman (Arabic);}_x000d__x000a_{\f311\fbidi \froman\fcharset186\fprq2 Times New Roman Baltic;}{\f312\fbidi \froman\fcharset163\fprq2 Times New Roman (Vietnamese);}{\f314\fbidi \fswiss\fcharset238\fprq2 Arial CE;}{\f315\fbidi \fswiss\fcharset204\fprq2 Arial Cyr;}_x000d__x000a_{\f317\fbidi \fswiss\fcharset161\fprq2 Arial Greek;}{\f318\fbidi \fswiss\fcharset162\fprq2 Arial Tur;}{\f319\fbidi \fswiss\fcharset177\fprq2 Arial (Hebrew);}{\f320\fbidi \fswiss\fcharset178\fprq2 Arial (Arabic);}_x000d__x000a_{\f321\fbidi \fswiss\fcharset186\fprq2 Arial Baltic;}{\f322\fbidi \fswiss\fcharset163\fprq2 Arial (Vietnamese);}{\f644\fbidi \froman\fcharset238\fprq2 Cambria Math CE;}{\f645\fbidi \froman\fcharset204\fprq2 Cambria Math Cyr;}_x000d__x000a_{\f647\fbidi \froman\fcharset161\fprq2 Cambria Math Greek;}{\f648\fbidi \froman\fcharset162\fprq2 Cambria Math Tur;}{\f651\fbidi \froman\fcharset186\fprq2 Cambria Math Baltic;}{\f65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b0\i0\caps0\v\fs20\cf9\loch\f1\hich\af1\dbch\af1 \spriority0 \styrsid2298540 HideTWBExt;}}{\*\rsidtbl \rsid24658\rsid735077\rsid2298540\rsid2892074\rsid4666813\rsid6641733\rsid9636012\rsid11215221\rsid12154954\rsid14424199\rsid14814380\rsid15204470_x000d__x000a_\rsid15285974\rsid15950462\rsid16324206\rsid16662270}{\mmathPr\mmathFont34\mbrkBin0\mbrkBinSub0\msmallFrac0\mdispDef1\mlMargin0\mrMargin0\mdefJc1\mwrapIndent1440\mintLim0\mnaryLim1}{\info{\author OSLADILOVA Jana}{\operator OSLADILOVA Jana}_x000d__x000a_{\creatim\yr2018\mo12\dy8\hr12\min26}{\revtim\yr2018\mo12\dy8\hr12\min26}{\version1}{\edmins0}{\nofpages1}{\nofwords1}{\nofchars7}{\*\company European Parliament}{\nofcharsws7}{\vern5744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298540\utinl \donotshowprops1\fet0{\*\wgrffmtfilter 013f}\ilfomacatclnup0{\*\template D:\\USERS\\JOSLAD~1\\AppData\\Local\\Temp\\Blank1.dot}{\*\ftnsep \ltrpar _x000d__x000a_\pard\plain \ltrpar\ql \li0\ri0\widctlpar\wrapdefault\aspalpha\aspnum\faauto\adjustright\rin0\lin0\itap0 \rtlch\fcs1 \af0\afs20\alang1025 \ltrch\fcs0 \fs24\lang2057\langfe2057\cgrid\langnp2057\langfenp2057 {\rtlch\fcs1 \af0 \ltrch\fcs0 \insrsid1481438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4814380 \chftnsepc _x000d__x000a_\par }}{\*\aftnsep \ltrpar \pard\plain \ltrpar\ql \li0\ri0\widctlpar\wrapdefault\aspalpha\aspnum\faauto\adjustright\rin0\lin0\itap0 \rtlch\fcs1 \af0\afs20\alang1025 \ltrch\fcs0 \fs24\lang2057\langfe2057\cgrid\langnp2057\langfenp2057 {\rtlch\fcs1 \af0 _x000d__x000a_\ltrch\fcs0 \insrsid14814380 \chftnsep _x000d__x000a_\par }}{\*\aftnsepc \ltrpar \pard\plain \ltrpar\ql \li0\ri0\widctlpar\wrapdefault\aspalpha\aspnum\faauto\adjustright\rin0\lin0\itap0 \rtlch\fcs1 \af0\afs20\alang1025 \ltrch\fcs0 \fs24\lang2057\langfe2057\cgrid\langnp2057\langfenp2057 {\rtlch\fcs1 \af0 _x000d__x000a_\ltrch\fcs0 \insrsid148143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1 \ltrch\fcs0 _x000d__x000a_\cs15\v\fs20\cf9\lang1024\langfe1024\loch\af1\hich\af1\dbch\af1\noproof\insrsid2298540 \hich\af1\dbch\af1\loch\f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23_x000d__x000a_80eae88e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71"/>
    <w:docVar w:name="TXTLANGUE" w:val="CS"/>
    <w:docVar w:name="TXTLANGUEMIN" w:val="cs"/>
    <w:docVar w:name="TXTNRPE" w:val="631.579"/>
    <w:docVar w:name="TXTPEorAP" w:val="PE"/>
    <w:docVar w:name="TXTROUTE" w:val="AM\1171564CS.docx"/>
    <w:docVar w:name="TXTVERSION" w:val="01-00"/>
  </w:docVars>
  <w:rsids>
    <w:rsidRoot w:val="00C9129B"/>
    <w:rsid w:val="00043033"/>
    <w:rsid w:val="002E6D91"/>
    <w:rsid w:val="003277DB"/>
    <w:rsid w:val="00381D66"/>
    <w:rsid w:val="004924BD"/>
    <w:rsid w:val="00535CEA"/>
    <w:rsid w:val="006302FD"/>
    <w:rsid w:val="0071608C"/>
    <w:rsid w:val="00836681"/>
    <w:rsid w:val="00971432"/>
    <w:rsid w:val="009E7EE7"/>
    <w:rsid w:val="00BA1A12"/>
    <w:rsid w:val="00C63720"/>
    <w:rsid w:val="00C9129B"/>
    <w:rsid w:val="00CD3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3FBD27-88F6-47A5-B0A3-C121665D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D311C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rPr>
  </w:style>
  <w:style w:type="paragraph" w:styleId="BalloonText">
    <w:name w:val="Balloon Text"/>
    <w:basedOn w:val="Normal"/>
    <w:link w:val="BalloonTextChar"/>
    <w:rsid w:val="00F82F23"/>
    <w:rPr>
      <w:rFonts w:ascii="Tahoma" w:hAnsi="Tahoma" w:cs="Tahoma"/>
      <w:sz w:val="16"/>
      <w:szCs w:val="16"/>
    </w:rPr>
  </w:style>
  <w:style w:type="character" w:customStyle="1" w:styleId="BalloonTextChar">
    <w:name w:val="Balloon Text Char"/>
    <w:basedOn w:val="DefaultParagraphFont"/>
    <w:link w:val="BalloonText"/>
    <w:rsid w:val="00F82F23"/>
    <w:rPr>
      <w:rFonts w:ascii="Tahoma" w:hAnsi="Tahoma" w:cs="Tahoma"/>
      <w:sz w:val="16"/>
      <w:szCs w:val="16"/>
    </w:rPr>
  </w:style>
  <w:style w:type="character" w:customStyle="1" w:styleId="BalloonTextChar0">
    <w:name w:val="Balloon Text Char_0"/>
    <w:basedOn w:val="DefaultParagraphFont"/>
    <w:link w:val="BalloonText0"/>
    <w:rsid w:val="00F82F23"/>
    <w:rPr>
      <w:rFonts w:ascii="Tahoma" w:hAnsi="Tahoma" w:cs="Tahoma"/>
      <w:sz w:val="16"/>
      <w:szCs w:val="16"/>
    </w:rPr>
  </w:style>
  <w:style w:type="paragraph" w:customStyle="1" w:styleId="BalloonText0">
    <w:name w:val="Balloon Text_0"/>
    <w:basedOn w:val="Normal"/>
    <w:link w:val="BalloonTextChar0"/>
    <w:rsid w:val="00F82F23"/>
    <w:rPr>
      <w:rFonts w:ascii="Tahoma" w:hAnsi="Tahoma" w:cs="Tahoma"/>
      <w:sz w:val="16"/>
      <w:szCs w:val="16"/>
    </w:rPr>
  </w:style>
  <w:style w:type="character" w:customStyle="1" w:styleId="Bold">
    <w:name w:val="Bold"/>
    <w:uiPriority w:val="1"/>
    <w:qFormat/>
    <w:rsid w:val="00D51378"/>
    <w:rPr>
      <w:rFonts w:ascii="Times New Roman" w:hAnsi="Times New Roman"/>
      <w:b/>
      <w:sz w:val="24"/>
    </w:rPr>
  </w:style>
  <w:style w:type="character" w:customStyle="1" w:styleId="BoldItalic">
    <w:name w:val="BoldItalic"/>
    <w:uiPriority w:val="1"/>
    <w:qFormat/>
    <w:rsid w:val="00B54A9F"/>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uiPriority w:val="1"/>
    <w:semiHidden/>
    <w:unhideWhenUsed/>
  </w:style>
  <w:style w:type="character" w:customStyle="1" w:styleId="FootNoteMarker">
    <w:name w:val="FootNoteMarker"/>
    <w:rPr>
      <w:color w:val="000000"/>
      <w:vertAlign w:val="superscript"/>
    </w:rPr>
  </w:style>
  <w:style w:type="paragraph" w:styleId="Footer">
    <w:name w:val="footer"/>
    <w:basedOn w:val="Normal"/>
    <w:link w:val="FooterChar"/>
    <w:rsid w:val="00F54C98"/>
    <w:pPr>
      <w:tabs>
        <w:tab w:val="center" w:pos="4535"/>
        <w:tab w:val="right" w:pos="9071"/>
      </w:tabs>
      <w:spacing w:before="240" w:after="240"/>
    </w:pPr>
    <w:rPr>
      <w:sz w:val="22"/>
    </w:rPr>
  </w:style>
  <w:style w:type="character" w:customStyle="1" w:styleId="FooterChar">
    <w:name w:val="Footer Char"/>
    <w:basedOn w:val="DefaultParagraphFont"/>
    <w:link w:val="Footer"/>
    <w:rsid w:val="00F54C98"/>
    <w:rPr>
      <w:sz w:val="22"/>
      <w:szCs w:val="24"/>
    </w:rPr>
  </w:style>
  <w:style w:type="character" w:customStyle="1" w:styleId="FooterChar0">
    <w:name w:val="Footer Char_0"/>
    <w:basedOn w:val="DefaultParagraphFont"/>
    <w:link w:val="Footer0"/>
    <w:rsid w:val="00F54C98"/>
    <w:rPr>
      <w:sz w:val="22"/>
      <w:szCs w:val="24"/>
    </w:rPr>
  </w:style>
  <w:style w:type="paragraph" w:customStyle="1" w:styleId="Footer0">
    <w:name w:val="Footer_0"/>
    <w:basedOn w:val="Normal"/>
    <w:link w:val="FooterChar0"/>
    <w:rsid w:val="00F54C98"/>
    <w:pPr>
      <w:tabs>
        <w:tab w:val="center" w:pos="4536"/>
        <w:tab w:val="right" w:pos="9072"/>
      </w:tabs>
      <w:spacing w:before="240" w:after="240"/>
    </w:pPr>
    <w:rPr>
      <w:sz w:val="22"/>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basedOn w:val="Normal"/>
    <w:pPr>
      <w:tabs>
        <w:tab w:val="right" w:pos="9921"/>
      </w:tabs>
      <w:spacing w:after="240"/>
      <w:ind w:left="-850" w:right="-850"/>
    </w:pPr>
    <w:rPr>
      <w:rFonts w:ascii="Arial" w:eastAsia="Arial" w:hAnsi="Arial" w:cs="Arial"/>
      <w:b/>
      <w:color w:val="000000"/>
      <w:sz w:val="48"/>
    </w:rPr>
  </w:style>
  <w:style w:type="paragraph" w:customStyle="1" w:styleId="Footer2Landscape">
    <w:name w:val="Footer2Landscape"/>
    <w:qFormat/>
    <w:rsid w:val="002F0BDD"/>
    <w:pPr>
      <w:tabs>
        <w:tab w:val="center" w:pos="4535"/>
        <w:tab w:val="center" w:pos="6804"/>
        <w:tab w:val="center" w:pos="13608"/>
      </w:tabs>
      <w:spacing w:line="480" w:lineRule="auto"/>
      <w:ind w:left="-851" w:right="-284"/>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645FC6"/>
    <w:pPr>
      <w:tabs>
        <w:tab w:val="center" w:pos="4536"/>
        <w:tab w:val="center" w:pos="13608"/>
      </w:tabs>
      <w:spacing w:before="240" w:after="240"/>
    </w:pPr>
    <w:rPr>
      <w:sz w:val="22"/>
      <w:szCs w:val="24"/>
    </w:rPr>
  </w:style>
  <w:style w:type="paragraph" w:customStyle="1" w:styleId="FooterRc">
    <w:name w:val="FooterRc"/>
    <w:basedOn w:val="Normal"/>
    <w:link w:val="FooterRcChar"/>
    <w:qFormat/>
    <w:rsid w:val="001B2A8C"/>
    <w:pPr>
      <w:tabs>
        <w:tab w:val="left" w:pos="6237"/>
      </w:tabs>
    </w:pPr>
    <w:rPr>
      <w:sz w:val="22"/>
    </w:rPr>
  </w:style>
  <w:style w:type="character" w:customStyle="1" w:styleId="FooterRcChar">
    <w:name w:val="FooterRc Char"/>
    <w:basedOn w:val="DefaultParagraphFont"/>
    <w:link w:val="FooterRc"/>
    <w:rsid w:val="001B2A8C"/>
    <w:rPr>
      <w:sz w:val="22"/>
      <w:szCs w:val="24"/>
    </w:rPr>
  </w:style>
  <w:style w:type="character" w:customStyle="1" w:styleId="FooterRcChar0">
    <w:name w:val="FooterRc Char_0"/>
    <w:basedOn w:val="DefaultParagraphFont"/>
    <w:link w:val="FooterRc0"/>
    <w:rsid w:val="001B2A8C"/>
    <w:rPr>
      <w:sz w:val="22"/>
      <w:szCs w:val="24"/>
    </w:rPr>
  </w:style>
  <w:style w:type="paragraph" w:customStyle="1" w:styleId="FooterRc0">
    <w:name w:val="FooterRc_0"/>
    <w:basedOn w:val="Normal"/>
    <w:link w:val="FooterRcChar0"/>
    <w:qFormat/>
    <w:rsid w:val="001B2A8C"/>
    <w:pPr>
      <w:tabs>
        <w:tab w:val="left" w:pos="6237"/>
      </w:tabs>
    </w:pPr>
    <w:rPr>
      <w:sz w:val="22"/>
    </w:rPr>
  </w:style>
  <w:style w:type="paragraph" w:styleId="Header">
    <w:name w:val="header"/>
    <w:basedOn w:val="Normal"/>
    <w:link w:val="HeaderChar"/>
    <w:rsid w:val="00173229"/>
    <w:pPr>
      <w:tabs>
        <w:tab w:val="center" w:pos="4513"/>
        <w:tab w:val="right" w:pos="9026"/>
      </w:tabs>
    </w:pPr>
  </w:style>
  <w:style w:type="character" w:customStyle="1" w:styleId="HeaderChar">
    <w:name w:val="Header Char"/>
    <w:basedOn w:val="DefaultParagraphFont"/>
    <w:link w:val="Header"/>
    <w:rsid w:val="00173229"/>
    <w:rPr>
      <w:sz w:val="24"/>
      <w:szCs w:val="24"/>
    </w:rPr>
  </w:style>
  <w:style w:type="character" w:customStyle="1" w:styleId="HeaderChar0">
    <w:name w:val="Header Char_0"/>
    <w:basedOn w:val="DefaultParagraphFont"/>
    <w:link w:val="Header0"/>
    <w:rsid w:val="00173229"/>
    <w:rPr>
      <w:sz w:val="24"/>
      <w:szCs w:val="24"/>
    </w:rPr>
  </w:style>
  <w:style w:type="paragraph" w:customStyle="1" w:styleId="Header0">
    <w:name w:val="Header_0"/>
    <w:basedOn w:val="Normal"/>
    <w:link w:val="HeaderChar0"/>
    <w:rsid w:val="00173229"/>
    <w:pPr>
      <w:tabs>
        <w:tab w:val="center" w:pos="4513"/>
        <w:tab w:val="right" w:pos="9026"/>
      </w:tabs>
    </w:pPr>
  </w:style>
  <w:style w:type="character" w:customStyle="1" w:styleId="Heading2Char">
    <w:name w:val="Heading 2 Char"/>
    <w:basedOn w:val="DefaultParagraphFont"/>
    <w:link w:val="Heading2"/>
    <w:rsid w:val="00D311CB"/>
    <w:rPr>
      <w:rFonts w:ascii="Cambria" w:eastAsia="Times New Roman" w:hAnsi="Cambria" w:cs="Times New Roman"/>
      <w:color w:val="365F91"/>
      <w:sz w:val="26"/>
      <w:szCs w:val="26"/>
    </w:rPr>
  </w:style>
  <w:style w:type="character" w:customStyle="1" w:styleId="Heading2Char0">
    <w:name w:val="Heading 2 Char_0"/>
    <w:basedOn w:val="DefaultParagraphFont"/>
    <w:link w:val="Heading20"/>
    <w:rsid w:val="00D311CB"/>
    <w:rPr>
      <w:rFonts w:ascii="Cambria" w:eastAsia="Times New Roman" w:hAnsi="Cambria" w:cs="Times New Roman"/>
      <w:color w:val="365F91"/>
      <w:sz w:val="26"/>
      <w:szCs w:val="26"/>
    </w:rPr>
  </w:style>
  <w:style w:type="paragraph" w:customStyle="1" w:styleId="Heading20">
    <w:name w:val="Heading 2_0"/>
    <w:basedOn w:val="Normal"/>
    <w:next w:val="Normal"/>
    <w:link w:val="Heading2Char0"/>
    <w:unhideWhenUsed/>
    <w:qFormat/>
    <w:rsid w:val="00D311CB"/>
    <w:pPr>
      <w:keepNext/>
      <w:keepLines/>
      <w:spacing w:before="40"/>
      <w:outlineLvl w:val="1"/>
    </w:pPr>
    <w:rPr>
      <w:rFonts w:ascii="Cambria" w:hAnsi="Cambria"/>
      <w:color w:val="365F91"/>
      <w:sz w:val="26"/>
      <w:szCs w:val="26"/>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rFonts w:ascii="Arial" w:eastAsia="Arial" w:hAnsi="Arial" w:cs="Arial"/>
      <w:b w:val="0"/>
      <w:caps w:val="0"/>
      <w:vanish/>
      <w:color w:val="808080"/>
      <w:sz w:val="22"/>
    </w:rPr>
  </w:style>
  <w:style w:type="paragraph" w:customStyle="1" w:styleId="Interstitial1">
    <w:name w:val="Interstitial1"/>
    <w:next w:val="Normal"/>
    <w:rsid w:val="00B56E2E"/>
    <w:pPr>
      <w:tabs>
        <w:tab w:val="right" w:pos="9072"/>
        <w:tab w:val="right" w:pos="13608"/>
      </w:tabs>
      <w:ind w:right="-284"/>
    </w:pPr>
    <w:rPr>
      <w:color w:val="000000"/>
      <w:sz w:val="24"/>
      <w:szCs w:val="24"/>
    </w:rPr>
  </w:style>
  <w:style w:type="paragraph" w:customStyle="1" w:styleId="InterstitialRc">
    <w:name w:val="InterstitialRc"/>
    <w:qFormat/>
    <w:rsid w:val="00171BBB"/>
    <w:pPr>
      <w:tabs>
        <w:tab w:val="left" w:pos="5670"/>
      </w:tabs>
      <w:spacing w:before="240" w:after="240"/>
    </w:pPr>
    <w:rPr>
      <w:color w:val="000000"/>
      <w:sz w:val="24"/>
      <w:szCs w:val="24"/>
    </w:rPr>
  </w:style>
  <w:style w:type="character" w:customStyle="1" w:styleId="Italic">
    <w:name w:val="Italic"/>
    <w:uiPriority w:val="1"/>
    <w:qFormat/>
    <w:rsid w:val="00D51378"/>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rPr>
  </w:style>
  <w:style w:type="paragraph" w:customStyle="1" w:styleId="LineTop">
    <w:name w:val="LineTop"/>
    <w:basedOn w:val="Normal"/>
    <w:pPr>
      <w:pBdr>
        <w:top w:val="single" w:sz="4" w:space="0" w:color="auto"/>
      </w:pBdr>
      <w:jc w:val="center"/>
    </w:pPr>
    <w:rPr>
      <w:rFonts w:ascii="Arial" w:eastAsia="Arial" w:hAnsi="Arial" w:cs="Arial"/>
      <w:color w:val="000000"/>
      <w:sz w:val="16"/>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Pr>
      <w:sz w:val="24"/>
      <w:szCs w:val="24"/>
    </w:rPr>
  </w:style>
  <w:style w:type="paragraph" w:customStyle="1" w:styleId="Normal12">
    <w:name w:val="Normal12"/>
    <w:basedOn w:val="Normal"/>
    <w:rsid w:val="00F425E5"/>
    <w:rPr>
      <w:color w:val="000000"/>
    </w:rPr>
  </w:style>
  <w:style w:type="paragraph" w:customStyle="1" w:styleId="Normal12Italic">
    <w:name w:val="Normal12Italic"/>
    <w:rPr>
      <w:i/>
      <w:color w:val="000000"/>
      <w:sz w:val="24"/>
      <w:szCs w:val="24"/>
    </w:rPr>
  </w:style>
  <w:style w:type="paragraph" w:customStyle="1" w:styleId="Normal12a12b">
    <w:name w:val="Normal12a12b"/>
    <w:basedOn w:val="Normal"/>
    <w:pPr>
      <w:spacing w:before="240" w:after="240"/>
    </w:pPr>
    <w:rPr>
      <w:color w:val="000000"/>
    </w:rPr>
  </w:style>
  <w:style w:type="paragraph" w:customStyle="1" w:styleId="Normal24">
    <w:name w:val="Normal24"/>
    <w:basedOn w:val="Normal"/>
    <w:pPr>
      <w:spacing w:after="480"/>
    </w:pPr>
    <w:rPr>
      <w:color w:val="000000"/>
    </w:rPr>
  </w:style>
  <w:style w:type="paragraph" w:customStyle="1" w:styleId="Normal6">
    <w:name w:val="Normal6"/>
    <w:basedOn w:val="Normal"/>
    <w:pPr>
      <w:spacing w:after="120"/>
    </w:pPr>
    <w:rPr>
      <w:color w:val="000000"/>
    </w:rPr>
  </w:style>
  <w:style w:type="paragraph" w:customStyle="1" w:styleId="Normal6BoldItalic">
    <w:name w:val="Normal6 + Bold Italic"/>
    <w:pPr>
      <w:spacing w:after="120"/>
    </w:pPr>
    <w:rPr>
      <w:b/>
      <w:i/>
      <w:color w:val="000000"/>
      <w:sz w:val="24"/>
      <w:szCs w:val="24"/>
    </w:rPr>
  </w:style>
  <w:style w:type="paragraph" w:customStyle="1" w:styleId="Normal6Center">
    <w:name w:val="Normal6 + Center"/>
    <w:qFormat/>
    <w:rsid w:val="008F78CF"/>
    <w:pPr>
      <w:spacing w:after="120"/>
      <w:jc w:val="center"/>
    </w:pPr>
    <w:rPr>
      <w:b/>
      <w:i/>
      <w:color w:val="000000"/>
      <w:sz w:val="24"/>
      <w:szCs w:val="24"/>
    </w:rPr>
  </w:style>
  <w:style w:type="paragraph" w:customStyle="1" w:styleId="Normal6Italic">
    <w:name w:val="Normal6Italic"/>
    <w:basedOn w:val="Normal"/>
    <w:pPr>
      <w:spacing w:after="120"/>
    </w:pPr>
    <w:rPr>
      <w:i/>
      <w:color w:val="000000"/>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rPr>
  </w:style>
  <w:style w:type="paragraph" w:customStyle="1" w:styleId="NormalBold12b">
    <w:name w:val="NormalBold12b"/>
    <w:basedOn w:val="Normal"/>
    <w:pPr>
      <w:spacing w:before="240"/>
    </w:pPr>
    <w:rPr>
      <w:b/>
      <w:color w:val="000000"/>
    </w:rPr>
  </w:style>
  <w:style w:type="paragraph" w:customStyle="1" w:styleId="Olang">
    <w:name w:val="Olang"/>
    <w:pPr>
      <w:spacing w:before="240" w:after="240"/>
      <w:jc w:val="right"/>
    </w:pPr>
    <w:rPr>
      <w:color w:val="000000"/>
      <w:sz w:val="24"/>
      <w:szCs w:val="24"/>
    </w:rPr>
  </w:style>
  <w:style w:type="paragraph" w:customStyle="1" w:styleId="PELeft">
    <w:name w:val="PELeft"/>
    <w:basedOn w:val="Normal"/>
    <w:pPr>
      <w:spacing w:before="40" w:after="40" w:line="220" w:lineRule="auto"/>
    </w:pPr>
    <w:rPr>
      <w:rFonts w:ascii="Arial" w:eastAsia="Arial" w:hAnsi="Arial" w:cs="Arial"/>
      <w:color w:val="000000"/>
      <w:sz w:val="22"/>
    </w:rPr>
  </w:style>
  <w:style w:type="paragraph" w:customStyle="1" w:styleId="PERight">
    <w:name w:val="PERight"/>
    <w:basedOn w:val="Normal"/>
    <w:next w:val="Normal"/>
    <w:pPr>
      <w:spacing w:line="220" w:lineRule="auto"/>
      <w:jc w:val="right"/>
    </w:pPr>
    <w:rPr>
      <w:rFonts w:ascii="Arial" w:eastAsia="Arial" w:hAnsi="Arial" w:cs="Arial"/>
      <w:color w:val="000000"/>
      <w:sz w:val="22"/>
    </w:rPr>
  </w:style>
  <w:style w:type="paragraph" w:customStyle="1" w:styleId="ProjRap">
    <w:name w:val="ProjRap"/>
    <w:basedOn w:val="Normal"/>
    <w:rsid w:val="00D311CB"/>
    <w:pPr>
      <w:widowControl w:val="0"/>
      <w:tabs>
        <w:tab w:val="right" w:pos="9072"/>
        <w:tab w:val="right" w:pos="13608"/>
      </w:tabs>
      <w:ind w:right="-284"/>
    </w:pPr>
    <w:rPr>
      <w:b/>
      <w:snapToGrid w:val="0"/>
      <w:szCs w:val="20"/>
    </w:rPr>
  </w:style>
  <w:style w:type="paragraph" w:customStyle="1" w:styleId="RefPE">
    <w:name w:val="RefPE"/>
    <w:basedOn w:val="Normal"/>
    <w:rsid w:val="00A92086"/>
    <w:pPr>
      <w:spacing w:after="240"/>
      <w:jc w:val="right"/>
    </w:pPr>
    <w:rPr>
      <w:rFonts w:ascii="Arial" w:hAnsi="Arial"/>
      <w:b/>
    </w:rPr>
  </w:style>
  <w:style w:type="paragraph" w:customStyle="1" w:styleId="RefProc">
    <w:name w:val="RefProc"/>
    <w:basedOn w:val="Normal"/>
    <w:rsid w:val="00B6571B"/>
    <w:pPr>
      <w:spacing w:after="240"/>
      <w:jc w:val="right"/>
    </w:pPr>
    <w:rPr>
      <w:rFonts w:ascii="Arial Bold" w:eastAsia="Arial" w:hAnsi="Arial Bold" w:cs="Arial"/>
      <w:b/>
      <w:color w:val="000000"/>
      <w:sz w:val="22"/>
    </w:rPr>
  </w:style>
  <w:style w:type="paragraph" w:customStyle="1" w:styleId="StyleNormalBoldNotBold">
    <w:name w:val="Style NormalBold + Not Bold"/>
    <w:rPr>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trPr>
      <w:hidden/>
    </w:trPr>
  </w:style>
  <w:style w:type="paragraph" w:customStyle="1" w:styleId="TypeDocAM">
    <w:name w:val="TypeDocAM"/>
    <w:basedOn w:val="Normal"/>
    <w:pPr>
      <w:ind w:left="1418"/>
    </w:pPr>
    <w:rPr>
      <w:rFonts w:ascii="Arial" w:eastAsia="Arial" w:hAnsi="Arial" w:cs="Arial"/>
      <w:b/>
      <w:color w:val="000000"/>
      <w:sz w:val="48"/>
    </w:rPr>
  </w:style>
  <w:style w:type="character" w:customStyle="1" w:styleId="Underline">
    <w:name w:val="Underline"/>
    <w:uiPriority w:val="1"/>
    <w:qFormat/>
    <w:rsid w:val="00D51378"/>
    <w:rPr>
      <w:rFonts w:ascii="Times New Roman" w:hAnsi="Times New Roman"/>
      <w:sz w:val="24"/>
    </w:rPr>
  </w:style>
  <w:style w:type="paragraph" w:customStyle="1" w:styleId="ZCommittee">
    <w:name w:val="ZCommittee"/>
    <w:basedOn w:val="Normal"/>
    <w:next w:val="Normal"/>
    <w:pPr>
      <w:spacing w:line="220" w:lineRule="auto"/>
      <w:jc w:val="center"/>
    </w:pPr>
    <w:rPr>
      <w:rFonts w:ascii="Arial" w:eastAsia="Arial" w:hAnsi="Arial" w:cs="Arial"/>
      <w:i/>
      <w:color w:val="000000"/>
      <w:sz w:val="22"/>
    </w:rPr>
  </w:style>
  <w:style w:type="paragraph" w:customStyle="1" w:styleId="ZDate">
    <w:name w:val="ZDate"/>
    <w:basedOn w:val="Normal"/>
    <w:pPr>
      <w:spacing w:after="16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53284728.dotm</Template>
  <TotalTime>0</TotalTime>
  <Pages>3</Pages>
  <Words>552</Words>
  <Characters>4509</Characters>
  <Application>Microsoft Office Word</Application>
  <DocSecurity>0</DocSecurity>
  <Lines>167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creator>e-Parliament@europarl.europa.eu</dc:creator>
  <cp:lastModifiedBy>OSLADILOVA Jana</cp:lastModifiedBy>
  <cp:revision>2</cp:revision>
  <dcterms:created xsi:type="dcterms:W3CDTF">2018-12-10T09:54:00Z</dcterms:created>
  <dcterms:modified xsi:type="dcterms:W3CDTF">2018-12-10T09:54:00Z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1171564</vt:lpwstr>
  </property>
  <property fmtid="{D5CDD505-2E9C-101B-9397-08002B2CF9AE}" pid="3" name="&lt;Model&gt;">
    <vt:lpwstr>AM_Ple_LegReport</vt:lpwstr>
  </property>
  <property fmtid="{D5CDD505-2E9C-101B-9397-08002B2CF9AE}" pid="4" name="&lt;Type&gt;">
    <vt:lpwstr>AM</vt:lpwstr>
  </property>
  <property fmtid="{D5CDD505-2E9C-101B-9397-08002B2CF9AE}" pid="5" name="DMXMLUID">
    <vt:lpwstr>20181206-223710-073013-563083</vt:lpwstr>
  </property>
  <property fmtid="{D5CDD505-2E9C-101B-9397-08002B2CF9AE}" pid="6" name="FooterPath">
    <vt:lpwstr>AM\1171564CS.docx</vt:lpwstr>
  </property>
  <property fmtid="{D5CDD505-2E9C-101B-9397-08002B2CF9AE}" pid="7" name="PE Number">
    <vt:lpwstr>631.579</vt:lpwstr>
  </property>
  <property fmtid="{D5CDD505-2E9C-101B-9397-08002B2CF9AE}" pid="8" name="UID">
    <vt:lpwstr>eu.europa.europarl-DIN1-2018-0000150167_01.00-en-01.00_text-xml</vt:lpwstr>
  </property>
  <property fmtid="{D5CDD505-2E9C-101B-9397-08002B2CF9AE}" pid="9" name="LastEdited with">
    <vt:lpwstr>9.5.1 Build [20181101]</vt:lpwstr>
  </property>
  <property fmtid="{D5CDD505-2E9C-101B-9397-08002B2CF9AE}" pid="10" name="Bookout">
    <vt:lpwstr>OK - 2018/12/10 10:54</vt:lpwstr>
  </property>
  <property fmtid="{D5CDD505-2E9C-101B-9397-08002B2CF9AE}" pid="11" name="SDLStudio">
    <vt:lpwstr/>
  </property>
  <property fmtid="{D5CDD505-2E9C-101B-9397-08002B2CF9AE}" pid="12" name="&lt;Extension&gt;">
    <vt:lpwstr>CS</vt:lpwstr>
  </property>
</Properties>
</file>