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83659C" w:rsidRDefault="00F32C95">
      <w:pPr>
        <w:pStyle w:val="Interstitial1"/>
      </w:pPr>
      <w:r w:rsidRPr="0083659C">
        <w:rPr>
          <w:rStyle w:val="HideTWBExt"/>
        </w:rPr>
        <w:t>&lt;RepeatBlock-Amend&gt;&lt;Amend&gt;&lt;Date&gt;</w:t>
      </w:r>
      <w:r w:rsidRPr="0083659C">
        <w:rPr>
          <w:rStyle w:val="HideTWBInt"/>
          <w:color w:val="auto"/>
        </w:rPr>
        <w:t>{06/12/2018}</w:t>
      </w:r>
      <w:r w:rsidRPr="0083659C">
        <w:rPr>
          <w:color w:val="auto"/>
        </w:rPr>
        <w:t>6.12.2018</w:t>
      </w:r>
      <w:r w:rsidRPr="0083659C">
        <w:rPr>
          <w:rStyle w:val="HideTWBExt"/>
        </w:rPr>
        <w:t>&lt;/Date&gt;</w:t>
      </w:r>
      <w:r w:rsidRPr="0083659C">
        <w:rPr>
          <w:color w:val="auto"/>
        </w:rPr>
        <w:tab/>
      </w:r>
      <w:r w:rsidRPr="0083659C">
        <w:rPr>
          <w:rStyle w:val="HideTWBExt"/>
        </w:rPr>
        <w:t>&lt;ANo&gt;</w:t>
      </w:r>
      <w:r w:rsidRPr="0083659C">
        <w:rPr>
          <w:color w:val="auto"/>
        </w:rPr>
        <w:t>A8-0417</w:t>
      </w:r>
      <w:r w:rsidRPr="0083659C">
        <w:rPr>
          <w:rStyle w:val="HideTWBExt"/>
        </w:rPr>
        <w:t>&lt;/ANo&gt;</w:t>
      </w:r>
      <w:r w:rsidRPr="0083659C">
        <w:rPr>
          <w:color w:val="auto"/>
        </w:rPr>
        <w:t>/</w:t>
      </w:r>
      <w:r w:rsidRPr="0083659C">
        <w:rPr>
          <w:rStyle w:val="HideTWBExt"/>
        </w:rPr>
        <w:t>&lt;NumAm&gt;</w:t>
      </w:r>
      <w:r w:rsidRPr="0083659C">
        <w:rPr>
          <w:color w:val="auto"/>
        </w:rPr>
        <w:t>158</w:t>
      </w:r>
      <w:r w:rsidRPr="0083659C">
        <w:rPr>
          <w:rStyle w:val="HideTWBExt"/>
        </w:rPr>
        <w:t>&lt;/NumAm&gt;</w:t>
      </w:r>
    </w:p>
    <w:p w:rsidR="008B2576" w:rsidRPr="0083659C" w:rsidRDefault="00F32C95">
      <w:pPr>
        <w:pStyle w:val="AMNumberTabs"/>
      </w:pPr>
      <w:r w:rsidRPr="0083659C">
        <w:rPr>
          <w:color w:val="auto"/>
        </w:rPr>
        <w:t>Tarkistus</w:t>
      </w:r>
      <w:r w:rsidRPr="0083659C">
        <w:rPr>
          <w:color w:val="auto"/>
        </w:rPr>
        <w:tab/>
      </w:r>
      <w:r w:rsidRPr="0083659C">
        <w:rPr>
          <w:color w:val="auto"/>
        </w:rPr>
        <w:tab/>
      </w:r>
      <w:r w:rsidRPr="0083659C">
        <w:rPr>
          <w:rStyle w:val="HideTWBExt"/>
        </w:rPr>
        <w:t>&lt;NumAm&gt;</w:t>
      </w:r>
      <w:r w:rsidRPr="0083659C">
        <w:rPr>
          <w:color w:val="auto"/>
        </w:rPr>
        <w:t>158</w:t>
      </w:r>
      <w:r w:rsidRPr="0083659C">
        <w:rPr>
          <w:rStyle w:val="HideTWBExt"/>
        </w:rPr>
        <w:t>&lt;/NumAm&gt;</w:t>
      </w:r>
    </w:p>
    <w:p w:rsidR="008B2576" w:rsidRPr="0083659C" w:rsidRDefault="00F32C95">
      <w:pPr>
        <w:pStyle w:val="NormalBold"/>
      </w:pPr>
      <w:r w:rsidRPr="0083659C">
        <w:rPr>
          <w:rStyle w:val="HideTWBExt"/>
        </w:rPr>
        <w:t>&lt;RepeatBlock-By&gt;&lt;Members&gt;</w:t>
      </w:r>
      <w:r w:rsidRPr="0083659C">
        <w:rPr>
          <w:color w:val="auto"/>
        </w:rPr>
        <w:t>Martin Häusling</w:t>
      </w:r>
      <w:r w:rsidRPr="0083659C">
        <w:rPr>
          <w:rStyle w:val="HideTWBExt"/>
        </w:rPr>
        <w:t>&lt;/Members&gt;</w:t>
      </w:r>
    </w:p>
    <w:p w:rsidR="008B2576" w:rsidRPr="0083659C" w:rsidRDefault="00F32C95">
      <w:r w:rsidRPr="0083659C">
        <w:rPr>
          <w:rStyle w:val="HideTWBExt"/>
        </w:rPr>
        <w:t>&lt;AuNomDe&gt;</w:t>
      </w:r>
      <w:r w:rsidRPr="0083659C">
        <w:rPr>
          <w:rStyle w:val="HideTWBInt"/>
          <w:color w:val="auto"/>
        </w:rPr>
        <w:t>{Verts/ALE}</w:t>
      </w:r>
      <w:r w:rsidRPr="0083659C">
        <w:t>Verts/ALE-ryhmän puolesta</w:t>
      </w:r>
      <w:r w:rsidRPr="0083659C">
        <w:rPr>
          <w:rStyle w:val="HideTWBExt"/>
        </w:rPr>
        <w:t>&lt;/AuNomDe&gt;</w:t>
      </w:r>
    </w:p>
    <w:p w:rsidR="008B2576" w:rsidRPr="0083659C" w:rsidRDefault="00F32C95">
      <w:r w:rsidRPr="0083659C">
        <w:rPr>
          <w:rStyle w:val="HideTWBExt"/>
        </w:rPr>
        <w:t>&lt;/RepeatBlock-By&gt;</w:t>
      </w:r>
    </w:p>
    <w:p w:rsidR="008B2576" w:rsidRPr="0083659C" w:rsidRDefault="00F32C95">
      <w:pPr>
        <w:pStyle w:val="ProjRap"/>
      </w:pPr>
      <w:r w:rsidRPr="0083659C">
        <w:rPr>
          <w:rStyle w:val="HideTWBExt"/>
        </w:rPr>
        <w:t>&lt;TitreType&gt;</w:t>
      </w:r>
      <w:r w:rsidRPr="0083659C">
        <w:t>Mietintö</w:t>
      </w:r>
      <w:r w:rsidRPr="0083659C">
        <w:rPr>
          <w:rStyle w:val="HideTWBExt"/>
        </w:rPr>
        <w:t>&lt;/TitreType&gt;</w:t>
      </w:r>
      <w:r w:rsidRPr="0083659C">
        <w:tab/>
        <w:t>A8-0417/2018</w:t>
      </w:r>
    </w:p>
    <w:p w:rsidR="008B2576" w:rsidRPr="0083659C" w:rsidRDefault="00F32C95">
      <w:pPr>
        <w:pStyle w:val="NormalBold"/>
      </w:pPr>
      <w:r w:rsidRPr="0083659C">
        <w:rPr>
          <w:rStyle w:val="HideTWBExt"/>
        </w:rPr>
        <w:t>&lt;Rapporteur&gt;</w:t>
      </w:r>
      <w:r w:rsidRPr="0083659C">
        <w:rPr>
          <w:color w:val="auto"/>
        </w:rPr>
        <w:t>Renate Sommer</w:t>
      </w:r>
      <w:r w:rsidRPr="0083659C">
        <w:rPr>
          <w:rStyle w:val="HideTWBExt"/>
        </w:rPr>
        <w:t>&lt;/Rapporteur&gt;</w:t>
      </w:r>
    </w:p>
    <w:p w:rsidR="008B2576" w:rsidRPr="0083659C" w:rsidRDefault="00F32C95">
      <w:pPr>
        <w:pStyle w:val="Normal12"/>
      </w:pPr>
      <w:r w:rsidRPr="0083659C">
        <w:rPr>
          <w:rStyle w:val="HideTWBExt"/>
        </w:rPr>
        <w:t>&lt;Titre&gt;</w:t>
      </w:r>
      <w:r w:rsidRPr="0083659C">
        <w:t>Elintarvikeketjuun sovellettavan EU:n riskinarvioinnin avoimuus ja kestävyys</w:t>
      </w:r>
      <w:r w:rsidRPr="0083659C">
        <w:rPr>
          <w:rStyle w:val="HideTWBExt"/>
        </w:rPr>
        <w:t>&lt;/Titre&gt;</w:t>
      </w:r>
    </w:p>
    <w:p w:rsidR="008B2576" w:rsidRPr="0083659C" w:rsidRDefault="00F32C95">
      <w:pPr>
        <w:pStyle w:val="Normal12"/>
      </w:pPr>
      <w:r w:rsidRPr="0083659C">
        <w:rPr>
          <w:rStyle w:val="HideTWBExt"/>
        </w:rPr>
        <w:t>&lt;DocRef&gt;</w:t>
      </w:r>
      <w:r w:rsidRPr="0083659C">
        <w:rPr>
          <w:color w:val="auto"/>
        </w:rPr>
        <w:t>(COM(2018)0179 – C8-0144/2018 – 2018/0088(COD))</w:t>
      </w:r>
      <w:r w:rsidRPr="0083659C">
        <w:rPr>
          <w:rStyle w:val="HideTWBExt"/>
        </w:rPr>
        <w:t>&lt;/DocRef&gt;</w:t>
      </w:r>
    </w:p>
    <w:p w:rsidR="008B2576" w:rsidRPr="0083659C" w:rsidRDefault="008B2576">
      <w:pPr>
        <w:pStyle w:val="Normal12"/>
      </w:pPr>
    </w:p>
    <w:p w:rsidR="008B2576" w:rsidRPr="0083659C" w:rsidRDefault="00F32C95">
      <w:pPr>
        <w:pStyle w:val="NormalBold"/>
      </w:pPr>
      <w:r w:rsidRPr="0083659C">
        <w:rPr>
          <w:rStyle w:val="HideTWBExt"/>
        </w:rPr>
        <w:t>&lt;DocAmend&gt;</w:t>
      </w:r>
      <w:r w:rsidRPr="0083659C">
        <w:rPr>
          <w:color w:val="auto"/>
        </w:rPr>
        <w:t>Ehdotus asetukseksi</w:t>
      </w:r>
      <w:r w:rsidRPr="0083659C">
        <w:rPr>
          <w:rStyle w:val="HideTWBExt"/>
        </w:rPr>
        <w:t>&lt;/DocAmend&gt;</w:t>
      </w:r>
    </w:p>
    <w:p w:rsidR="008B2576" w:rsidRPr="0083659C" w:rsidRDefault="00F32C95">
      <w:pPr>
        <w:pStyle w:val="NormalBold"/>
      </w:pPr>
      <w:r w:rsidRPr="0083659C">
        <w:rPr>
          <w:rStyle w:val="HideTWBExt"/>
        </w:rPr>
        <w:t>&lt;Article&gt;</w:t>
      </w:r>
      <w:r w:rsidRPr="0083659C">
        <w:rPr>
          <w:color w:val="auto"/>
        </w:rPr>
        <w:t>Johdanto-osan 21 kappale</w:t>
      </w:r>
      <w:r w:rsidRPr="0083659C">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76" w:rsidRPr="0083659C">
        <w:trPr>
          <w:trHeight w:hRule="exact" w:val="240"/>
          <w:jc w:val="center"/>
        </w:trPr>
        <w:tc>
          <w:tcPr>
            <w:tcW w:w="9752" w:type="dxa"/>
            <w:gridSpan w:val="2"/>
          </w:tcPr>
          <w:p w:rsidR="008B2576" w:rsidRPr="0083659C" w:rsidRDefault="008B2576"/>
        </w:tc>
      </w:tr>
      <w:tr w:rsidR="008B2576" w:rsidRPr="0083659C">
        <w:trPr>
          <w:trHeight w:val="240"/>
          <w:jc w:val="center"/>
        </w:trPr>
        <w:tc>
          <w:tcPr>
            <w:tcW w:w="4876" w:type="dxa"/>
          </w:tcPr>
          <w:p w:rsidR="008B2576" w:rsidRPr="0083659C" w:rsidRDefault="00F32C95">
            <w:pPr>
              <w:pStyle w:val="ColumnHeading"/>
              <w:rPr>
                <w:color w:val="auto"/>
              </w:rPr>
            </w:pPr>
            <w:r w:rsidRPr="0083659C">
              <w:rPr>
                <w:color w:val="auto"/>
              </w:rPr>
              <w:t>Komission teksti</w:t>
            </w:r>
          </w:p>
        </w:tc>
        <w:tc>
          <w:tcPr>
            <w:tcW w:w="4876" w:type="dxa"/>
          </w:tcPr>
          <w:p w:rsidR="008B2576" w:rsidRPr="0083659C" w:rsidRDefault="00F32C95">
            <w:pPr>
              <w:pStyle w:val="ColumnHeading"/>
              <w:rPr>
                <w:color w:val="auto"/>
              </w:rPr>
            </w:pPr>
            <w:r w:rsidRPr="0083659C">
              <w:rPr>
                <w:color w:val="auto"/>
              </w:rPr>
              <w:t>Tarkistus</w:t>
            </w:r>
          </w:p>
        </w:tc>
      </w:tr>
      <w:tr w:rsidR="008B2576" w:rsidRPr="0083659C">
        <w:trPr>
          <w:jc w:val="center"/>
        </w:trPr>
        <w:tc>
          <w:tcPr>
            <w:tcW w:w="4876" w:type="dxa"/>
          </w:tcPr>
          <w:p w:rsidR="008B2576" w:rsidRPr="0083659C" w:rsidRDefault="00F32C95">
            <w:pPr>
              <w:pStyle w:val="Normal6"/>
              <w:rPr>
                <w:color w:val="auto"/>
              </w:rPr>
            </w:pPr>
            <w:r w:rsidRPr="0083659C">
              <w:rPr>
                <w:color w:val="auto"/>
              </w:rPr>
              <w:t>(21)</w:t>
            </w:r>
            <w:r w:rsidRPr="0083659C">
              <w:rPr>
                <w:color w:val="auto"/>
              </w:rPr>
              <w:tab/>
              <w:t xml:space="preserve">Elintarvikealan toimijoiden unionin alakohtaisen elintarvikelainsäädännön nojalla tekemän lupahakemuksen tueksi </w:t>
            </w:r>
            <w:r w:rsidRPr="0083659C">
              <w:rPr>
                <w:b/>
                <w:i/>
                <w:color w:val="auto"/>
              </w:rPr>
              <w:t>toimittamissa tutkimuksissa</w:t>
            </w:r>
            <w:r w:rsidRPr="0083659C">
              <w:rPr>
                <w:color w:val="auto"/>
              </w:rPr>
              <w:t xml:space="preserve">, myös </w:t>
            </w:r>
            <w:r w:rsidRPr="0083659C">
              <w:rPr>
                <w:b/>
                <w:i/>
                <w:color w:val="auto"/>
              </w:rPr>
              <w:t>testeissä</w:t>
            </w:r>
            <w:r w:rsidRPr="0083659C">
              <w:rPr>
                <w:color w:val="auto"/>
              </w:rPr>
              <w:t xml:space="preserve">, </w:t>
            </w:r>
            <w:r w:rsidRPr="0083659C">
              <w:rPr>
                <w:b/>
                <w:i/>
                <w:color w:val="auto"/>
              </w:rPr>
              <w:t>noudatetaan yleensä</w:t>
            </w:r>
            <w:r w:rsidRPr="0083659C">
              <w:rPr>
                <w:color w:val="auto"/>
              </w:rPr>
              <w:t xml:space="preserve"> kansainvälisesti tunnustettuja periaatteita, jotka tarjoavat yhtenäisen perustan niiden laadulle, etenkin tulosten toistettavuuden osalta. Joissakin tapauksissa saattaa kuitenkin esiintyä sovellettavien vaatimusten noudattamiseen liittyviä ongelmia, minkä vuoksi käytössä on kansallisia järjestelmiä, joilla varmistetaan vaatimusten noudattaminen. On aiheellista säätää lisätakeista, joilla vakuutetaan kansalaiset tutkimusten laadusta, ja tehostetusta auditointijärjestelmästä, jossa jäsenvaltiot valvovat, että tutkimuksia ja testejä tekevät laboratoriot noudattavat edellä esitettyjä periaatteita, ja komissio todentaa tämän valvonnan.</w:t>
            </w:r>
          </w:p>
        </w:tc>
        <w:tc>
          <w:tcPr>
            <w:tcW w:w="4876" w:type="dxa"/>
          </w:tcPr>
          <w:p w:rsidR="008B2576" w:rsidRPr="0083659C" w:rsidRDefault="00F32C95">
            <w:pPr>
              <w:pStyle w:val="Normal6"/>
              <w:rPr>
                <w:color w:val="auto"/>
              </w:rPr>
            </w:pPr>
            <w:r w:rsidRPr="0083659C">
              <w:rPr>
                <w:color w:val="auto"/>
              </w:rPr>
              <w:t>(21)</w:t>
            </w:r>
            <w:r w:rsidRPr="0083659C">
              <w:rPr>
                <w:color w:val="auto"/>
              </w:rPr>
              <w:tab/>
              <w:t xml:space="preserve">Elintarvikealan toimijoiden unionin alakohtaisen elintarvikelainsäädännön nojalla tekemän lupahakemuksen tueksi </w:t>
            </w:r>
            <w:r w:rsidRPr="0083659C">
              <w:rPr>
                <w:b/>
                <w:i/>
                <w:color w:val="auto"/>
              </w:rPr>
              <w:t>toimittamien tutkimusten</w:t>
            </w:r>
            <w:r w:rsidRPr="0083659C">
              <w:rPr>
                <w:color w:val="auto"/>
              </w:rPr>
              <w:t xml:space="preserve">, myös </w:t>
            </w:r>
            <w:r w:rsidRPr="0083659C">
              <w:rPr>
                <w:b/>
                <w:i/>
                <w:color w:val="auto"/>
              </w:rPr>
              <w:t>testien, olisi perustuttava riippumattomaan vertaisarvioituun kirjallisuuteen</w:t>
            </w:r>
            <w:r w:rsidRPr="0083659C">
              <w:rPr>
                <w:color w:val="auto"/>
              </w:rPr>
              <w:t xml:space="preserve">, </w:t>
            </w:r>
            <w:r w:rsidRPr="0083659C">
              <w:rPr>
                <w:b/>
                <w:i/>
                <w:color w:val="auto"/>
              </w:rPr>
              <w:t>tai niissä olisi noudatettava</w:t>
            </w:r>
            <w:r w:rsidRPr="0083659C">
              <w:rPr>
                <w:color w:val="auto"/>
              </w:rPr>
              <w:t xml:space="preserve"> kansainvälisesti tunnustettuja</w:t>
            </w:r>
            <w:r w:rsidRPr="0083659C">
              <w:rPr>
                <w:b/>
                <w:i/>
                <w:color w:val="auto"/>
              </w:rPr>
              <w:t xml:space="preserve"> standardeja ja hyvän laboratoriokäytännön</w:t>
            </w:r>
            <w:r w:rsidRPr="0083659C">
              <w:rPr>
                <w:color w:val="auto"/>
              </w:rPr>
              <w:t xml:space="preserve"> periaatteita, jotka tarjoavat yhtenäisen perustan niiden laadulle, etenkin tulosten toistettavuuden osalta. Joissakin tapauksissa saattaa kuitenkin esiintyä sovellettavien vaatimusten noudattamiseen liittyviä ongelmia, minkä vuoksi käytössä on kansallisia järjestelmiä, joilla varmistetaan vaatimusten noudattaminen. On aiheellista säätää lisätakeista, joilla vakuutetaan kansalaiset tutkimusten laadusta, ja tehostetusta auditointijärjestelmästä, jossa jäsenvaltiot </w:t>
            </w:r>
            <w:r w:rsidRPr="0083659C">
              <w:rPr>
                <w:b/>
                <w:i/>
                <w:color w:val="auto"/>
              </w:rPr>
              <w:t xml:space="preserve">tai kolmannet maat </w:t>
            </w:r>
            <w:r w:rsidRPr="0083659C">
              <w:rPr>
                <w:color w:val="auto"/>
              </w:rPr>
              <w:t>valvovat</w:t>
            </w:r>
            <w:r w:rsidRPr="0083659C">
              <w:rPr>
                <w:b/>
                <w:i/>
                <w:color w:val="auto"/>
              </w:rPr>
              <w:t xml:space="preserve"> yhteistyössä komission terveys- ja elintarviketarkastusten ja analysoinnin osaston kanssa</w:t>
            </w:r>
            <w:r w:rsidRPr="0083659C">
              <w:rPr>
                <w:color w:val="auto"/>
              </w:rPr>
              <w:t>, että tutkimuksia ja testejä tekevät laboratoriot noudattavat edellä esitettyjä periaatteita</w:t>
            </w:r>
            <w:r w:rsidRPr="0083659C">
              <w:rPr>
                <w:b/>
                <w:i/>
                <w:color w:val="auto"/>
              </w:rPr>
              <w:t xml:space="preserve"> unionissa ja kolmansissa maissa</w:t>
            </w:r>
            <w:r w:rsidRPr="0083659C">
              <w:rPr>
                <w:color w:val="auto"/>
              </w:rPr>
              <w:t>, ja komissio todentaa tämän valvonnan.</w:t>
            </w:r>
          </w:p>
        </w:tc>
      </w:tr>
    </w:tbl>
    <w:p w:rsidR="008B2576" w:rsidRPr="0083659C" w:rsidRDefault="00F32C95" w:rsidP="006B2505">
      <w:pPr>
        <w:pStyle w:val="Olang"/>
      </w:pPr>
      <w:r w:rsidRPr="0083659C">
        <w:rPr>
          <w:color w:val="auto"/>
        </w:rPr>
        <w:t xml:space="preserve">Or. </w:t>
      </w:r>
      <w:r w:rsidRPr="0083659C">
        <w:rPr>
          <w:rStyle w:val="HideTWBExt"/>
        </w:rPr>
        <w:t>&lt;Original&gt;</w:t>
      </w:r>
      <w:r w:rsidRPr="0083659C">
        <w:rPr>
          <w:rStyle w:val="HideTWBInt"/>
        </w:rPr>
        <w:t>{EN}</w:t>
      </w:r>
      <w:r w:rsidRPr="0083659C">
        <w:rPr>
          <w:color w:val="auto"/>
        </w:rPr>
        <w:t>en</w:t>
      </w:r>
      <w:r w:rsidRPr="0083659C">
        <w:rPr>
          <w:rStyle w:val="HideTWBExt"/>
        </w:rPr>
        <w:t>&lt;/Original&gt;</w:t>
      </w:r>
    </w:p>
    <w:p w:rsidR="008B2576" w:rsidRPr="0083659C" w:rsidRDefault="00F32C95">
      <w:pPr>
        <w:pStyle w:val="JustificationTitle"/>
      </w:pPr>
      <w:r w:rsidRPr="0083659C">
        <w:rPr>
          <w:rStyle w:val="HideTWBExt"/>
        </w:rPr>
        <w:lastRenderedPageBreak/>
        <w:t>&lt;TitreJust&gt;</w:t>
      </w:r>
      <w:r w:rsidRPr="0083659C">
        <w:rPr>
          <w:color w:val="auto"/>
        </w:rPr>
        <w:t>Perustelu</w:t>
      </w:r>
      <w:r w:rsidRPr="0083659C">
        <w:rPr>
          <w:rStyle w:val="HideTWBExt"/>
        </w:rPr>
        <w:t>&lt;/TitreJust&gt;</w:t>
      </w:r>
    </w:p>
    <w:p w:rsidR="008B2576" w:rsidRPr="0083659C" w:rsidRDefault="00F32C95">
      <w:pPr>
        <w:pStyle w:val="Normal12Italic"/>
      </w:pPr>
      <w:r w:rsidRPr="0083659C">
        <w:t>Tarkistus perustuu ENVI-valiokunnan mietinnön tarkistukseen 21, ja siinä mukautetaan sanamuotoa asiaa koskevaan artiklaan (tarkistus 67: ”riippumaton ja vertaisarvioitu kirjallisuus” ”vapaasti käytettävissä olevan tieteellisen kirjallisuuden” sijaan.</w:t>
      </w:r>
    </w:p>
    <w:p w:rsidR="008B2576" w:rsidRPr="0083659C" w:rsidRDefault="00F32C95">
      <w:pPr>
        <w:pStyle w:val="Normal12Italic"/>
        <w:rPr>
          <w:color w:val="auto"/>
        </w:rPr>
        <w:sectPr w:rsidR="008B2576" w:rsidRPr="0083659C" w:rsidSect="006E2C25">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83659C">
        <w:rPr>
          <w:rStyle w:val="HideTWBExt"/>
        </w:rPr>
        <w:t>&lt;/Amend&gt;</w:t>
      </w:r>
    </w:p>
    <w:p w:rsidR="008B2576" w:rsidRPr="0083659C" w:rsidRDefault="00F32C95">
      <w:pPr>
        <w:pStyle w:val="Interstitial1"/>
      </w:pPr>
      <w:r w:rsidRPr="0083659C">
        <w:rPr>
          <w:rStyle w:val="HideTWBExt"/>
        </w:rPr>
        <w:lastRenderedPageBreak/>
        <w:t>&lt;Amend&gt;&lt;Date&gt;</w:t>
      </w:r>
      <w:r w:rsidRPr="0083659C">
        <w:rPr>
          <w:rStyle w:val="HideTWBInt"/>
          <w:color w:val="auto"/>
        </w:rPr>
        <w:t>{06/12/2018}</w:t>
      </w:r>
      <w:r w:rsidRPr="0083659C">
        <w:rPr>
          <w:color w:val="auto"/>
        </w:rPr>
        <w:t>6.12.2018</w:t>
      </w:r>
      <w:r w:rsidRPr="0083659C">
        <w:rPr>
          <w:rStyle w:val="HideTWBExt"/>
        </w:rPr>
        <w:t>&lt;/Date&gt;</w:t>
      </w:r>
      <w:r w:rsidRPr="0083659C">
        <w:rPr>
          <w:color w:val="auto"/>
        </w:rPr>
        <w:tab/>
      </w:r>
      <w:r w:rsidRPr="0083659C">
        <w:rPr>
          <w:rStyle w:val="HideTWBExt"/>
        </w:rPr>
        <w:t>&lt;ANo&gt;</w:t>
      </w:r>
      <w:r w:rsidRPr="0083659C">
        <w:rPr>
          <w:color w:val="auto"/>
        </w:rPr>
        <w:t>A8-0417</w:t>
      </w:r>
      <w:r w:rsidRPr="0083659C">
        <w:rPr>
          <w:rStyle w:val="HideTWBExt"/>
        </w:rPr>
        <w:t>&lt;/ANo&gt;</w:t>
      </w:r>
      <w:r w:rsidRPr="0083659C">
        <w:rPr>
          <w:color w:val="auto"/>
        </w:rPr>
        <w:t>/</w:t>
      </w:r>
      <w:r w:rsidRPr="0083659C">
        <w:rPr>
          <w:rStyle w:val="HideTWBExt"/>
        </w:rPr>
        <w:t>&lt;NumAm&gt;</w:t>
      </w:r>
      <w:r w:rsidRPr="0083659C">
        <w:rPr>
          <w:color w:val="auto"/>
        </w:rPr>
        <w:t>159</w:t>
      </w:r>
      <w:r w:rsidRPr="0083659C">
        <w:rPr>
          <w:rStyle w:val="HideTWBExt"/>
        </w:rPr>
        <w:t>&lt;/NumAm&gt;</w:t>
      </w:r>
    </w:p>
    <w:p w:rsidR="008B2576" w:rsidRPr="0083659C" w:rsidRDefault="00F32C95">
      <w:pPr>
        <w:pStyle w:val="AMNumberTabs"/>
      </w:pPr>
      <w:r w:rsidRPr="0083659C">
        <w:rPr>
          <w:color w:val="auto"/>
        </w:rPr>
        <w:t>Tarkistus</w:t>
      </w:r>
      <w:r w:rsidRPr="0083659C">
        <w:rPr>
          <w:color w:val="auto"/>
        </w:rPr>
        <w:tab/>
      </w:r>
      <w:r w:rsidRPr="0083659C">
        <w:rPr>
          <w:color w:val="auto"/>
        </w:rPr>
        <w:tab/>
      </w:r>
      <w:r w:rsidRPr="0083659C">
        <w:rPr>
          <w:rStyle w:val="HideTWBExt"/>
        </w:rPr>
        <w:t>&lt;NumAm&gt;</w:t>
      </w:r>
      <w:r w:rsidRPr="0083659C">
        <w:rPr>
          <w:color w:val="auto"/>
        </w:rPr>
        <w:t>159</w:t>
      </w:r>
      <w:r w:rsidRPr="0083659C">
        <w:rPr>
          <w:rStyle w:val="HideTWBExt"/>
        </w:rPr>
        <w:t>&lt;/NumAm&gt;</w:t>
      </w:r>
    </w:p>
    <w:p w:rsidR="008B2576" w:rsidRPr="0083659C" w:rsidRDefault="00F32C95">
      <w:pPr>
        <w:pStyle w:val="NormalBold"/>
      </w:pPr>
      <w:r w:rsidRPr="0083659C">
        <w:rPr>
          <w:rStyle w:val="HideTWBExt"/>
        </w:rPr>
        <w:t>&lt;RepeatBlock-By&gt;&lt;Members&gt;</w:t>
      </w:r>
      <w:r w:rsidRPr="0083659C">
        <w:rPr>
          <w:color w:val="auto"/>
        </w:rPr>
        <w:t>Martin Häusling</w:t>
      </w:r>
      <w:r w:rsidRPr="0083659C">
        <w:rPr>
          <w:rStyle w:val="HideTWBExt"/>
        </w:rPr>
        <w:t>&lt;/Members&gt;</w:t>
      </w:r>
    </w:p>
    <w:p w:rsidR="008B2576" w:rsidRPr="0083659C" w:rsidRDefault="00F32C95">
      <w:r w:rsidRPr="0083659C">
        <w:rPr>
          <w:rStyle w:val="HideTWBExt"/>
        </w:rPr>
        <w:t>&lt;AuNomDe&gt;</w:t>
      </w:r>
      <w:r w:rsidRPr="0083659C">
        <w:rPr>
          <w:rStyle w:val="HideTWBInt"/>
          <w:color w:val="auto"/>
        </w:rPr>
        <w:t>{Verts/ALE}</w:t>
      </w:r>
      <w:r w:rsidRPr="0083659C">
        <w:t>Verts/ALE-ryhmän puolesta</w:t>
      </w:r>
      <w:r w:rsidRPr="0083659C">
        <w:rPr>
          <w:rStyle w:val="HideTWBExt"/>
        </w:rPr>
        <w:t>&lt;/AuNomDe&gt;</w:t>
      </w:r>
    </w:p>
    <w:p w:rsidR="008B2576" w:rsidRPr="0083659C" w:rsidRDefault="00F32C95">
      <w:r w:rsidRPr="0083659C">
        <w:rPr>
          <w:rStyle w:val="HideTWBExt"/>
        </w:rPr>
        <w:t>&lt;/RepeatBlock-By&gt;</w:t>
      </w:r>
    </w:p>
    <w:p w:rsidR="008B2576" w:rsidRPr="0083659C" w:rsidRDefault="00F32C95">
      <w:pPr>
        <w:pStyle w:val="ProjRap"/>
      </w:pPr>
      <w:r w:rsidRPr="0083659C">
        <w:rPr>
          <w:rStyle w:val="HideTWBExt"/>
        </w:rPr>
        <w:t>&lt;TitreType&gt;</w:t>
      </w:r>
      <w:r w:rsidRPr="0083659C">
        <w:t>Mietintö</w:t>
      </w:r>
      <w:r w:rsidRPr="0083659C">
        <w:rPr>
          <w:rStyle w:val="HideTWBExt"/>
        </w:rPr>
        <w:t>&lt;/TitreType&gt;</w:t>
      </w:r>
      <w:r w:rsidRPr="0083659C">
        <w:tab/>
        <w:t>A8-0417/2018</w:t>
      </w:r>
    </w:p>
    <w:p w:rsidR="008B2576" w:rsidRPr="0083659C" w:rsidRDefault="00F32C95">
      <w:pPr>
        <w:pStyle w:val="NormalBold"/>
      </w:pPr>
      <w:r w:rsidRPr="0083659C">
        <w:rPr>
          <w:rStyle w:val="HideTWBExt"/>
        </w:rPr>
        <w:t>&lt;Rapporteur&gt;</w:t>
      </w:r>
      <w:r w:rsidRPr="0083659C">
        <w:rPr>
          <w:color w:val="auto"/>
        </w:rPr>
        <w:t>Renate Sommer</w:t>
      </w:r>
      <w:r w:rsidRPr="0083659C">
        <w:rPr>
          <w:rStyle w:val="HideTWBExt"/>
        </w:rPr>
        <w:t>&lt;/Rapporteur&gt;</w:t>
      </w:r>
    </w:p>
    <w:p w:rsidR="008B2576" w:rsidRPr="0083659C" w:rsidRDefault="00F32C95">
      <w:pPr>
        <w:pStyle w:val="Normal12"/>
      </w:pPr>
      <w:r w:rsidRPr="0083659C">
        <w:rPr>
          <w:rStyle w:val="HideTWBExt"/>
        </w:rPr>
        <w:t>&lt;Titre&gt;</w:t>
      </w:r>
      <w:r w:rsidRPr="0083659C">
        <w:t>Elintarvikeketjuun sovellettavan EU:n riskinarvioinnin avoimuus ja kestävyys</w:t>
      </w:r>
      <w:r w:rsidRPr="0083659C">
        <w:rPr>
          <w:rStyle w:val="HideTWBExt"/>
        </w:rPr>
        <w:t>&lt;/Titre&gt;</w:t>
      </w:r>
    </w:p>
    <w:p w:rsidR="008B2576" w:rsidRPr="0083659C" w:rsidRDefault="00F32C95">
      <w:pPr>
        <w:pStyle w:val="Normal12"/>
      </w:pPr>
      <w:r w:rsidRPr="0083659C">
        <w:rPr>
          <w:rStyle w:val="HideTWBExt"/>
        </w:rPr>
        <w:t>&lt;DocRef&gt;</w:t>
      </w:r>
      <w:r w:rsidRPr="0083659C">
        <w:rPr>
          <w:color w:val="auto"/>
        </w:rPr>
        <w:t>(COM(2018)0179 – C8-0144/2018 – 2018/0088(COD))</w:t>
      </w:r>
      <w:r w:rsidRPr="0083659C">
        <w:rPr>
          <w:rStyle w:val="HideTWBExt"/>
        </w:rPr>
        <w:t>&lt;/DocRef&gt;</w:t>
      </w:r>
    </w:p>
    <w:p w:rsidR="008B2576" w:rsidRPr="0083659C" w:rsidRDefault="008B2576">
      <w:pPr>
        <w:pStyle w:val="Normal12"/>
      </w:pPr>
    </w:p>
    <w:p w:rsidR="008B2576" w:rsidRPr="0083659C" w:rsidRDefault="00F32C95">
      <w:pPr>
        <w:pStyle w:val="NormalBold"/>
      </w:pPr>
      <w:r w:rsidRPr="0083659C">
        <w:rPr>
          <w:rStyle w:val="HideTWBExt"/>
        </w:rPr>
        <w:t>&lt;DocAmend&gt;</w:t>
      </w:r>
      <w:r w:rsidRPr="0083659C">
        <w:rPr>
          <w:color w:val="auto"/>
        </w:rPr>
        <w:t>Ehdotus asetukseksi</w:t>
      </w:r>
      <w:r w:rsidRPr="0083659C">
        <w:rPr>
          <w:rStyle w:val="HideTWBExt"/>
        </w:rPr>
        <w:t>&lt;/DocAmend&gt;</w:t>
      </w:r>
    </w:p>
    <w:p w:rsidR="008B2576" w:rsidRPr="0083659C" w:rsidRDefault="00F32C95">
      <w:pPr>
        <w:pStyle w:val="NormalBold"/>
      </w:pPr>
      <w:r w:rsidRPr="0083659C">
        <w:rPr>
          <w:rStyle w:val="HideTWBExt"/>
        </w:rPr>
        <w:t>&lt;Article&gt;</w:t>
      </w:r>
      <w:r w:rsidRPr="0083659C">
        <w:rPr>
          <w:color w:val="auto"/>
        </w:rPr>
        <w:t>1 artikla – 1 kohta – 3 alakohta – -a alakohta (uusi)</w:t>
      </w:r>
      <w:r w:rsidRPr="0083659C">
        <w:rPr>
          <w:rStyle w:val="HideTWBExt"/>
        </w:rPr>
        <w:t>&lt;/Article&gt;</w:t>
      </w:r>
    </w:p>
    <w:p w:rsidR="008B2576" w:rsidRPr="0083659C" w:rsidRDefault="00F32C95">
      <w:r w:rsidRPr="0083659C">
        <w:rPr>
          <w:rStyle w:val="HideTWBExt"/>
        </w:rPr>
        <w:t>&lt;DocAmend2&gt;</w:t>
      </w:r>
      <w:r w:rsidRPr="0083659C">
        <w:t>Asetus (EY) N:o 178/2002</w:t>
      </w:r>
      <w:r w:rsidRPr="0083659C">
        <w:rPr>
          <w:rStyle w:val="HideTWBExt"/>
        </w:rPr>
        <w:t>&lt;/DocAmend2&gt;</w:t>
      </w:r>
    </w:p>
    <w:p w:rsidR="008B2576" w:rsidRPr="0083659C" w:rsidRDefault="00F32C95">
      <w:r w:rsidRPr="0083659C">
        <w:rPr>
          <w:rStyle w:val="HideTWBExt"/>
        </w:rPr>
        <w:t>&lt;Article2&gt;</w:t>
      </w:r>
      <w:r w:rsidRPr="0083659C">
        <w:t>28 artikla – 4 kohta – johdantokappale</w:t>
      </w:r>
      <w:r w:rsidRPr="0083659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76" w:rsidRPr="0083659C">
        <w:trPr>
          <w:trHeight w:hRule="exact" w:val="240"/>
          <w:jc w:val="center"/>
        </w:trPr>
        <w:tc>
          <w:tcPr>
            <w:tcW w:w="9752" w:type="dxa"/>
            <w:gridSpan w:val="2"/>
          </w:tcPr>
          <w:p w:rsidR="008B2576" w:rsidRPr="0083659C" w:rsidRDefault="008B2576"/>
        </w:tc>
      </w:tr>
      <w:tr w:rsidR="008B2576" w:rsidRPr="0083659C">
        <w:trPr>
          <w:trHeight w:val="240"/>
          <w:jc w:val="center"/>
        </w:trPr>
        <w:tc>
          <w:tcPr>
            <w:tcW w:w="4876" w:type="dxa"/>
          </w:tcPr>
          <w:p w:rsidR="008B2576" w:rsidRPr="0083659C" w:rsidRDefault="00F32C95">
            <w:pPr>
              <w:pStyle w:val="ColumnHeading"/>
              <w:rPr>
                <w:color w:val="auto"/>
              </w:rPr>
            </w:pPr>
            <w:r w:rsidRPr="0083659C">
              <w:rPr>
                <w:color w:val="auto"/>
              </w:rPr>
              <w:t>Komission teksti</w:t>
            </w:r>
          </w:p>
        </w:tc>
        <w:tc>
          <w:tcPr>
            <w:tcW w:w="4876" w:type="dxa"/>
          </w:tcPr>
          <w:p w:rsidR="008B2576" w:rsidRPr="0083659C" w:rsidRDefault="00F32C95">
            <w:pPr>
              <w:pStyle w:val="ColumnHeading"/>
              <w:rPr>
                <w:color w:val="auto"/>
              </w:rPr>
            </w:pPr>
            <w:r w:rsidRPr="0083659C">
              <w:rPr>
                <w:color w:val="auto"/>
              </w:rPr>
              <w:t>Tarkistus</w:t>
            </w:r>
          </w:p>
        </w:tc>
      </w:tr>
      <w:tr w:rsidR="008B2576" w:rsidRPr="0083659C">
        <w:trPr>
          <w:jc w:val="center"/>
        </w:trPr>
        <w:tc>
          <w:tcPr>
            <w:tcW w:w="4876" w:type="dxa"/>
          </w:tcPr>
          <w:p w:rsidR="008B2576" w:rsidRPr="0083659C" w:rsidRDefault="008B2576">
            <w:pPr>
              <w:pStyle w:val="Normal6"/>
              <w:rPr>
                <w:color w:val="auto"/>
              </w:rPr>
            </w:pPr>
          </w:p>
        </w:tc>
        <w:tc>
          <w:tcPr>
            <w:tcW w:w="4876" w:type="dxa"/>
          </w:tcPr>
          <w:p w:rsidR="008B2576" w:rsidRPr="0083659C" w:rsidRDefault="00F32C95">
            <w:pPr>
              <w:pStyle w:val="Normal6"/>
              <w:rPr>
                <w:color w:val="auto"/>
              </w:rPr>
            </w:pPr>
            <w:r w:rsidRPr="0083659C">
              <w:rPr>
                <w:b/>
                <w:i/>
                <w:color w:val="auto"/>
              </w:rPr>
              <w:t>-a)</w:t>
            </w:r>
            <w:r w:rsidRPr="0083659C">
              <w:rPr>
                <w:color w:val="auto"/>
              </w:rPr>
              <w:tab/>
            </w:r>
            <w:r w:rsidRPr="0083659C">
              <w:rPr>
                <w:b/>
                <w:i/>
                <w:color w:val="auto"/>
              </w:rPr>
              <w:t>-a) Muutetaan 4 kohdan johdantolause seuraavasti:</w:t>
            </w:r>
          </w:p>
        </w:tc>
      </w:tr>
      <w:tr w:rsidR="008B2576" w:rsidRPr="0083659C">
        <w:trPr>
          <w:jc w:val="center"/>
        </w:trPr>
        <w:tc>
          <w:tcPr>
            <w:tcW w:w="4876" w:type="dxa"/>
          </w:tcPr>
          <w:p w:rsidR="008B2576" w:rsidRPr="0083659C" w:rsidRDefault="008B2576">
            <w:pPr>
              <w:pStyle w:val="Normal6"/>
              <w:rPr>
                <w:color w:val="auto"/>
              </w:rPr>
            </w:pPr>
          </w:p>
        </w:tc>
        <w:tc>
          <w:tcPr>
            <w:tcW w:w="4876" w:type="dxa"/>
          </w:tcPr>
          <w:p w:rsidR="008B2576" w:rsidRPr="0083659C" w:rsidRDefault="00F32C95">
            <w:pPr>
              <w:pStyle w:val="Normal6"/>
              <w:rPr>
                <w:color w:val="auto"/>
              </w:rPr>
            </w:pPr>
            <w:r w:rsidRPr="0083659C">
              <w:rPr>
                <w:b/>
                <w:i/>
                <w:color w:val="auto"/>
              </w:rPr>
              <w:t>”Tiedelautakunnat muodostuvat riippumattomista tieteellisistä asiantuntijoista, jotka ovat aktiivista tutkimustyötä tekeviä ja tutkimustuloksensa vertaisarvioiduissa tieteellisissä aikakauslehdissä julkaisevia tutkijoita.”</w:t>
            </w:r>
          </w:p>
        </w:tc>
      </w:tr>
    </w:tbl>
    <w:p w:rsidR="008B2576" w:rsidRPr="0083659C" w:rsidRDefault="00F32C95" w:rsidP="006B2505">
      <w:pPr>
        <w:pStyle w:val="Olang"/>
      </w:pPr>
      <w:r w:rsidRPr="0083659C">
        <w:rPr>
          <w:color w:val="auto"/>
        </w:rPr>
        <w:t xml:space="preserve">Or. </w:t>
      </w:r>
      <w:r w:rsidRPr="0083659C">
        <w:rPr>
          <w:rStyle w:val="HideTWBExt"/>
        </w:rPr>
        <w:t>&lt;Original&gt;</w:t>
      </w:r>
      <w:r w:rsidRPr="0083659C">
        <w:rPr>
          <w:rStyle w:val="HideTWBInt"/>
        </w:rPr>
        <w:t>{EN}</w:t>
      </w:r>
      <w:r w:rsidRPr="0083659C">
        <w:rPr>
          <w:color w:val="auto"/>
        </w:rPr>
        <w:t>en</w:t>
      </w:r>
      <w:r w:rsidRPr="0083659C">
        <w:rPr>
          <w:rStyle w:val="HideTWBExt"/>
        </w:rPr>
        <w:t>&lt;/Original&gt;</w:t>
      </w:r>
    </w:p>
    <w:p w:rsidR="008B2576" w:rsidRPr="0083659C" w:rsidRDefault="00F32C95">
      <w:pPr>
        <w:pStyle w:val="JustificationTitle"/>
      </w:pPr>
      <w:r w:rsidRPr="0083659C">
        <w:rPr>
          <w:rStyle w:val="HideTWBExt"/>
        </w:rPr>
        <w:t>&lt;TitreJust&gt;</w:t>
      </w:r>
      <w:r w:rsidRPr="0083659C">
        <w:rPr>
          <w:color w:val="auto"/>
        </w:rPr>
        <w:t>Perustelu</w:t>
      </w:r>
      <w:r w:rsidRPr="0083659C">
        <w:rPr>
          <w:rStyle w:val="HideTWBExt"/>
        </w:rPr>
        <w:t>&lt;/TitreJust&gt;</w:t>
      </w:r>
    </w:p>
    <w:p w:rsidR="008B2576" w:rsidRPr="0083659C" w:rsidRDefault="00F32C95">
      <w:pPr>
        <w:pStyle w:val="Normal12Italic"/>
      </w:pPr>
      <w:r w:rsidRPr="0083659C">
        <w:t>Teksti kuuluu nyt seuraavasti: ”Tiedelautakunnat muodostuvat riippumattomista tieteellisistä asiantuntijoista”. Tämä säännös on välttämätön elintarviketurvallisuusviranomaisen lausuntojen huippulaadun varmistamiseksi. Nykyisin monet ”tieteellisistä asiantuntijoista” ovat virkamiehiä, jotka eivät ole julkaisseet mitään tai juuri mitään.</w:t>
      </w:r>
    </w:p>
    <w:p w:rsidR="008B2576" w:rsidRPr="0083659C" w:rsidRDefault="00F32C95">
      <w:pPr>
        <w:pStyle w:val="Normal12Italic"/>
        <w:rPr>
          <w:color w:val="auto"/>
        </w:rPr>
        <w:sectPr w:rsidR="008B2576" w:rsidRPr="0083659C">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83659C">
        <w:rPr>
          <w:rStyle w:val="HideTWBExt"/>
        </w:rPr>
        <w:t>&lt;/Amend&gt;</w:t>
      </w:r>
    </w:p>
    <w:p w:rsidR="008B2576" w:rsidRPr="0083659C" w:rsidRDefault="00F32C95">
      <w:pPr>
        <w:pStyle w:val="Interstitial1"/>
      </w:pPr>
      <w:r w:rsidRPr="0083659C">
        <w:rPr>
          <w:rStyle w:val="HideTWBExt"/>
        </w:rPr>
        <w:lastRenderedPageBreak/>
        <w:t>&lt;Amend&gt;&lt;Date&gt;</w:t>
      </w:r>
      <w:r w:rsidRPr="0083659C">
        <w:rPr>
          <w:rStyle w:val="HideTWBInt"/>
          <w:color w:val="auto"/>
        </w:rPr>
        <w:t>{06/12/2018}</w:t>
      </w:r>
      <w:r w:rsidRPr="0083659C">
        <w:rPr>
          <w:color w:val="auto"/>
        </w:rPr>
        <w:t>6.12.2018</w:t>
      </w:r>
      <w:r w:rsidRPr="0083659C">
        <w:rPr>
          <w:rStyle w:val="HideTWBExt"/>
        </w:rPr>
        <w:t>&lt;/Date&gt;</w:t>
      </w:r>
      <w:r w:rsidRPr="0083659C">
        <w:rPr>
          <w:color w:val="auto"/>
        </w:rPr>
        <w:tab/>
      </w:r>
      <w:r w:rsidRPr="0083659C">
        <w:rPr>
          <w:rStyle w:val="HideTWBExt"/>
        </w:rPr>
        <w:t>&lt;ANo&gt;</w:t>
      </w:r>
      <w:r w:rsidRPr="0083659C">
        <w:rPr>
          <w:color w:val="auto"/>
        </w:rPr>
        <w:t>A8-0417</w:t>
      </w:r>
      <w:r w:rsidRPr="0083659C">
        <w:rPr>
          <w:rStyle w:val="HideTWBExt"/>
        </w:rPr>
        <w:t>&lt;/ANo&gt;</w:t>
      </w:r>
      <w:r w:rsidRPr="0083659C">
        <w:rPr>
          <w:color w:val="auto"/>
        </w:rPr>
        <w:t>/</w:t>
      </w:r>
      <w:r w:rsidRPr="0083659C">
        <w:rPr>
          <w:rStyle w:val="HideTWBExt"/>
        </w:rPr>
        <w:t>&lt;NumAm&gt;</w:t>
      </w:r>
      <w:r w:rsidRPr="0083659C">
        <w:rPr>
          <w:color w:val="auto"/>
        </w:rPr>
        <w:t>160</w:t>
      </w:r>
      <w:r w:rsidRPr="0083659C">
        <w:rPr>
          <w:rStyle w:val="HideTWBExt"/>
        </w:rPr>
        <w:t>&lt;/NumAm&gt;</w:t>
      </w:r>
    </w:p>
    <w:p w:rsidR="008B2576" w:rsidRPr="0083659C" w:rsidRDefault="00F32C95">
      <w:pPr>
        <w:pStyle w:val="AMNumberTabs"/>
      </w:pPr>
      <w:r w:rsidRPr="0083659C">
        <w:rPr>
          <w:color w:val="auto"/>
        </w:rPr>
        <w:t>Tarkistus</w:t>
      </w:r>
      <w:r w:rsidRPr="0083659C">
        <w:rPr>
          <w:color w:val="auto"/>
        </w:rPr>
        <w:tab/>
      </w:r>
      <w:r w:rsidRPr="0083659C">
        <w:rPr>
          <w:color w:val="auto"/>
        </w:rPr>
        <w:tab/>
      </w:r>
      <w:r w:rsidRPr="0083659C">
        <w:rPr>
          <w:rStyle w:val="HideTWBExt"/>
        </w:rPr>
        <w:t>&lt;NumAm&gt;</w:t>
      </w:r>
      <w:r w:rsidRPr="0083659C">
        <w:rPr>
          <w:color w:val="auto"/>
        </w:rPr>
        <w:t>160</w:t>
      </w:r>
      <w:r w:rsidRPr="0083659C">
        <w:rPr>
          <w:rStyle w:val="HideTWBExt"/>
        </w:rPr>
        <w:t>&lt;/NumAm&gt;</w:t>
      </w:r>
    </w:p>
    <w:p w:rsidR="008B2576" w:rsidRPr="0083659C" w:rsidRDefault="00F32C95">
      <w:pPr>
        <w:pStyle w:val="NormalBold"/>
      </w:pPr>
      <w:r w:rsidRPr="0083659C">
        <w:rPr>
          <w:rStyle w:val="HideTWBExt"/>
        </w:rPr>
        <w:t>&lt;RepeatBlock-By&gt;&lt;Members&gt;</w:t>
      </w:r>
      <w:r w:rsidRPr="0083659C">
        <w:rPr>
          <w:color w:val="auto"/>
        </w:rPr>
        <w:t>Martin Häusling</w:t>
      </w:r>
      <w:r w:rsidRPr="0083659C">
        <w:rPr>
          <w:rStyle w:val="HideTWBExt"/>
        </w:rPr>
        <w:t>&lt;/Members&gt;</w:t>
      </w:r>
    </w:p>
    <w:p w:rsidR="008B2576" w:rsidRPr="0083659C" w:rsidRDefault="00F32C95">
      <w:r w:rsidRPr="0083659C">
        <w:rPr>
          <w:rStyle w:val="HideTWBExt"/>
        </w:rPr>
        <w:t>&lt;AuNomDe&gt;</w:t>
      </w:r>
      <w:r w:rsidRPr="0083659C">
        <w:rPr>
          <w:rStyle w:val="HideTWBInt"/>
          <w:color w:val="auto"/>
        </w:rPr>
        <w:t>{Verts/ALE}</w:t>
      </w:r>
      <w:r w:rsidRPr="0083659C">
        <w:t>Verts/ALE-ryhmän puolesta</w:t>
      </w:r>
      <w:r w:rsidRPr="0083659C">
        <w:rPr>
          <w:rStyle w:val="HideTWBExt"/>
        </w:rPr>
        <w:t>&lt;/AuNomDe&gt;</w:t>
      </w:r>
    </w:p>
    <w:p w:rsidR="008B2576" w:rsidRPr="0083659C" w:rsidRDefault="00F32C95">
      <w:r w:rsidRPr="0083659C">
        <w:rPr>
          <w:rStyle w:val="HideTWBExt"/>
        </w:rPr>
        <w:t>&lt;/RepeatBlock-By&gt;</w:t>
      </w:r>
    </w:p>
    <w:p w:rsidR="008B2576" w:rsidRPr="0083659C" w:rsidRDefault="00F32C95">
      <w:pPr>
        <w:pStyle w:val="ProjRap"/>
      </w:pPr>
      <w:r w:rsidRPr="0083659C">
        <w:rPr>
          <w:rStyle w:val="HideTWBExt"/>
        </w:rPr>
        <w:t>&lt;TitreType&gt;</w:t>
      </w:r>
      <w:r w:rsidRPr="0083659C">
        <w:t>Mietintö</w:t>
      </w:r>
      <w:r w:rsidRPr="0083659C">
        <w:rPr>
          <w:rStyle w:val="HideTWBExt"/>
        </w:rPr>
        <w:t>&lt;/TitreType&gt;</w:t>
      </w:r>
      <w:r w:rsidRPr="0083659C">
        <w:tab/>
        <w:t>A8-0417/2018</w:t>
      </w:r>
    </w:p>
    <w:p w:rsidR="008B2576" w:rsidRPr="0083659C" w:rsidRDefault="00F32C95">
      <w:pPr>
        <w:pStyle w:val="NormalBold"/>
      </w:pPr>
      <w:r w:rsidRPr="0083659C">
        <w:rPr>
          <w:rStyle w:val="HideTWBExt"/>
        </w:rPr>
        <w:t>&lt;Rapporteur&gt;</w:t>
      </w:r>
      <w:r w:rsidRPr="0083659C">
        <w:rPr>
          <w:color w:val="auto"/>
        </w:rPr>
        <w:t>Renate Sommer</w:t>
      </w:r>
      <w:r w:rsidRPr="0083659C">
        <w:rPr>
          <w:rStyle w:val="HideTWBExt"/>
        </w:rPr>
        <w:t>&lt;/Rapporteur&gt;</w:t>
      </w:r>
    </w:p>
    <w:p w:rsidR="008B2576" w:rsidRPr="0083659C" w:rsidRDefault="00F32C95">
      <w:pPr>
        <w:pStyle w:val="Normal12"/>
      </w:pPr>
      <w:r w:rsidRPr="0083659C">
        <w:rPr>
          <w:rStyle w:val="HideTWBExt"/>
        </w:rPr>
        <w:t>&lt;Titre&gt;</w:t>
      </w:r>
      <w:r w:rsidRPr="0083659C">
        <w:t>Elintarvikeketjuun sovellettavan EU:n riskinarvioinnin avoimuus ja kestävyys</w:t>
      </w:r>
      <w:r w:rsidRPr="0083659C">
        <w:rPr>
          <w:rStyle w:val="HideTWBExt"/>
        </w:rPr>
        <w:t>&lt;/Titre&gt;</w:t>
      </w:r>
    </w:p>
    <w:p w:rsidR="008B2576" w:rsidRPr="0083659C" w:rsidRDefault="00F32C95">
      <w:pPr>
        <w:pStyle w:val="Normal12"/>
      </w:pPr>
      <w:r w:rsidRPr="0083659C">
        <w:rPr>
          <w:rStyle w:val="HideTWBExt"/>
        </w:rPr>
        <w:t>&lt;DocRef&gt;</w:t>
      </w:r>
      <w:r w:rsidRPr="0083659C">
        <w:rPr>
          <w:color w:val="auto"/>
        </w:rPr>
        <w:t>(COM(2018)0179 – C8-0144/2018 – 2018/0088(COD))</w:t>
      </w:r>
      <w:r w:rsidRPr="0083659C">
        <w:rPr>
          <w:rStyle w:val="HideTWBExt"/>
        </w:rPr>
        <w:t>&lt;/DocRef&gt;</w:t>
      </w:r>
    </w:p>
    <w:p w:rsidR="008B2576" w:rsidRPr="0083659C" w:rsidRDefault="008B2576">
      <w:pPr>
        <w:pStyle w:val="Normal12"/>
      </w:pPr>
    </w:p>
    <w:p w:rsidR="008B2576" w:rsidRPr="0083659C" w:rsidRDefault="00F32C95">
      <w:pPr>
        <w:pStyle w:val="NormalBold"/>
      </w:pPr>
      <w:r w:rsidRPr="0083659C">
        <w:rPr>
          <w:rStyle w:val="HideTWBExt"/>
        </w:rPr>
        <w:t>&lt;DocAmend&gt;</w:t>
      </w:r>
      <w:r w:rsidRPr="0083659C">
        <w:rPr>
          <w:color w:val="auto"/>
        </w:rPr>
        <w:t>Ehdotus asetukseksi</w:t>
      </w:r>
      <w:r w:rsidRPr="0083659C">
        <w:rPr>
          <w:rStyle w:val="HideTWBExt"/>
        </w:rPr>
        <w:t>&lt;/DocAmend&gt;</w:t>
      </w:r>
    </w:p>
    <w:p w:rsidR="008B2576" w:rsidRPr="0083659C" w:rsidRDefault="00F32C95">
      <w:pPr>
        <w:pStyle w:val="NormalBold"/>
      </w:pPr>
      <w:r w:rsidRPr="0083659C">
        <w:rPr>
          <w:rStyle w:val="HideTWBExt"/>
        </w:rPr>
        <w:t>&lt;Article&gt;</w:t>
      </w:r>
      <w:r w:rsidRPr="0083659C">
        <w:rPr>
          <w:color w:val="auto"/>
        </w:rPr>
        <w:t>1 artikla – 1 kohta – 4 alakohta</w:t>
      </w:r>
      <w:r w:rsidRPr="0083659C">
        <w:rPr>
          <w:rStyle w:val="HideTWBExt"/>
        </w:rPr>
        <w:t>&lt;/Article&gt;</w:t>
      </w:r>
    </w:p>
    <w:p w:rsidR="008B2576" w:rsidRPr="0083659C" w:rsidRDefault="00F32C95">
      <w:r w:rsidRPr="0083659C">
        <w:rPr>
          <w:rStyle w:val="HideTWBExt"/>
        </w:rPr>
        <w:t>&lt;DocAmend2&gt;</w:t>
      </w:r>
      <w:r w:rsidRPr="0083659C">
        <w:t>Asetus (EY) N:o 178/2002</w:t>
      </w:r>
      <w:r w:rsidRPr="0083659C">
        <w:rPr>
          <w:rStyle w:val="HideTWBExt"/>
        </w:rPr>
        <w:t>&lt;/DocAmend2&gt;</w:t>
      </w:r>
    </w:p>
    <w:p w:rsidR="008B2576" w:rsidRPr="0083659C" w:rsidRDefault="00F32C95">
      <w:r w:rsidRPr="0083659C">
        <w:rPr>
          <w:rStyle w:val="HideTWBExt"/>
        </w:rPr>
        <w:t>&lt;Article2&gt;</w:t>
      </w:r>
      <w:r w:rsidRPr="0083659C">
        <w:t>32 e a artikla (uusi)</w:t>
      </w:r>
      <w:r w:rsidRPr="0083659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76" w:rsidRPr="0083659C">
        <w:trPr>
          <w:trHeight w:hRule="exact" w:val="240"/>
          <w:jc w:val="center"/>
        </w:trPr>
        <w:tc>
          <w:tcPr>
            <w:tcW w:w="9752" w:type="dxa"/>
            <w:gridSpan w:val="2"/>
          </w:tcPr>
          <w:p w:rsidR="008B2576" w:rsidRPr="0083659C" w:rsidRDefault="008B2576"/>
        </w:tc>
      </w:tr>
      <w:tr w:rsidR="008B2576" w:rsidRPr="0083659C">
        <w:trPr>
          <w:trHeight w:val="240"/>
          <w:jc w:val="center"/>
        </w:trPr>
        <w:tc>
          <w:tcPr>
            <w:tcW w:w="4876" w:type="dxa"/>
          </w:tcPr>
          <w:p w:rsidR="008B2576" w:rsidRPr="0083659C" w:rsidRDefault="00F32C95">
            <w:pPr>
              <w:pStyle w:val="ColumnHeading"/>
              <w:rPr>
                <w:color w:val="auto"/>
              </w:rPr>
            </w:pPr>
            <w:r w:rsidRPr="0083659C">
              <w:rPr>
                <w:color w:val="auto"/>
              </w:rPr>
              <w:t>Komission teksti</w:t>
            </w:r>
          </w:p>
        </w:tc>
        <w:tc>
          <w:tcPr>
            <w:tcW w:w="4876" w:type="dxa"/>
          </w:tcPr>
          <w:p w:rsidR="008B2576" w:rsidRPr="0083659C" w:rsidRDefault="00F32C95">
            <w:pPr>
              <w:pStyle w:val="ColumnHeading"/>
              <w:rPr>
                <w:color w:val="auto"/>
              </w:rPr>
            </w:pPr>
            <w:r w:rsidRPr="0083659C">
              <w:rPr>
                <w:color w:val="auto"/>
              </w:rPr>
              <w:t>Tarkistus</w:t>
            </w:r>
          </w:p>
        </w:tc>
      </w:tr>
      <w:tr w:rsidR="008B2576" w:rsidRPr="0083659C">
        <w:trPr>
          <w:jc w:val="center"/>
        </w:trPr>
        <w:tc>
          <w:tcPr>
            <w:tcW w:w="4876" w:type="dxa"/>
          </w:tcPr>
          <w:p w:rsidR="008B2576" w:rsidRPr="0083659C" w:rsidRDefault="008B2576">
            <w:pPr>
              <w:pStyle w:val="Normal6"/>
              <w:rPr>
                <w:color w:val="auto"/>
              </w:rPr>
            </w:pPr>
          </w:p>
        </w:tc>
        <w:tc>
          <w:tcPr>
            <w:tcW w:w="4876" w:type="dxa"/>
          </w:tcPr>
          <w:p w:rsidR="008B2576" w:rsidRPr="0083659C" w:rsidRDefault="00F32C95">
            <w:pPr>
              <w:pStyle w:val="Normal6"/>
              <w:rPr>
                <w:color w:val="auto"/>
              </w:rPr>
            </w:pPr>
            <w:r w:rsidRPr="0083659C">
              <w:rPr>
                <w:b/>
                <w:i/>
                <w:color w:val="auto"/>
              </w:rPr>
              <w:t>4 b) Lisätään 32 e a artikla seuraavasti:</w:t>
            </w:r>
          </w:p>
        </w:tc>
      </w:tr>
      <w:tr w:rsidR="008B2576" w:rsidRPr="0083659C">
        <w:trPr>
          <w:jc w:val="center"/>
        </w:trPr>
        <w:tc>
          <w:tcPr>
            <w:tcW w:w="4876" w:type="dxa"/>
          </w:tcPr>
          <w:p w:rsidR="008B2576" w:rsidRPr="0083659C" w:rsidRDefault="008B2576">
            <w:pPr>
              <w:pStyle w:val="Normal6"/>
              <w:rPr>
                <w:color w:val="auto"/>
              </w:rPr>
            </w:pPr>
          </w:p>
        </w:tc>
        <w:tc>
          <w:tcPr>
            <w:tcW w:w="4876" w:type="dxa"/>
          </w:tcPr>
          <w:p w:rsidR="008B2576" w:rsidRPr="0083659C" w:rsidRDefault="00F32C95">
            <w:pPr>
              <w:pStyle w:val="Normal6"/>
              <w:rPr>
                <w:color w:val="auto"/>
              </w:rPr>
            </w:pPr>
            <w:r w:rsidRPr="0083659C">
              <w:rPr>
                <w:b/>
                <w:i/>
                <w:color w:val="auto"/>
              </w:rPr>
              <w:t>”32 e a artikla</w:t>
            </w:r>
          </w:p>
        </w:tc>
      </w:tr>
      <w:tr w:rsidR="008B2576" w:rsidRPr="0083659C">
        <w:trPr>
          <w:jc w:val="center"/>
        </w:trPr>
        <w:tc>
          <w:tcPr>
            <w:tcW w:w="4876" w:type="dxa"/>
          </w:tcPr>
          <w:p w:rsidR="008B2576" w:rsidRPr="0083659C" w:rsidRDefault="008B2576">
            <w:pPr>
              <w:pStyle w:val="Normal6"/>
              <w:rPr>
                <w:color w:val="auto"/>
              </w:rPr>
            </w:pPr>
          </w:p>
        </w:tc>
        <w:tc>
          <w:tcPr>
            <w:tcW w:w="4876" w:type="dxa"/>
          </w:tcPr>
          <w:p w:rsidR="008B2576" w:rsidRPr="0083659C" w:rsidRDefault="00F32C95">
            <w:pPr>
              <w:pStyle w:val="Normal6"/>
              <w:rPr>
                <w:color w:val="auto"/>
              </w:rPr>
            </w:pPr>
            <w:r w:rsidRPr="0083659C">
              <w:rPr>
                <w:b/>
                <w:i/>
                <w:color w:val="auto"/>
              </w:rPr>
              <w:t>Turvallisuustestit</w:t>
            </w:r>
          </w:p>
        </w:tc>
      </w:tr>
      <w:tr w:rsidR="008B2576" w:rsidRPr="0083659C">
        <w:trPr>
          <w:jc w:val="center"/>
        </w:trPr>
        <w:tc>
          <w:tcPr>
            <w:tcW w:w="4876" w:type="dxa"/>
          </w:tcPr>
          <w:p w:rsidR="008B2576" w:rsidRPr="0083659C" w:rsidRDefault="008B2576">
            <w:pPr>
              <w:pStyle w:val="Normal6"/>
              <w:rPr>
                <w:color w:val="auto"/>
              </w:rPr>
            </w:pPr>
          </w:p>
        </w:tc>
        <w:tc>
          <w:tcPr>
            <w:tcW w:w="4876" w:type="dxa"/>
          </w:tcPr>
          <w:p w:rsidR="008B2576" w:rsidRPr="0083659C" w:rsidRDefault="00F32C95">
            <w:pPr>
              <w:pStyle w:val="Normal6"/>
              <w:rPr>
                <w:color w:val="auto"/>
              </w:rPr>
            </w:pPr>
            <w:r w:rsidRPr="0083659C">
              <w:rPr>
                <w:b/>
                <w:i/>
                <w:color w:val="auto"/>
              </w:rPr>
              <w:t>Elintarviketurvallisuusviranomaisen toimeksiantoon kuuluvan tuotteiden turvallisuuden testaamisen on perustuttava joukkoon elintarviketurvallisuusviranomaisen määrittelemiä pakollisia testejä. Kaikkia niin kutsuttuun hyvään laboratoriokäytäntöön perustuvia testejä on täydennettävä ja ne on todennettava muilla, riippumattomilla tutkimuksilla.”</w:t>
            </w:r>
          </w:p>
        </w:tc>
      </w:tr>
    </w:tbl>
    <w:p w:rsidR="008B2576" w:rsidRPr="0083659C" w:rsidRDefault="00F32C95" w:rsidP="006B2505">
      <w:pPr>
        <w:pStyle w:val="Olang"/>
      </w:pPr>
      <w:r w:rsidRPr="0083659C">
        <w:rPr>
          <w:color w:val="auto"/>
        </w:rPr>
        <w:t xml:space="preserve">Or. </w:t>
      </w:r>
      <w:r w:rsidRPr="0083659C">
        <w:rPr>
          <w:rStyle w:val="HideTWBExt"/>
        </w:rPr>
        <w:t>&lt;Original&gt;</w:t>
      </w:r>
      <w:r w:rsidRPr="0083659C">
        <w:rPr>
          <w:rStyle w:val="HideTWBInt"/>
        </w:rPr>
        <w:t>{EN}</w:t>
      </w:r>
      <w:r w:rsidRPr="0083659C">
        <w:rPr>
          <w:color w:val="auto"/>
        </w:rPr>
        <w:t>en</w:t>
      </w:r>
      <w:r w:rsidRPr="0083659C">
        <w:rPr>
          <w:rStyle w:val="HideTWBExt"/>
        </w:rPr>
        <w:t>&lt;/Original&gt;</w:t>
      </w:r>
    </w:p>
    <w:p w:rsidR="008B2576" w:rsidRPr="0083659C" w:rsidRDefault="00F32C95">
      <w:pPr>
        <w:pStyle w:val="JustificationTitle"/>
      </w:pPr>
      <w:r w:rsidRPr="0083659C">
        <w:rPr>
          <w:rStyle w:val="HideTWBExt"/>
        </w:rPr>
        <w:t>&lt;TitreJust&gt;</w:t>
      </w:r>
      <w:r w:rsidRPr="0083659C">
        <w:rPr>
          <w:color w:val="auto"/>
        </w:rPr>
        <w:t>Perustelu</w:t>
      </w:r>
      <w:r w:rsidRPr="0083659C">
        <w:rPr>
          <w:rStyle w:val="HideTWBExt"/>
        </w:rPr>
        <w:t>&lt;/TitreJust&gt;</w:t>
      </w:r>
    </w:p>
    <w:p w:rsidR="008B2576" w:rsidRPr="0083659C" w:rsidRDefault="00F32C95">
      <w:pPr>
        <w:pStyle w:val="Normal12Italic"/>
      </w:pPr>
      <w:r w:rsidRPr="0083659C">
        <w:t>Currently, for many products/substances there are no clear obligations what tests need to be used to prove that a product is safe. As the applicant will always have an interest in a positive outcome, there is a danger that the tests will be chosen in a way as to guarantee the desired outcome. The “good laboratory practice” (GLP), had been established in order to avoid fraud, not to guarantee quality. Academic scientists do not use GLP, as accreditation is expensive and has no added value for scientists who anyway rely on “peer-review”. It is important that the safety of substances/products is confirmed by independent scientific studies.</w:t>
      </w:r>
    </w:p>
    <w:p w:rsidR="008B2576" w:rsidRPr="0083659C" w:rsidRDefault="00F32C95">
      <w:pPr>
        <w:pStyle w:val="Normal12Italic"/>
        <w:rPr>
          <w:color w:val="auto"/>
        </w:rPr>
        <w:sectPr w:rsidR="008B2576" w:rsidRPr="0083659C">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83659C">
        <w:rPr>
          <w:rStyle w:val="HideTWBExt"/>
        </w:rPr>
        <w:t>&lt;/Amend&gt;</w:t>
      </w:r>
    </w:p>
    <w:p w:rsidR="008B2576" w:rsidRPr="0083659C" w:rsidRDefault="00F32C95">
      <w:pPr>
        <w:pStyle w:val="Interstitial1"/>
      </w:pPr>
      <w:r w:rsidRPr="0083659C">
        <w:rPr>
          <w:rStyle w:val="HideTWBExt"/>
        </w:rPr>
        <w:lastRenderedPageBreak/>
        <w:t>&lt;Amend&gt;&lt;Date&gt;</w:t>
      </w:r>
      <w:r w:rsidRPr="0083659C">
        <w:rPr>
          <w:rStyle w:val="HideTWBInt"/>
          <w:color w:val="auto"/>
        </w:rPr>
        <w:t>{06/12/2018}</w:t>
      </w:r>
      <w:r w:rsidRPr="0083659C">
        <w:rPr>
          <w:color w:val="auto"/>
        </w:rPr>
        <w:t>6.12.2018</w:t>
      </w:r>
      <w:r w:rsidRPr="0083659C">
        <w:rPr>
          <w:rStyle w:val="HideTWBExt"/>
        </w:rPr>
        <w:t>&lt;/Date&gt;</w:t>
      </w:r>
      <w:r w:rsidRPr="0083659C">
        <w:rPr>
          <w:color w:val="auto"/>
        </w:rPr>
        <w:tab/>
      </w:r>
      <w:r w:rsidRPr="0083659C">
        <w:rPr>
          <w:rStyle w:val="HideTWBExt"/>
        </w:rPr>
        <w:t>&lt;ANo&gt;</w:t>
      </w:r>
      <w:r w:rsidRPr="0083659C">
        <w:rPr>
          <w:color w:val="auto"/>
        </w:rPr>
        <w:t>A8-0417</w:t>
      </w:r>
      <w:r w:rsidRPr="0083659C">
        <w:rPr>
          <w:rStyle w:val="HideTWBExt"/>
        </w:rPr>
        <w:t>&lt;/ANo&gt;</w:t>
      </w:r>
      <w:r w:rsidRPr="0083659C">
        <w:rPr>
          <w:color w:val="auto"/>
        </w:rPr>
        <w:t>/</w:t>
      </w:r>
      <w:r w:rsidRPr="0083659C">
        <w:rPr>
          <w:rStyle w:val="HideTWBExt"/>
        </w:rPr>
        <w:t>&lt;NumAm&gt;</w:t>
      </w:r>
      <w:r w:rsidRPr="0083659C">
        <w:rPr>
          <w:color w:val="auto"/>
        </w:rPr>
        <w:t>161</w:t>
      </w:r>
      <w:r w:rsidRPr="0083659C">
        <w:rPr>
          <w:rStyle w:val="HideTWBExt"/>
        </w:rPr>
        <w:t>&lt;/NumAm&gt;</w:t>
      </w:r>
    </w:p>
    <w:p w:rsidR="008B2576" w:rsidRPr="0083659C" w:rsidRDefault="00F32C95">
      <w:pPr>
        <w:pStyle w:val="AMNumberTabs"/>
      </w:pPr>
      <w:r w:rsidRPr="0083659C">
        <w:rPr>
          <w:color w:val="auto"/>
        </w:rPr>
        <w:t>Tarkistus</w:t>
      </w:r>
      <w:r w:rsidRPr="0083659C">
        <w:rPr>
          <w:color w:val="auto"/>
        </w:rPr>
        <w:tab/>
      </w:r>
      <w:r w:rsidRPr="0083659C">
        <w:rPr>
          <w:color w:val="auto"/>
        </w:rPr>
        <w:tab/>
      </w:r>
      <w:r w:rsidRPr="0083659C">
        <w:rPr>
          <w:rStyle w:val="HideTWBExt"/>
        </w:rPr>
        <w:t>&lt;NumAm&gt;</w:t>
      </w:r>
      <w:r w:rsidRPr="0083659C">
        <w:rPr>
          <w:color w:val="auto"/>
        </w:rPr>
        <w:t>161</w:t>
      </w:r>
      <w:r w:rsidRPr="0083659C">
        <w:rPr>
          <w:rStyle w:val="HideTWBExt"/>
        </w:rPr>
        <w:t>&lt;/NumAm&gt;</w:t>
      </w:r>
    </w:p>
    <w:p w:rsidR="008B2576" w:rsidRPr="0083659C" w:rsidRDefault="00F32C95">
      <w:pPr>
        <w:pStyle w:val="NormalBold"/>
      </w:pPr>
      <w:r w:rsidRPr="0083659C">
        <w:rPr>
          <w:rStyle w:val="HideTWBExt"/>
        </w:rPr>
        <w:t>&lt;RepeatBlock-By&gt;&lt;Members&gt;</w:t>
      </w:r>
      <w:r w:rsidRPr="0083659C">
        <w:rPr>
          <w:color w:val="auto"/>
        </w:rPr>
        <w:t>Martin Häusling</w:t>
      </w:r>
      <w:r w:rsidRPr="0083659C">
        <w:rPr>
          <w:rStyle w:val="HideTWBExt"/>
        </w:rPr>
        <w:t>&lt;/Members&gt;</w:t>
      </w:r>
    </w:p>
    <w:p w:rsidR="008B2576" w:rsidRPr="0083659C" w:rsidRDefault="00F32C95">
      <w:r w:rsidRPr="0083659C">
        <w:rPr>
          <w:rStyle w:val="HideTWBExt"/>
        </w:rPr>
        <w:t>&lt;AuNomDe&gt;</w:t>
      </w:r>
      <w:r w:rsidRPr="0083659C">
        <w:rPr>
          <w:rStyle w:val="HideTWBInt"/>
          <w:color w:val="auto"/>
        </w:rPr>
        <w:t>{Verts/ALE}</w:t>
      </w:r>
      <w:r w:rsidRPr="0083659C">
        <w:t>Verts/ALE-ryhmän puolesta</w:t>
      </w:r>
      <w:r w:rsidRPr="0083659C">
        <w:rPr>
          <w:rStyle w:val="HideTWBExt"/>
        </w:rPr>
        <w:t>&lt;/AuNomDe&gt;</w:t>
      </w:r>
    </w:p>
    <w:p w:rsidR="008B2576" w:rsidRPr="0083659C" w:rsidRDefault="00F32C95">
      <w:r w:rsidRPr="0083659C">
        <w:rPr>
          <w:rStyle w:val="HideTWBExt"/>
        </w:rPr>
        <w:t>&lt;/RepeatBlock-By&gt;</w:t>
      </w:r>
    </w:p>
    <w:p w:rsidR="008B2576" w:rsidRPr="0083659C" w:rsidRDefault="00F32C95">
      <w:pPr>
        <w:pStyle w:val="ProjRap"/>
      </w:pPr>
      <w:r w:rsidRPr="0083659C">
        <w:rPr>
          <w:rStyle w:val="HideTWBExt"/>
        </w:rPr>
        <w:t>&lt;TitreType&gt;</w:t>
      </w:r>
      <w:r w:rsidRPr="0083659C">
        <w:t>Mietintö</w:t>
      </w:r>
      <w:r w:rsidRPr="0083659C">
        <w:rPr>
          <w:rStyle w:val="HideTWBExt"/>
        </w:rPr>
        <w:t>&lt;/TitreType&gt;</w:t>
      </w:r>
      <w:r w:rsidRPr="0083659C">
        <w:tab/>
        <w:t>A8-0417/2018</w:t>
      </w:r>
    </w:p>
    <w:p w:rsidR="008B2576" w:rsidRPr="0083659C" w:rsidRDefault="00F32C95">
      <w:pPr>
        <w:pStyle w:val="NormalBold"/>
      </w:pPr>
      <w:r w:rsidRPr="0083659C">
        <w:rPr>
          <w:rStyle w:val="HideTWBExt"/>
        </w:rPr>
        <w:t>&lt;Rapporteur&gt;</w:t>
      </w:r>
      <w:r w:rsidRPr="0083659C">
        <w:rPr>
          <w:color w:val="auto"/>
        </w:rPr>
        <w:t>Renate Sommer</w:t>
      </w:r>
      <w:r w:rsidRPr="0083659C">
        <w:rPr>
          <w:rStyle w:val="HideTWBExt"/>
        </w:rPr>
        <w:t>&lt;/Rapporteur&gt;</w:t>
      </w:r>
    </w:p>
    <w:p w:rsidR="008B2576" w:rsidRPr="0083659C" w:rsidRDefault="00F32C95">
      <w:pPr>
        <w:pStyle w:val="Normal12"/>
      </w:pPr>
      <w:r w:rsidRPr="0083659C">
        <w:rPr>
          <w:rStyle w:val="HideTWBExt"/>
        </w:rPr>
        <w:t>&lt;Titre&gt;</w:t>
      </w:r>
      <w:r w:rsidRPr="0083659C">
        <w:t>Elintarvikeketjuun sovellettavan EU:n riskinarvioinnin avoimuus ja kestävyys</w:t>
      </w:r>
      <w:r w:rsidRPr="0083659C">
        <w:rPr>
          <w:rStyle w:val="HideTWBExt"/>
        </w:rPr>
        <w:t>&lt;/Titre&gt;</w:t>
      </w:r>
    </w:p>
    <w:p w:rsidR="008B2576" w:rsidRPr="0083659C" w:rsidRDefault="00F32C95">
      <w:pPr>
        <w:pStyle w:val="Normal12"/>
      </w:pPr>
      <w:r w:rsidRPr="0083659C">
        <w:rPr>
          <w:rStyle w:val="HideTWBExt"/>
        </w:rPr>
        <w:t>&lt;DocRef&gt;</w:t>
      </w:r>
      <w:r w:rsidRPr="0083659C">
        <w:rPr>
          <w:color w:val="auto"/>
        </w:rPr>
        <w:t>(COM(2018)0179 – C8-0144/2018 – 2018/0088(COD))</w:t>
      </w:r>
      <w:r w:rsidRPr="0083659C">
        <w:rPr>
          <w:rStyle w:val="HideTWBExt"/>
        </w:rPr>
        <w:t>&lt;/DocRef&gt;</w:t>
      </w:r>
    </w:p>
    <w:p w:rsidR="008B2576" w:rsidRPr="0083659C" w:rsidRDefault="008B2576">
      <w:pPr>
        <w:pStyle w:val="Normal12"/>
      </w:pPr>
    </w:p>
    <w:p w:rsidR="008B2576" w:rsidRPr="0083659C" w:rsidRDefault="00F32C95">
      <w:pPr>
        <w:pStyle w:val="NormalBold"/>
      </w:pPr>
      <w:r w:rsidRPr="0083659C">
        <w:rPr>
          <w:rStyle w:val="HideTWBExt"/>
        </w:rPr>
        <w:t>&lt;DocAmend&gt;</w:t>
      </w:r>
      <w:r w:rsidRPr="0083659C">
        <w:rPr>
          <w:color w:val="auto"/>
        </w:rPr>
        <w:t>Ehdotus asetukseksi</w:t>
      </w:r>
      <w:r w:rsidRPr="0083659C">
        <w:rPr>
          <w:rStyle w:val="HideTWBExt"/>
        </w:rPr>
        <w:t>&lt;/DocAmend&gt;</w:t>
      </w:r>
    </w:p>
    <w:p w:rsidR="008B2576" w:rsidRPr="0083659C" w:rsidRDefault="00F32C95">
      <w:pPr>
        <w:pStyle w:val="NormalBold"/>
      </w:pPr>
      <w:r w:rsidRPr="0083659C">
        <w:rPr>
          <w:rStyle w:val="HideTWBExt"/>
        </w:rPr>
        <w:t>&lt;Article&gt;</w:t>
      </w:r>
      <w:r w:rsidRPr="0083659C">
        <w:rPr>
          <w:color w:val="auto"/>
        </w:rPr>
        <w:t>1 artikla – 1 kohta – 4 alakohta</w:t>
      </w:r>
      <w:r w:rsidRPr="0083659C">
        <w:rPr>
          <w:rStyle w:val="HideTWBExt"/>
        </w:rPr>
        <w:t>&lt;/Article&gt;</w:t>
      </w:r>
    </w:p>
    <w:p w:rsidR="008B2576" w:rsidRPr="0083659C" w:rsidRDefault="00F32C95">
      <w:r w:rsidRPr="0083659C">
        <w:rPr>
          <w:rStyle w:val="HideTWBExt"/>
        </w:rPr>
        <w:t>&lt;DocAmend2&gt;</w:t>
      </w:r>
      <w:r w:rsidRPr="0083659C">
        <w:t>Asetus (EY) N:o 178/2002</w:t>
      </w:r>
      <w:r w:rsidRPr="0083659C">
        <w:rPr>
          <w:rStyle w:val="HideTWBExt"/>
        </w:rPr>
        <w:t>&lt;/DocAmend2&gt;</w:t>
      </w:r>
    </w:p>
    <w:p w:rsidR="008B2576" w:rsidRPr="0083659C" w:rsidRDefault="00F32C95">
      <w:r w:rsidRPr="0083659C">
        <w:rPr>
          <w:rStyle w:val="HideTWBExt"/>
        </w:rPr>
        <w:t>&lt;Article2&gt;</w:t>
      </w:r>
      <w:r w:rsidRPr="0083659C">
        <w:t>32 e artikla</w:t>
      </w:r>
      <w:r w:rsidRPr="0083659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76" w:rsidRPr="0083659C">
        <w:trPr>
          <w:trHeight w:hRule="exact" w:val="240"/>
          <w:jc w:val="center"/>
        </w:trPr>
        <w:tc>
          <w:tcPr>
            <w:tcW w:w="9752" w:type="dxa"/>
            <w:gridSpan w:val="2"/>
          </w:tcPr>
          <w:p w:rsidR="008B2576" w:rsidRPr="0083659C" w:rsidRDefault="008B2576"/>
        </w:tc>
      </w:tr>
      <w:tr w:rsidR="008B2576" w:rsidRPr="0083659C">
        <w:trPr>
          <w:trHeight w:val="240"/>
          <w:jc w:val="center"/>
        </w:trPr>
        <w:tc>
          <w:tcPr>
            <w:tcW w:w="4876" w:type="dxa"/>
          </w:tcPr>
          <w:p w:rsidR="008B2576" w:rsidRPr="0083659C" w:rsidRDefault="00F32C95">
            <w:pPr>
              <w:pStyle w:val="ColumnHeading"/>
              <w:rPr>
                <w:color w:val="auto"/>
              </w:rPr>
            </w:pPr>
            <w:r w:rsidRPr="0083659C">
              <w:rPr>
                <w:color w:val="auto"/>
              </w:rPr>
              <w:t>Komission teksti</w:t>
            </w:r>
          </w:p>
        </w:tc>
        <w:tc>
          <w:tcPr>
            <w:tcW w:w="4876" w:type="dxa"/>
          </w:tcPr>
          <w:p w:rsidR="008B2576" w:rsidRPr="0083659C" w:rsidRDefault="00F32C95">
            <w:pPr>
              <w:pStyle w:val="ColumnHeading"/>
              <w:rPr>
                <w:color w:val="auto"/>
              </w:rPr>
            </w:pPr>
            <w:r w:rsidRPr="0083659C">
              <w:rPr>
                <w:color w:val="auto"/>
              </w:rPr>
              <w:t>Tarkistus</w:t>
            </w:r>
          </w:p>
        </w:tc>
      </w:tr>
      <w:tr w:rsidR="008B2576" w:rsidRPr="0083659C">
        <w:trPr>
          <w:jc w:val="center"/>
        </w:trPr>
        <w:tc>
          <w:tcPr>
            <w:tcW w:w="4876" w:type="dxa"/>
          </w:tcPr>
          <w:p w:rsidR="008B2576" w:rsidRPr="0083659C" w:rsidRDefault="00F32C95">
            <w:pPr>
              <w:pStyle w:val="Normal6"/>
              <w:rPr>
                <w:color w:val="auto"/>
              </w:rPr>
            </w:pPr>
            <w:r w:rsidRPr="0083659C">
              <w:rPr>
                <w:color w:val="auto"/>
              </w:rPr>
              <w:t xml:space="preserve">Komissio voi </w:t>
            </w:r>
            <w:r w:rsidRPr="0083659C">
              <w:rPr>
                <w:b/>
                <w:i/>
                <w:color w:val="auto"/>
              </w:rPr>
              <w:t>pyytää poikkeuksellisissa olosuhteissa</w:t>
            </w:r>
            <w:r w:rsidRPr="0083659C">
              <w:rPr>
                <w:color w:val="auto"/>
              </w:rPr>
              <w:t xml:space="preserve"> elintarviketurvallisuusviranomaista teettämään tieteellisiä tutkimuksia riskinarviointiprosessissa käytetyn näytön todentamiseksi, sanotun kuitenkaan rajoittamatta elintarvikelainsäädännön nojalla lupaa hakevien velvollisuutta osoittaa lupajärjestelmään toimitetun hakemuksen kohteen turvallisuus. Teetettävät tutkimukset voivat olla alaltaan laajempia kuin todentamisen kohteena oleva näyttö.</w:t>
            </w:r>
            <w:r w:rsidRPr="0083659C">
              <w:rPr>
                <w:b/>
                <w:i/>
                <w:color w:val="auto"/>
              </w:rPr>
              <w:t>”;</w:t>
            </w:r>
          </w:p>
        </w:tc>
        <w:tc>
          <w:tcPr>
            <w:tcW w:w="4876" w:type="dxa"/>
          </w:tcPr>
          <w:p w:rsidR="008B2576" w:rsidRPr="0083659C" w:rsidRDefault="00F32C95">
            <w:pPr>
              <w:pStyle w:val="Normal6"/>
              <w:rPr>
                <w:color w:val="auto"/>
              </w:rPr>
            </w:pPr>
            <w:r w:rsidRPr="0083659C">
              <w:rPr>
                <w:color w:val="auto"/>
              </w:rPr>
              <w:t xml:space="preserve">Komissio voi </w:t>
            </w:r>
            <w:r w:rsidRPr="0083659C">
              <w:rPr>
                <w:b/>
                <w:i/>
                <w:color w:val="auto"/>
              </w:rPr>
              <w:t>ristiriitaisten tieteellisten tulosten tapauksessa pyytää</w:t>
            </w:r>
            <w:r w:rsidRPr="0083659C">
              <w:rPr>
                <w:color w:val="auto"/>
              </w:rPr>
              <w:t xml:space="preserve"> elintarviketurvallisuusviranomaista teettämään tieteellisiä tutkimuksia riskinarviointiprosessissa käytetyn näytön todentamiseksi, sanotun kuitenkaan rajoittamatta elintarvikelainsäädännön nojalla lupaa hakevien velvollisuutta osoittaa lupajärjestelmään toimitetun hakemuksen kohteen turvallisuus. Teetettävät tutkimukset voivat olla alaltaan laajempia kuin todentamisen kohteena oleva näyttö</w:t>
            </w:r>
            <w:r w:rsidRPr="0083659C">
              <w:rPr>
                <w:b/>
                <w:i/>
                <w:color w:val="auto"/>
              </w:rPr>
              <w:t xml:space="preserve"> riskinarviointiprosesseissa</w:t>
            </w:r>
            <w:r w:rsidRPr="0083659C">
              <w:rPr>
                <w:color w:val="auto"/>
              </w:rPr>
              <w:t xml:space="preserve">. </w:t>
            </w:r>
            <w:r w:rsidRPr="0083659C">
              <w:rPr>
                <w:b/>
                <w:i/>
                <w:color w:val="auto"/>
              </w:rPr>
              <w:t>Todentamistutkimukset rahoitetaan hakijoiden yhteiseen rahastoon maksamilla rahoitusosuuksilla. Komissio hyväksyy delegoidun säädöksen 57 a artiklan mukaisesti ja määrittää tämän rahaston yksityiskohtaiset säännöt.”;</w:t>
            </w:r>
          </w:p>
        </w:tc>
      </w:tr>
    </w:tbl>
    <w:p w:rsidR="008B2576" w:rsidRPr="0083659C" w:rsidRDefault="00F32C95" w:rsidP="006B2505">
      <w:pPr>
        <w:pStyle w:val="Olang"/>
      </w:pPr>
      <w:r w:rsidRPr="0083659C">
        <w:rPr>
          <w:color w:val="auto"/>
        </w:rPr>
        <w:t xml:space="preserve">Or. </w:t>
      </w:r>
      <w:r w:rsidRPr="0083659C">
        <w:rPr>
          <w:rStyle w:val="HideTWBExt"/>
        </w:rPr>
        <w:t>&lt;Original&gt;</w:t>
      </w:r>
      <w:r w:rsidRPr="0083659C">
        <w:rPr>
          <w:rStyle w:val="HideTWBInt"/>
        </w:rPr>
        <w:t>{EN}</w:t>
      </w:r>
      <w:r w:rsidRPr="0083659C">
        <w:rPr>
          <w:color w:val="auto"/>
        </w:rPr>
        <w:t>en</w:t>
      </w:r>
      <w:r w:rsidRPr="0083659C">
        <w:rPr>
          <w:rStyle w:val="HideTWBExt"/>
        </w:rPr>
        <w:t>&lt;/Original&gt;</w:t>
      </w:r>
    </w:p>
    <w:p w:rsidR="008B2576" w:rsidRPr="0083659C" w:rsidRDefault="00F32C95">
      <w:pPr>
        <w:pStyle w:val="JustificationTitle"/>
      </w:pPr>
      <w:r w:rsidRPr="0083659C">
        <w:rPr>
          <w:rStyle w:val="HideTWBExt"/>
        </w:rPr>
        <w:t>&lt;TitreJust&gt;</w:t>
      </w:r>
      <w:r w:rsidRPr="0083659C">
        <w:rPr>
          <w:color w:val="auto"/>
        </w:rPr>
        <w:t>Perustelu</w:t>
      </w:r>
      <w:r w:rsidRPr="0083659C">
        <w:rPr>
          <w:rStyle w:val="HideTWBExt"/>
        </w:rPr>
        <w:t>&lt;/TitreJust&gt;</w:t>
      </w:r>
    </w:p>
    <w:p w:rsidR="008B2576" w:rsidRPr="0083659C" w:rsidRDefault="00F32C95">
      <w:pPr>
        <w:pStyle w:val="Normal12Italic"/>
      </w:pPr>
      <w:r w:rsidRPr="0083659C">
        <w:t>Tarkistus perustuu ENVI-valiokunnan mietinnön tarkistukseen 69, ja siinä lisätään kaksi viimeistä virkettä. Julkisia varoja ei pitäisi käyttää sellaisten tuotteiden tai aineiden arviointiin, joiden hyväksyminen tuottaa hakijoille hyötyä.</w:t>
      </w:r>
    </w:p>
    <w:p w:rsidR="008B2576" w:rsidRPr="0083659C" w:rsidRDefault="00F32C95">
      <w:pPr>
        <w:pStyle w:val="Normal12Italic"/>
        <w:rPr>
          <w:color w:val="auto"/>
        </w:rPr>
        <w:sectPr w:rsidR="008B2576" w:rsidRPr="0083659C">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83659C">
        <w:rPr>
          <w:rStyle w:val="HideTWBExt"/>
        </w:rPr>
        <w:t>&lt;/Amend&gt;</w:t>
      </w:r>
    </w:p>
    <w:p w:rsidR="008B2576" w:rsidRPr="0083659C" w:rsidRDefault="00F32C95">
      <w:pPr>
        <w:pStyle w:val="Interstitial1"/>
      </w:pPr>
      <w:r w:rsidRPr="0083659C">
        <w:rPr>
          <w:rStyle w:val="HideTWBExt"/>
        </w:rPr>
        <w:lastRenderedPageBreak/>
        <w:t>&lt;Amend&gt;&lt;Date&gt;</w:t>
      </w:r>
      <w:r w:rsidRPr="0083659C">
        <w:rPr>
          <w:rStyle w:val="HideTWBInt"/>
          <w:color w:val="auto"/>
        </w:rPr>
        <w:t>{06/12/2018}</w:t>
      </w:r>
      <w:r w:rsidRPr="0083659C">
        <w:rPr>
          <w:color w:val="auto"/>
        </w:rPr>
        <w:t>6.12.2018</w:t>
      </w:r>
      <w:r w:rsidRPr="0083659C">
        <w:rPr>
          <w:rStyle w:val="HideTWBExt"/>
        </w:rPr>
        <w:t>&lt;/Date&gt;</w:t>
      </w:r>
      <w:r w:rsidRPr="0083659C">
        <w:rPr>
          <w:color w:val="auto"/>
        </w:rPr>
        <w:tab/>
      </w:r>
      <w:r w:rsidRPr="0083659C">
        <w:rPr>
          <w:rStyle w:val="HideTWBExt"/>
        </w:rPr>
        <w:t>&lt;ANo&gt;</w:t>
      </w:r>
      <w:r w:rsidRPr="0083659C">
        <w:rPr>
          <w:color w:val="auto"/>
        </w:rPr>
        <w:t>A8-0417</w:t>
      </w:r>
      <w:r w:rsidRPr="0083659C">
        <w:rPr>
          <w:rStyle w:val="HideTWBExt"/>
        </w:rPr>
        <w:t>&lt;/ANo&gt;</w:t>
      </w:r>
      <w:r w:rsidRPr="0083659C">
        <w:rPr>
          <w:color w:val="auto"/>
        </w:rPr>
        <w:t>/</w:t>
      </w:r>
      <w:r w:rsidRPr="0083659C">
        <w:rPr>
          <w:rStyle w:val="HideTWBExt"/>
        </w:rPr>
        <w:t>&lt;NumAm&gt;</w:t>
      </w:r>
      <w:r w:rsidRPr="0083659C">
        <w:rPr>
          <w:color w:val="auto"/>
        </w:rPr>
        <w:t>162</w:t>
      </w:r>
      <w:r w:rsidRPr="0083659C">
        <w:rPr>
          <w:rStyle w:val="HideTWBExt"/>
        </w:rPr>
        <w:t>&lt;/NumAm&gt;</w:t>
      </w:r>
    </w:p>
    <w:p w:rsidR="008B2576" w:rsidRPr="0083659C" w:rsidRDefault="00F32C95">
      <w:pPr>
        <w:pStyle w:val="AMNumberTabs"/>
      </w:pPr>
      <w:r w:rsidRPr="0083659C">
        <w:rPr>
          <w:color w:val="auto"/>
        </w:rPr>
        <w:t>Tarkistus</w:t>
      </w:r>
      <w:r w:rsidRPr="0083659C">
        <w:rPr>
          <w:color w:val="auto"/>
        </w:rPr>
        <w:tab/>
      </w:r>
      <w:r w:rsidRPr="0083659C">
        <w:rPr>
          <w:color w:val="auto"/>
        </w:rPr>
        <w:tab/>
      </w:r>
      <w:r w:rsidRPr="0083659C">
        <w:rPr>
          <w:rStyle w:val="HideTWBExt"/>
        </w:rPr>
        <w:t>&lt;NumAm&gt;</w:t>
      </w:r>
      <w:r w:rsidRPr="0083659C">
        <w:rPr>
          <w:color w:val="auto"/>
        </w:rPr>
        <w:t>162</w:t>
      </w:r>
      <w:r w:rsidRPr="0083659C">
        <w:rPr>
          <w:rStyle w:val="HideTWBExt"/>
        </w:rPr>
        <w:t>&lt;/NumAm&gt;</w:t>
      </w:r>
    </w:p>
    <w:p w:rsidR="008B2576" w:rsidRPr="0083659C" w:rsidRDefault="00F32C95">
      <w:pPr>
        <w:pStyle w:val="NormalBold"/>
      </w:pPr>
      <w:r w:rsidRPr="0083659C">
        <w:rPr>
          <w:rStyle w:val="HideTWBExt"/>
        </w:rPr>
        <w:t>&lt;RepeatBlock-By&gt;&lt;Members&gt;</w:t>
      </w:r>
      <w:r w:rsidRPr="0083659C">
        <w:rPr>
          <w:color w:val="auto"/>
        </w:rPr>
        <w:t>Martin Häusling</w:t>
      </w:r>
      <w:r w:rsidRPr="0083659C">
        <w:rPr>
          <w:rStyle w:val="HideTWBExt"/>
        </w:rPr>
        <w:t>&lt;/Members&gt;</w:t>
      </w:r>
    </w:p>
    <w:p w:rsidR="008B2576" w:rsidRPr="0083659C" w:rsidRDefault="00F32C95">
      <w:r w:rsidRPr="0083659C">
        <w:rPr>
          <w:rStyle w:val="HideTWBExt"/>
        </w:rPr>
        <w:t>&lt;AuNomDe&gt;</w:t>
      </w:r>
      <w:r w:rsidRPr="0083659C">
        <w:rPr>
          <w:rStyle w:val="HideTWBInt"/>
          <w:color w:val="auto"/>
        </w:rPr>
        <w:t>{Verts/ALE}</w:t>
      </w:r>
      <w:r w:rsidRPr="0083659C">
        <w:t>Verts/ALE-ryhmän puolesta</w:t>
      </w:r>
      <w:r w:rsidRPr="0083659C">
        <w:rPr>
          <w:rStyle w:val="HideTWBExt"/>
        </w:rPr>
        <w:t>&lt;/AuNomDe&gt;</w:t>
      </w:r>
    </w:p>
    <w:p w:rsidR="008B2576" w:rsidRPr="0083659C" w:rsidRDefault="00F32C95">
      <w:r w:rsidRPr="0083659C">
        <w:rPr>
          <w:rStyle w:val="HideTWBExt"/>
        </w:rPr>
        <w:t>&lt;/RepeatBlock-By&gt;</w:t>
      </w:r>
    </w:p>
    <w:p w:rsidR="008B2576" w:rsidRPr="0083659C" w:rsidRDefault="00F32C95">
      <w:pPr>
        <w:pStyle w:val="ProjRap"/>
      </w:pPr>
      <w:r w:rsidRPr="0083659C">
        <w:rPr>
          <w:rStyle w:val="HideTWBExt"/>
        </w:rPr>
        <w:t>&lt;TitreType&gt;</w:t>
      </w:r>
      <w:r w:rsidRPr="0083659C">
        <w:t>Mietintö</w:t>
      </w:r>
      <w:r w:rsidRPr="0083659C">
        <w:rPr>
          <w:rStyle w:val="HideTWBExt"/>
        </w:rPr>
        <w:t>&lt;/TitreType&gt;</w:t>
      </w:r>
      <w:r w:rsidRPr="0083659C">
        <w:tab/>
        <w:t>A8-0417/2018</w:t>
      </w:r>
    </w:p>
    <w:p w:rsidR="008B2576" w:rsidRPr="0083659C" w:rsidRDefault="00F32C95">
      <w:pPr>
        <w:pStyle w:val="NormalBold"/>
      </w:pPr>
      <w:r w:rsidRPr="0083659C">
        <w:rPr>
          <w:rStyle w:val="HideTWBExt"/>
        </w:rPr>
        <w:t>&lt;Rapporteur&gt;</w:t>
      </w:r>
      <w:r w:rsidRPr="0083659C">
        <w:rPr>
          <w:color w:val="auto"/>
        </w:rPr>
        <w:t>Renate Sommer</w:t>
      </w:r>
      <w:r w:rsidRPr="0083659C">
        <w:rPr>
          <w:rStyle w:val="HideTWBExt"/>
        </w:rPr>
        <w:t>&lt;/Rapporteur&gt;</w:t>
      </w:r>
    </w:p>
    <w:p w:rsidR="008B2576" w:rsidRPr="0083659C" w:rsidRDefault="00F32C95">
      <w:pPr>
        <w:pStyle w:val="Normal12"/>
      </w:pPr>
      <w:r w:rsidRPr="0083659C">
        <w:rPr>
          <w:rStyle w:val="HideTWBExt"/>
        </w:rPr>
        <w:t>&lt;Titre&gt;</w:t>
      </w:r>
      <w:r w:rsidRPr="0083659C">
        <w:t>Elintarvikeketjuun sovellettavan EU:n riskinarvioinnin avoimuus ja kestävyys</w:t>
      </w:r>
      <w:r w:rsidRPr="0083659C">
        <w:rPr>
          <w:rStyle w:val="HideTWBExt"/>
        </w:rPr>
        <w:t>&lt;/Titre&gt;</w:t>
      </w:r>
    </w:p>
    <w:p w:rsidR="008B2576" w:rsidRPr="0083659C" w:rsidRDefault="00F32C95">
      <w:pPr>
        <w:pStyle w:val="Normal12"/>
      </w:pPr>
      <w:r w:rsidRPr="0083659C">
        <w:rPr>
          <w:rStyle w:val="HideTWBExt"/>
        </w:rPr>
        <w:t>&lt;DocRef&gt;</w:t>
      </w:r>
      <w:r w:rsidRPr="0083659C">
        <w:rPr>
          <w:color w:val="auto"/>
        </w:rPr>
        <w:t>(COM(2018)0179 – C8-0144/2018 – 2018/0088(COD))</w:t>
      </w:r>
      <w:r w:rsidRPr="0083659C">
        <w:rPr>
          <w:rStyle w:val="HideTWBExt"/>
        </w:rPr>
        <w:t>&lt;/DocRef&gt;</w:t>
      </w:r>
    </w:p>
    <w:p w:rsidR="008B2576" w:rsidRPr="0083659C" w:rsidRDefault="008B2576">
      <w:pPr>
        <w:pStyle w:val="Normal12"/>
      </w:pPr>
    </w:p>
    <w:p w:rsidR="008B2576" w:rsidRPr="0083659C" w:rsidRDefault="00F32C95">
      <w:pPr>
        <w:pStyle w:val="NormalBold"/>
      </w:pPr>
      <w:r w:rsidRPr="0083659C">
        <w:rPr>
          <w:rStyle w:val="HideTWBExt"/>
        </w:rPr>
        <w:t>&lt;DocAmend&gt;</w:t>
      </w:r>
      <w:r w:rsidRPr="0083659C">
        <w:rPr>
          <w:color w:val="auto"/>
        </w:rPr>
        <w:t>Ehdotus asetukseksi</w:t>
      </w:r>
      <w:r w:rsidRPr="0083659C">
        <w:rPr>
          <w:rStyle w:val="HideTWBExt"/>
        </w:rPr>
        <w:t>&lt;/DocAmend&gt;</w:t>
      </w:r>
    </w:p>
    <w:p w:rsidR="008B2576" w:rsidRPr="0083659C" w:rsidRDefault="00F32C95">
      <w:pPr>
        <w:pStyle w:val="NormalBold"/>
      </w:pPr>
      <w:r w:rsidRPr="0083659C">
        <w:rPr>
          <w:rStyle w:val="HideTWBExt"/>
        </w:rPr>
        <w:t>&lt;Article&gt;</w:t>
      </w:r>
      <w:r w:rsidRPr="0083659C">
        <w:rPr>
          <w:color w:val="auto"/>
        </w:rPr>
        <w:t>1 artikla – 1 kohta – 5 alakohta – a alakohta</w:t>
      </w:r>
      <w:r w:rsidRPr="0083659C">
        <w:rPr>
          <w:rStyle w:val="HideTWBExt"/>
        </w:rPr>
        <w:t>&lt;/Article&gt;</w:t>
      </w:r>
    </w:p>
    <w:p w:rsidR="008B2576" w:rsidRPr="0083659C" w:rsidRDefault="00F32C95">
      <w:r w:rsidRPr="0083659C">
        <w:rPr>
          <w:rStyle w:val="HideTWBExt"/>
        </w:rPr>
        <w:t>&lt;DocAmend2&gt;</w:t>
      </w:r>
      <w:r w:rsidRPr="0083659C">
        <w:t>Asetus (EY) N:o 178/2002</w:t>
      </w:r>
      <w:r w:rsidRPr="0083659C">
        <w:rPr>
          <w:rStyle w:val="HideTWBExt"/>
        </w:rPr>
        <w:t>&lt;/DocAmend2&gt;</w:t>
      </w:r>
    </w:p>
    <w:p w:rsidR="008B2576" w:rsidRPr="0083659C" w:rsidRDefault="00F32C95">
      <w:r w:rsidRPr="0083659C">
        <w:rPr>
          <w:rStyle w:val="HideTWBExt"/>
        </w:rPr>
        <w:t>&lt;Article2&gt;</w:t>
      </w:r>
      <w:r w:rsidRPr="0083659C">
        <w:t>38 artikla – 1 kohta – 2 alakohta</w:t>
      </w:r>
      <w:r w:rsidRPr="0083659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76" w:rsidRPr="0083659C">
        <w:trPr>
          <w:trHeight w:hRule="exact" w:val="240"/>
          <w:jc w:val="center"/>
        </w:trPr>
        <w:tc>
          <w:tcPr>
            <w:tcW w:w="9752" w:type="dxa"/>
            <w:gridSpan w:val="2"/>
          </w:tcPr>
          <w:p w:rsidR="008B2576" w:rsidRPr="0083659C" w:rsidRDefault="008B2576"/>
        </w:tc>
      </w:tr>
      <w:tr w:rsidR="008B2576" w:rsidRPr="0083659C">
        <w:trPr>
          <w:trHeight w:val="240"/>
          <w:jc w:val="center"/>
        </w:trPr>
        <w:tc>
          <w:tcPr>
            <w:tcW w:w="4876" w:type="dxa"/>
          </w:tcPr>
          <w:p w:rsidR="008B2576" w:rsidRPr="0083659C" w:rsidRDefault="00F32C95">
            <w:pPr>
              <w:pStyle w:val="ColumnHeading"/>
              <w:rPr>
                <w:color w:val="auto"/>
              </w:rPr>
            </w:pPr>
            <w:r w:rsidRPr="0083659C">
              <w:rPr>
                <w:color w:val="auto"/>
              </w:rPr>
              <w:t>Komission teksti</w:t>
            </w:r>
          </w:p>
        </w:tc>
        <w:tc>
          <w:tcPr>
            <w:tcW w:w="4876" w:type="dxa"/>
          </w:tcPr>
          <w:p w:rsidR="008B2576" w:rsidRPr="0083659C" w:rsidRDefault="00F32C95">
            <w:pPr>
              <w:pStyle w:val="ColumnHeading"/>
              <w:rPr>
                <w:color w:val="auto"/>
              </w:rPr>
            </w:pPr>
            <w:r w:rsidRPr="0083659C">
              <w:rPr>
                <w:color w:val="auto"/>
              </w:rPr>
              <w:t>Tarkistus</w:t>
            </w:r>
          </w:p>
        </w:tc>
      </w:tr>
      <w:tr w:rsidR="008B2576" w:rsidRPr="0083659C">
        <w:trPr>
          <w:jc w:val="center"/>
        </w:trPr>
        <w:tc>
          <w:tcPr>
            <w:tcW w:w="4876" w:type="dxa"/>
          </w:tcPr>
          <w:p w:rsidR="008B2576" w:rsidRPr="0083659C" w:rsidRDefault="00F32C95">
            <w:pPr>
              <w:pStyle w:val="Normal6"/>
              <w:rPr>
                <w:color w:val="auto"/>
              </w:rPr>
            </w:pPr>
            <w:r w:rsidRPr="0083659C">
              <w:rPr>
                <w:color w:val="auto"/>
              </w:rPr>
              <w:t>Ensimmäisessä alakohdassa tarkoitetut asiakirjat ja tiedot on julkaistava elintarviketurvallisuusviranomaisen verkkosivustolla omassa osiossaan. Kyseisen osion on oltava julkisesti ja helposti saatavilla. Nämä asiakirjat ja tiedot on voitava ladata ja tulostaa ja niistä on voitava tehdä hakuja sähköisessä muodossa.</w:t>
            </w:r>
            <w:r w:rsidRPr="0083659C">
              <w:rPr>
                <w:b/>
                <w:i/>
                <w:color w:val="auto"/>
              </w:rPr>
              <w:t>”;</w:t>
            </w:r>
          </w:p>
        </w:tc>
        <w:tc>
          <w:tcPr>
            <w:tcW w:w="4876" w:type="dxa"/>
          </w:tcPr>
          <w:p w:rsidR="008B2576" w:rsidRPr="0083659C" w:rsidRDefault="00F32C95">
            <w:pPr>
              <w:pStyle w:val="Normal6"/>
              <w:rPr>
                <w:color w:val="auto"/>
              </w:rPr>
            </w:pPr>
            <w:r w:rsidRPr="0083659C">
              <w:rPr>
                <w:color w:val="auto"/>
              </w:rPr>
              <w:t>Ensimmäisessä alakohdassa tarkoitetut asiakirjat ja tiedot on julkaistava elintarviketurvallisuusviranomaisen verkkosivustolla omassa osiossaan. Kyseisen osion on oltava julkisesti ja helposti saatavilla</w:t>
            </w:r>
            <w:r w:rsidRPr="0083659C">
              <w:rPr>
                <w:b/>
                <w:i/>
                <w:color w:val="auto"/>
              </w:rPr>
              <w:t>, siihen tutustuvien on annettava selkeä sähköisesti tallennettu sitoumus ja sen kaupalliseen käyttöön on sovellettava toimenpiteitä ja seuraamuksia, jotka ovat vaikuttavia, oikeasuhteisia ja ennaltaehkäiseviä</w:t>
            </w:r>
            <w:r w:rsidRPr="0083659C">
              <w:rPr>
                <w:color w:val="auto"/>
              </w:rPr>
              <w:t xml:space="preserve">. Nämä asiakirjat ja tiedot on voitava ladata ja tulostaa </w:t>
            </w:r>
            <w:r w:rsidRPr="0083659C">
              <w:rPr>
                <w:b/>
                <w:i/>
                <w:color w:val="auto"/>
              </w:rPr>
              <w:t xml:space="preserve">jäljitettävyyden vuoksi vesileimalla varustettuina, </w:t>
            </w:r>
            <w:r w:rsidRPr="0083659C">
              <w:rPr>
                <w:color w:val="auto"/>
              </w:rPr>
              <w:t>ja niistä on voitava tehdä hakuja sähköisessä muodossa</w:t>
            </w:r>
            <w:r w:rsidRPr="0083659C">
              <w:rPr>
                <w:b/>
                <w:i/>
                <w:color w:val="auto"/>
              </w:rPr>
              <w:t>, joka on koneellisesti luettavissa</w:t>
            </w:r>
            <w:r w:rsidRPr="0083659C">
              <w:rPr>
                <w:color w:val="auto"/>
              </w:rPr>
              <w:t>.</w:t>
            </w:r>
            <w:r w:rsidRPr="0083659C">
              <w:rPr>
                <w:b/>
                <w:i/>
                <w:color w:val="auto"/>
              </w:rPr>
              <w:t xml:space="preserve"> Näiden toimenpiteiden painopisteen on oltava asiakirjojen kaupallisessa käytössä ja niiden toimittamisessa. Kyseiset toimenpiteet on suunniteltava siten, että niillä suojellaan ensimmäisessä alakohdassa mainittuja asiakirjoja ja tietoja tehokkaasti kaupalliselta käytöltä sekä unionissa että kolmansissa maissa. Käyttö akateemisiin ja muihin ei-kaupallisiin tutkimustarkoituksiin on täysin luvallista.</w:t>
            </w:r>
          </w:p>
        </w:tc>
      </w:tr>
    </w:tbl>
    <w:p w:rsidR="008B2576" w:rsidRPr="0083659C" w:rsidRDefault="00F32C95" w:rsidP="006B2505">
      <w:pPr>
        <w:pStyle w:val="Olang"/>
      </w:pPr>
      <w:r w:rsidRPr="0083659C">
        <w:rPr>
          <w:color w:val="auto"/>
        </w:rPr>
        <w:t xml:space="preserve">Or. </w:t>
      </w:r>
      <w:r w:rsidRPr="0083659C">
        <w:rPr>
          <w:rStyle w:val="HideTWBExt"/>
        </w:rPr>
        <w:t>&lt;Original&gt;</w:t>
      </w:r>
      <w:r w:rsidRPr="0083659C">
        <w:rPr>
          <w:rStyle w:val="HideTWBInt"/>
        </w:rPr>
        <w:t>{EN}</w:t>
      </w:r>
      <w:r w:rsidRPr="0083659C">
        <w:rPr>
          <w:color w:val="auto"/>
        </w:rPr>
        <w:t>en</w:t>
      </w:r>
      <w:r w:rsidRPr="0083659C">
        <w:rPr>
          <w:rStyle w:val="HideTWBExt"/>
        </w:rPr>
        <w:t>&lt;/Original&gt;</w:t>
      </w:r>
    </w:p>
    <w:p w:rsidR="008B2576" w:rsidRPr="0083659C" w:rsidRDefault="00F32C95">
      <w:pPr>
        <w:pStyle w:val="JustificationTitle"/>
      </w:pPr>
      <w:r w:rsidRPr="0083659C">
        <w:rPr>
          <w:rStyle w:val="HideTWBExt"/>
        </w:rPr>
        <w:lastRenderedPageBreak/>
        <w:t>&lt;TitreJust&gt;</w:t>
      </w:r>
      <w:r w:rsidRPr="0083659C">
        <w:rPr>
          <w:color w:val="auto"/>
        </w:rPr>
        <w:t>Perustelu</w:t>
      </w:r>
      <w:r w:rsidRPr="0083659C">
        <w:rPr>
          <w:rStyle w:val="HideTWBExt"/>
        </w:rPr>
        <w:t>&lt;/TitreJust&gt;</w:t>
      </w:r>
    </w:p>
    <w:p w:rsidR="008B2576" w:rsidRPr="0083659C" w:rsidRDefault="00F32C95">
      <w:pPr>
        <w:pStyle w:val="Normal12Italic"/>
      </w:pPr>
      <w:r w:rsidRPr="0083659C">
        <w:t>Tarkistus perustuu ENVI-valiokunnan hyväksymään tarkistukseen 78, ja siinä lisätään viimeinen virke. On selvennettävä, että tieteellinen tutkimus ei kuulu ”kaupallisen käytön” piiriin ja että tutkijat voivat vapaasti käyttää aineistoa työssään.</w:t>
      </w:r>
    </w:p>
    <w:p w:rsidR="008B2576" w:rsidRPr="0083659C" w:rsidRDefault="00F32C95">
      <w:pPr>
        <w:pStyle w:val="Normal12Italic"/>
        <w:rPr>
          <w:color w:val="auto"/>
        </w:rPr>
        <w:sectPr w:rsidR="008B2576" w:rsidRPr="0083659C">
          <w:footerReference w:type="even" r:id="rId21"/>
          <w:footerReference w:type="default" r:id="rId22"/>
          <w:footerReference w:type="first" r:id="rId23"/>
          <w:pgSz w:w="11906" w:h="16838"/>
          <w:pgMar w:top="1134" w:right="1417" w:bottom="1417" w:left="1417" w:header="1134" w:footer="567" w:gutter="0"/>
          <w:cols w:space="708"/>
          <w:docGrid w:linePitch="360"/>
        </w:sectPr>
      </w:pPr>
      <w:r w:rsidRPr="0083659C">
        <w:rPr>
          <w:rStyle w:val="HideTWBExt"/>
        </w:rPr>
        <w:t>&lt;/Amend&gt;</w:t>
      </w:r>
    </w:p>
    <w:p w:rsidR="008B2576" w:rsidRPr="0083659C" w:rsidRDefault="00F32C95">
      <w:pPr>
        <w:pStyle w:val="Interstitial1"/>
      </w:pPr>
      <w:r w:rsidRPr="0083659C">
        <w:rPr>
          <w:rStyle w:val="HideTWBExt"/>
        </w:rPr>
        <w:lastRenderedPageBreak/>
        <w:t>&lt;Amend&gt;&lt;Date&gt;</w:t>
      </w:r>
      <w:r w:rsidRPr="0083659C">
        <w:rPr>
          <w:rStyle w:val="HideTWBInt"/>
          <w:color w:val="auto"/>
        </w:rPr>
        <w:t>{06/12/2018}</w:t>
      </w:r>
      <w:r w:rsidRPr="0083659C">
        <w:rPr>
          <w:color w:val="auto"/>
        </w:rPr>
        <w:t>6.12.2018</w:t>
      </w:r>
      <w:r w:rsidRPr="0083659C">
        <w:rPr>
          <w:rStyle w:val="HideTWBExt"/>
        </w:rPr>
        <w:t>&lt;/Date&gt;</w:t>
      </w:r>
      <w:r w:rsidRPr="0083659C">
        <w:rPr>
          <w:color w:val="auto"/>
        </w:rPr>
        <w:tab/>
      </w:r>
      <w:r w:rsidRPr="0083659C">
        <w:rPr>
          <w:rStyle w:val="HideTWBExt"/>
        </w:rPr>
        <w:t>&lt;ANo&gt;</w:t>
      </w:r>
      <w:r w:rsidRPr="0083659C">
        <w:rPr>
          <w:color w:val="auto"/>
        </w:rPr>
        <w:t>A8-0417</w:t>
      </w:r>
      <w:r w:rsidRPr="0083659C">
        <w:rPr>
          <w:rStyle w:val="HideTWBExt"/>
        </w:rPr>
        <w:t>&lt;/ANo&gt;</w:t>
      </w:r>
      <w:r w:rsidRPr="0083659C">
        <w:rPr>
          <w:color w:val="auto"/>
        </w:rPr>
        <w:t>/</w:t>
      </w:r>
      <w:r w:rsidRPr="0083659C">
        <w:rPr>
          <w:rStyle w:val="HideTWBExt"/>
        </w:rPr>
        <w:t>&lt;NumAm&gt;</w:t>
      </w:r>
      <w:r w:rsidRPr="0083659C">
        <w:rPr>
          <w:color w:val="auto"/>
        </w:rPr>
        <w:t>163</w:t>
      </w:r>
      <w:r w:rsidRPr="0083659C">
        <w:rPr>
          <w:rStyle w:val="HideTWBExt"/>
        </w:rPr>
        <w:t>&lt;/NumAm&gt;</w:t>
      </w:r>
    </w:p>
    <w:p w:rsidR="008B2576" w:rsidRPr="0083659C" w:rsidRDefault="00F32C95">
      <w:pPr>
        <w:pStyle w:val="AMNumberTabs"/>
      </w:pPr>
      <w:r w:rsidRPr="0083659C">
        <w:rPr>
          <w:color w:val="auto"/>
        </w:rPr>
        <w:t>Tarkistus</w:t>
      </w:r>
      <w:r w:rsidRPr="0083659C">
        <w:rPr>
          <w:color w:val="auto"/>
        </w:rPr>
        <w:tab/>
      </w:r>
      <w:r w:rsidRPr="0083659C">
        <w:rPr>
          <w:color w:val="auto"/>
        </w:rPr>
        <w:tab/>
      </w:r>
      <w:r w:rsidRPr="0083659C">
        <w:rPr>
          <w:rStyle w:val="HideTWBExt"/>
        </w:rPr>
        <w:t>&lt;NumAm&gt;</w:t>
      </w:r>
      <w:r w:rsidRPr="0083659C">
        <w:rPr>
          <w:color w:val="auto"/>
        </w:rPr>
        <w:t>163</w:t>
      </w:r>
      <w:r w:rsidRPr="0083659C">
        <w:rPr>
          <w:rStyle w:val="HideTWBExt"/>
        </w:rPr>
        <w:t>&lt;/NumAm&gt;</w:t>
      </w:r>
    </w:p>
    <w:p w:rsidR="008B2576" w:rsidRPr="0083659C" w:rsidRDefault="00F32C95">
      <w:pPr>
        <w:pStyle w:val="NormalBold"/>
      </w:pPr>
      <w:r w:rsidRPr="0083659C">
        <w:rPr>
          <w:rStyle w:val="HideTWBExt"/>
        </w:rPr>
        <w:t>&lt;RepeatBlock-By&gt;&lt;Members&gt;</w:t>
      </w:r>
      <w:r w:rsidRPr="0083659C">
        <w:rPr>
          <w:color w:val="auto"/>
        </w:rPr>
        <w:t>Martin Häusling</w:t>
      </w:r>
      <w:r w:rsidRPr="0083659C">
        <w:rPr>
          <w:rStyle w:val="HideTWBExt"/>
        </w:rPr>
        <w:t>&lt;/Members&gt;</w:t>
      </w:r>
    </w:p>
    <w:p w:rsidR="008B2576" w:rsidRPr="0083659C" w:rsidRDefault="00F32C95">
      <w:r w:rsidRPr="0083659C">
        <w:rPr>
          <w:rStyle w:val="HideTWBExt"/>
        </w:rPr>
        <w:t>&lt;AuNomDe&gt;</w:t>
      </w:r>
      <w:r w:rsidRPr="0083659C">
        <w:rPr>
          <w:rStyle w:val="HideTWBInt"/>
          <w:color w:val="auto"/>
        </w:rPr>
        <w:t>{Verts/ALE}</w:t>
      </w:r>
      <w:r w:rsidRPr="0083659C">
        <w:t>Verts/ALE-ryhmän puolesta</w:t>
      </w:r>
      <w:r w:rsidRPr="0083659C">
        <w:rPr>
          <w:rStyle w:val="HideTWBExt"/>
        </w:rPr>
        <w:t>&lt;/AuNomDe&gt;</w:t>
      </w:r>
    </w:p>
    <w:p w:rsidR="008B2576" w:rsidRPr="0083659C" w:rsidRDefault="00F32C95">
      <w:r w:rsidRPr="0083659C">
        <w:rPr>
          <w:rStyle w:val="HideTWBExt"/>
        </w:rPr>
        <w:t>&lt;/RepeatBlock-By&gt;</w:t>
      </w:r>
    </w:p>
    <w:p w:rsidR="008B2576" w:rsidRPr="0083659C" w:rsidRDefault="00F32C95">
      <w:pPr>
        <w:pStyle w:val="ProjRap"/>
      </w:pPr>
      <w:r w:rsidRPr="0083659C">
        <w:rPr>
          <w:rStyle w:val="HideTWBExt"/>
        </w:rPr>
        <w:t>&lt;TitreType&gt;</w:t>
      </w:r>
      <w:r w:rsidRPr="0083659C">
        <w:t>Mietintö</w:t>
      </w:r>
      <w:r w:rsidRPr="0083659C">
        <w:rPr>
          <w:rStyle w:val="HideTWBExt"/>
        </w:rPr>
        <w:t>&lt;/TitreType&gt;</w:t>
      </w:r>
      <w:r w:rsidRPr="0083659C">
        <w:tab/>
        <w:t>A8-0417/2018</w:t>
      </w:r>
    </w:p>
    <w:p w:rsidR="008B2576" w:rsidRPr="0083659C" w:rsidRDefault="00F32C95">
      <w:pPr>
        <w:pStyle w:val="NormalBold"/>
      </w:pPr>
      <w:r w:rsidRPr="0083659C">
        <w:rPr>
          <w:rStyle w:val="HideTWBExt"/>
        </w:rPr>
        <w:t>&lt;Rapporteur&gt;</w:t>
      </w:r>
      <w:r w:rsidRPr="0083659C">
        <w:rPr>
          <w:color w:val="auto"/>
        </w:rPr>
        <w:t>Renate Sommer</w:t>
      </w:r>
      <w:r w:rsidRPr="0083659C">
        <w:rPr>
          <w:rStyle w:val="HideTWBExt"/>
        </w:rPr>
        <w:t>&lt;/Rapporteur&gt;</w:t>
      </w:r>
    </w:p>
    <w:p w:rsidR="008B2576" w:rsidRPr="0083659C" w:rsidRDefault="00F32C95">
      <w:pPr>
        <w:pStyle w:val="Normal12"/>
      </w:pPr>
      <w:r w:rsidRPr="0083659C">
        <w:rPr>
          <w:rStyle w:val="HideTWBExt"/>
        </w:rPr>
        <w:t>&lt;Titre&gt;</w:t>
      </w:r>
      <w:r w:rsidRPr="0083659C">
        <w:t>Elintarvikeketjuun sovellettavan EU:n riskinarvioinnin avoimuus ja kestävyys</w:t>
      </w:r>
      <w:r w:rsidRPr="0083659C">
        <w:rPr>
          <w:rStyle w:val="HideTWBExt"/>
        </w:rPr>
        <w:t>&lt;/Titre&gt;</w:t>
      </w:r>
    </w:p>
    <w:p w:rsidR="008B2576" w:rsidRPr="0083659C" w:rsidRDefault="00F32C95">
      <w:pPr>
        <w:pStyle w:val="Normal12"/>
      </w:pPr>
      <w:r w:rsidRPr="0083659C">
        <w:rPr>
          <w:rStyle w:val="HideTWBExt"/>
        </w:rPr>
        <w:t>&lt;DocRef&gt;</w:t>
      </w:r>
      <w:r w:rsidRPr="0083659C">
        <w:rPr>
          <w:color w:val="auto"/>
        </w:rPr>
        <w:t>(COM(2018)0179 – C8-0144/2018 – 2018/0088(COD))</w:t>
      </w:r>
      <w:r w:rsidRPr="0083659C">
        <w:rPr>
          <w:rStyle w:val="HideTWBExt"/>
        </w:rPr>
        <w:t>&lt;/DocRef&gt;</w:t>
      </w:r>
    </w:p>
    <w:p w:rsidR="008B2576" w:rsidRPr="0083659C" w:rsidRDefault="008B2576">
      <w:pPr>
        <w:pStyle w:val="Normal12"/>
      </w:pPr>
    </w:p>
    <w:p w:rsidR="008B2576" w:rsidRPr="0083659C" w:rsidRDefault="00F32C95">
      <w:pPr>
        <w:pStyle w:val="NormalBold"/>
      </w:pPr>
      <w:r w:rsidRPr="0083659C">
        <w:rPr>
          <w:rStyle w:val="HideTWBExt"/>
        </w:rPr>
        <w:t>&lt;DocAmend&gt;</w:t>
      </w:r>
      <w:r w:rsidRPr="0083659C">
        <w:rPr>
          <w:color w:val="auto"/>
        </w:rPr>
        <w:t>Ehdotus asetukseksi</w:t>
      </w:r>
      <w:r w:rsidRPr="0083659C">
        <w:rPr>
          <w:rStyle w:val="HideTWBExt"/>
        </w:rPr>
        <w:t>&lt;/DocAmend&gt;</w:t>
      </w:r>
    </w:p>
    <w:p w:rsidR="008B2576" w:rsidRPr="0083659C" w:rsidRDefault="00F32C95">
      <w:pPr>
        <w:pStyle w:val="NormalBold"/>
      </w:pPr>
      <w:r w:rsidRPr="0083659C">
        <w:rPr>
          <w:rStyle w:val="HideTWBExt"/>
        </w:rPr>
        <w:t>&lt;Article&gt;</w:t>
      </w:r>
      <w:r w:rsidRPr="0083659C">
        <w:rPr>
          <w:color w:val="auto"/>
        </w:rPr>
        <w:t>1 artikla – 1 kohta – 5 alakohta – b alakohta</w:t>
      </w:r>
      <w:r w:rsidRPr="0083659C">
        <w:rPr>
          <w:rStyle w:val="HideTWBExt"/>
        </w:rPr>
        <w:t>&lt;/Article&gt;</w:t>
      </w:r>
    </w:p>
    <w:p w:rsidR="008B2576" w:rsidRPr="0083659C" w:rsidRDefault="00F32C95">
      <w:r w:rsidRPr="0083659C">
        <w:rPr>
          <w:rStyle w:val="HideTWBExt"/>
        </w:rPr>
        <w:t>&lt;DocAmend2&gt;</w:t>
      </w:r>
      <w:r w:rsidRPr="0083659C">
        <w:t>Asetus (EY) N:o 178/2002</w:t>
      </w:r>
      <w:r w:rsidRPr="0083659C">
        <w:rPr>
          <w:rStyle w:val="HideTWBExt"/>
        </w:rPr>
        <w:t>&lt;/DocAmend2&gt;</w:t>
      </w:r>
    </w:p>
    <w:p w:rsidR="008B2576" w:rsidRPr="0083659C" w:rsidRDefault="00F32C95">
      <w:r w:rsidRPr="0083659C">
        <w:rPr>
          <w:rStyle w:val="HideTWBExt"/>
        </w:rPr>
        <w:t>&lt;Article2&gt;</w:t>
      </w:r>
      <w:r w:rsidRPr="0083659C">
        <w:t>38 artikla – 1 a kohta – 2 alakohta</w:t>
      </w:r>
      <w:r w:rsidRPr="0083659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576" w:rsidRPr="0083659C">
        <w:trPr>
          <w:trHeight w:hRule="exact" w:val="240"/>
          <w:jc w:val="center"/>
        </w:trPr>
        <w:tc>
          <w:tcPr>
            <w:tcW w:w="9752" w:type="dxa"/>
            <w:gridSpan w:val="2"/>
          </w:tcPr>
          <w:p w:rsidR="008B2576" w:rsidRPr="0083659C" w:rsidRDefault="008B2576"/>
        </w:tc>
      </w:tr>
      <w:tr w:rsidR="008B2576" w:rsidRPr="0083659C">
        <w:trPr>
          <w:trHeight w:val="240"/>
          <w:jc w:val="center"/>
        </w:trPr>
        <w:tc>
          <w:tcPr>
            <w:tcW w:w="4876" w:type="dxa"/>
          </w:tcPr>
          <w:p w:rsidR="008B2576" w:rsidRPr="0083659C" w:rsidRDefault="00F32C95">
            <w:pPr>
              <w:pStyle w:val="ColumnHeading"/>
              <w:rPr>
                <w:color w:val="auto"/>
              </w:rPr>
            </w:pPr>
            <w:r w:rsidRPr="0083659C">
              <w:rPr>
                <w:color w:val="auto"/>
              </w:rPr>
              <w:t>Komission teksti</w:t>
            </w:r>
          </w:p>
        </w:tc>
        <w:tc>
          <w:tcPr>
            <w:tcW w:w="4876" w:type="dxa"/>
          </w:tcPr>
          <w:p w:rsidR="008B2576" w:rsidRPr="0083659C" w:rsidRDefault="00F32C95">
            <w:pPr>
              <w:pStyle w:val="ColumnHeading"/>
              <w:rPr>
                <w:color w:val="auto"/>
              </w:rPr>
            </w:pPr>
            <w:r w:rsidRPr="0083659C">
              <w:rPr>
                <w:color w:val="auto"/>
              </w:rPr>
              <w:t>Tarkistus</w:t>
            </w:r>
          </w:p>
        </w:tc>
      </w:tr>
      <w:tr w:rsidR="008B2576" w:rsidRPr="0083659C">
        <w:trPr>
          <w:jc w:val="center"/>
        </w:trPr>
        <w:tc>
          <w:tcPr>
            <w:tcW w:w="4876" w:type="dxa"/>
          </w:tcPr>
          <w:p w:rsidR="008B2576" w:rsidRPr="0083659C" w:rsidRDefault="00F32C95">
            <w:pPr>
              <w:pStyle w:val="Normal6"/>
              <w:rPr>
                <w:color w:val="auto"/>
              </w:rPr>
            </w:pPr>
            <w:r w:rsidRPr="0083659C">
              <w:rPr>
                <w:color w:val="auto"/>
              </w:rPr>
              <w:t>Edellä olevan 1 kohdan c alakohdassa mainittujen tietojen julkaisemista ei ole pidettävä eksplisiittisenä tai implisiittisenä lupana, jonka mukaan kyseisiä tietoja ja niiden sisältöä saisi käyttää, jäljentää tai muutoin hyödyntää, eikä ole</w:t>
            </w:r>
            <w:r w:rsidRPr="0083659C">
              <w:rPr>
                <w:b/>
                <w:i/>
                <w:color w:val="auto"/>
              </w:rPr>
              <w:t xml:space="preserve"> Euroopan</w:t>
            </w:r>
            <w:r w:rsidRPr="0083659C">
              <w:rPr>
                <w:color w:val="auto"/>
              </w:rPr>
              <w:t xml:space="preserve"> unionin vastuulla, jos kolmannet osapuolet käyttävät niitä.”</w:t>
            </w:r>
          </w:p>
        </w:tc>
        <w:tc>
          <w:tcPr>
            <w:tcW w:w="4876" w:type="dxa"/>
          </w:tcPr>
          <w:p w:rsidR="008B2576" w:rsidRPr="0083659C" w:rsidRDefault="00F32C95">
            <w:pPr>
              <w:pStyle w:val="Normal6"/>
              <w:rPr>
                <w:color w:val="auto"/>
              </w:rPr>
            </w:pPr>
            <w:r w:rsidRPr="0083659C">
              <w:rPr>
                <w:color w:val="auto"/>
              </w:rPr>
              <w:t>Edellä olevan 1 kohdan c alakohdassa mainittujen tietojen julkaisemista ei ole pidettävä eksplisiittisenä tai implisiittisenä lupana, jonka mukaan kyseisiä tietoja ja niiden sisältöä saisi käyttää</w:t>
            </w:r>
            <w:r w:rsidRPr="0083659C">
              <w:rPr>
                <w:b/>
                <w:i/>
                <w:color w:val="auto"/>
              </w:rPr>
              <w:t xml:space="preserve"> kaupallisesti</w:t>
            </w:r>
            <w:r w:rsidRPr="0083659C">
              <w:rPr>
                <w:color w:val="auto"/>
              </w:rPr>
              <w:t>, jäljentää tai muutoin hyödyntää</w:t>
            </w:r>
            <w:r w:rsidRPr="0083659C">
              <w:rPr>
                <w:b/>
                <w:i/>
                <w:color w:val="auto"/>
              </w:rPr>
              <w:t xml:space="preserve"> kaupallisessa tarkoituksessa. Epäilysten välttämiseksi julkaistuja tietoja voidaan käyttää tulosten julkiseen ja tieteelliseen valvontaan, myös tiedon lisäämiseksi mahdollisista haitallisista terveys- ja ympäristövaikutuksista</w:t>
            </w:r>
            <w:r w:rsidRPr="0083659C">
              <w:rPr>
                <w:color w:val="auto"/>
              </w:rPr>
              <w:t>, eikä ole unionin vastuulla, jos kolmannet osapuolet käyttävät niitä.”</w:t>
            </w:r>
          </w:p>
        </w:tc>
      </w:tr>
    </w:tbl>
    <w:p w:rsidR="008B2576" w:rsidRPr="0083659C" w:rsidRDefault="00F32C95" w:rsidP="006B2505">
      <w:pPr>
        <w:pStyle w:val="Olang"/>
      </w:pPr>
      <w:r w:rsidRPr="0083659C">
        <w:rPr>
          <w:color w:val="auto"/>
        </w:rPr>
        <w:t xml:space="preserve">Or. </w:t>
      </w:r>
      <w:r w:rsidRPr="0083659C">
        <w:rPr>
          <w:rStyle w:val="HideTWBExt"/>
        </w:rPr>
        <w:t>&lt;Original&gt;</w:t>
      </w:r>
      <w:r w:rsidRPr="0083659C">
        <w:rPr>
          <w:rStyle w:val="HideTWBInt"/>
        </w:rPr>
        <w:t>{EN}</w:t>
      </w:r>
      <w:r w:rsidRPr="0083659C">
        <w:rPr>
          <w:color w:val="auto"/>
        </w:rPr>
        <w:t>en</w:t>
      </w:r>
      <w:r w:rsidRPr="0083659C">
        <w:rPr>
          <w:rStyle w:val="HideTWBExt"/>
        </w:rPr>
        <w:t>&lt;/Original&gt;</w:t>
      </w:r>
    </w:p>
    <w:p w:rsidR="008B2576" w:rsidRPr="0083659C" w:rsidRDefault="00F32C95">
      <w:pPr>
        <w:pStyle w:val="JustificationTitle"/>
      </w:pPr>
      <w:r w:rsidRPr="0083659C">
        <w:rPr>
          <w:rStyle w:val="HideTWBExt"/>
        </w:rPr>
        <w:t>&lt;TitreJust&gt;</w:t>
      </w:r>
      <w:r w:rsidRPr="0083659C">
        <w:rPr>
          <w:color w:val="auto"/>
        </w:rPr>
        <w:t>Perustelu</w:t>
      </w:r>
      <w:r w:rsidRPr="0083659C">
        <w:rPr>
          <w:rStyle w:val="HideTWBExt"/>
        </w:rPr>
        <w:t>&lt;/TitreJust&gt;</w:t>
      </w:r>
    </w:p>
    <w:p w:rsidR="008B2576" w:rsidRPr="0083659C" w:rsidRDefault="00F32C95">
      <w:pPr>
        <w:pStyle w:val="Normal12Italic"/>
      </w:pPr>
      <w:r w:rsidRPr="0083659C">
        <w:t>Tarkistus perustuu ENVI-valiokunnan mietinnön tarkistukseen 81. On varmistettava, ettei aineiston käyttöä rajoiteta tarpeettomasti. Sen vuoksi lisätään sanat ”ja tieteellinen” ja poistetaan sanat ”tähän tarkoitukseen”. Poistamalla sanat ”tähän tarkoitukseen ”pyritään selventämään säännöstä ja suojelemaan unionia mahdollisesti kalliilta oikeustoimilta. On tärkeää, että ei jää epäilystäkään siitä, että tapauksiin, joissa kolmannet osapuolet käyttävät aineistoa – mihin tarkoitukseen tahansa – ei voi liittyä unionin vastuuta. Nykyinen sanamuoto antaa ymmärtää, että käyttö kaupall</w:t>
      </w:r>
      <w:bookmarkStart w:id="0" w:name="_GoBack"/>
      <w:bookmarkEnd w:id="0"/>
      <w:r w:rsidRPr="0083659C">
        <w:t>isiin tarkoituksiin voisi olla unionin vastuulla.</w:t>
      </w:r>
    </w:p>
    <w:p w:rsidR="008B2576" w:rsidRPr="0083659C" w:rsidRDefault="00F32C95">
      <w:pPr>
        <w:pStyle w:val="Normal12Italic"/>
      </w:pPr>
      <w:r w:rsidRPr="0083659C">
        <w:rPr>
          <w:rStyle w:val="HideTWBExt"/>
        </w:rPr>
        <w:t>&lt;/Amend&gt;&lt;/RepeatBlock-Amend&gt;</w:t>
      </w:r>
    </w:p>
    <w:sectPr w:rsidR="008B2576" w:rsidRPr="0083659C">
      <w:footerReference w:type="even" r:id="rId24"/>
      <w:footerReference w:type="default" r:id="rId25"/>
      <w:footerReference w:type="first" r:id="rId26"/>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CB" w:rsidRPr="006E2C25" w:rsidRDefault="00F32C95">
      <w:r w:rsidRPr="006E2C25">
        <w:separator/>
      </w:r>
    </w:p>
  </w:endnote>
  <w:endnote w:type="continuationSeparator" w:id="0">
    <w:p w:rsidR="009227CB" w:rsidRPr="006E2C25" w:rsidRDefault="00F32C95">
      <w:r w:rsidRPr="006E2C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9C" w:rsidRDefault="008365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25" w:rsidRPr="0083659C" w:rsidRDefault="006E2C25" w:rsidP="006E2C25">
    <w:pPr>
      <w:pStyle w:val="Footer"/>
      <w:rPr>
        <w:lang w:val="de-DE"/>
      </w:rPr>
    </w:pPr>
    <w:r w:rsidRPr="0083659C">
      <w:rPr>
        <w:rStyle w:val="HideTWBExt"/>
        <w:lang w:val="de-DE"/>
      </w:rPr>
      <w:t>&lt;PathFdR&gt;</w:t>
    </w:r>
    <w:r w:rsidRPr="0083659C">
      <w:rPr>
        <w:lang w:val="de-DE"/>
      </w:rPr>
      <w:t>AM\1171405FI.docx</w:t>
    </w:r>
    <w:r w:rsidRPr="0083659C">
      <w:rPr>
        <w:rStyle w:val="HideTWBExt"/>
        <w:lang w:val="de-DE"/>
      </w:rPr>
      <w:t>&lt;/PathFdR&gt;</w:t>
    </w:r>
    <w:r w:rsidRPr="0083659C">
      <w:rPr>
        <w:lang w:val="de-DE"/>
      </w:rPr>
      <w:tab/>
    </w:r>
    <w:r w:rsidRPr="0083659C">
      <w:rPr>
        <w:lang w:val="de-DE"/>
      </w:rPr>
      <w:tab/>
      <w:t>PE</w:t>
    </w:r>
    <w:r w:rsidRPr="0083659C">
      <w:rPr>
        <w:rStyle w:val="HideTWBExt"/>
        <w:lang w:val="de-DE"/>
      </w:rPr>
      <w:t>&lt;NoPE&gt;</w:t>
    </w:r>
    <w:r w:rsidRPr="0083659C">
      <w:rPr>
        <w:lang w:val="de-DE"/>
      </w:rPr>
      <w:t>631.553</w:t>
    </w:r>
    <w:r w:rsidRPr="0083659C">
      <w:rPr>
        <w:rStyle w:val="HideTWBExt"/>
        <w:lang w:val="de-DE"/>
      </w:rPr>
      <w:t>&lt;/NoPE&gt;&lt;Version&gt;</w:t>
    </w:r>
    <w:r w:rsidRPr="0083659C">
      <w:rPr>
        <w:lang w:val="de-DE"/>
      </w:rPr>
      <w:t>v01-00</w:t>
    </w:r>
    <w:r w:rsidRPr="0083659C">
      <w:rPr>
        <w:rStyle w:val="HideTWBExt"/>
        <w:lang w:val="de-DE"/>
      </w:rPr>
      <w:t>&lt;/Version&gt;</w:t>
    </w:r>
  </w:p>
  <w:p w:rsidR="008B2576" w:rsidRDefault="006E2C25" w:rsidP="006E2C25">
    <w:pPr>
      <w:pStyle w:val="Footer2"/>
      <w:tabs>
        <w:tab w:val="center" w:pos="4535"/>
      </w:tabs>
    </w:pPr>
    <w:r>
      <w:t>FI</w:t>
    </w:r>
    <w:r>
      <w:tab/>
    </w:r>
    <w:r w:rsidRPr="006E2C25">
      <w:rPr>
        <w:b w:val="0"/>
        <w:i/>
        <w:color w:val="C0C0C0"/>
        <w:sz w:val="22"/>
      </w:rPr>
      <w:t>Moninaisuudessaan yhtenäinen</w:t>
    </w:r>
    <w:r>
      <w:tab/>
      <w:t>FI</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25" w:rsidRPr="0083659C" w:rsidRDefault="006E2C25" w:rsidP="006E2C25">
    <w:pPr>
      <w:pStyle w:val="Footer"/>
      <w:rPr>
        <w:lang w:val="de-DE"/>
      </w:rPr>
    </w:pPr>
    <w:r w:rsidRPr="0083659C">
      <w:rPr>
        <w:rStyle w:val="HideTWBExt"/>
        <w:lang w:val="de-DE"/>
      </w:rPr>
      <w:t>&lt;PathFdR&gt;</w:t>
    </w:r>
    <w:r w:rsidRPr="0083659C">
      <w:rPr>
        <w:lang w:val="de-DE"/>
      </w:rPr>
      <w:t>AM\1171405FI.docx</w:t>
    </w:r>
    <w:r w:rsidRPr="0083659C">
      <w:rPr>
        <w:rStyle w:val="HideTWBExt"/>
        <w:lang w:val="de-DE"/>
      </w:rPr>
      <w:t>&lt;/PathFdR&gt;</w:t>
    </w:r>
    <w:r w:rsidRPr="0083659C">
      <w:rPr>
        <w:lang w:val="de-DE"/>
      </w:rPr>
      <w:tab/>
    </w:r>
    <w:r w:rsidRPr="0083659C">
      <w:rPr>
        <w:lang w:val="de-DE"/>
      </w:rPr>
      <w:tab/>
      <w:t>PE</w:t>
    </w:r>
    <w:r w:rsidRPr="0083659C">
      <w:rPr>
        <w:rStyle w:val="HideTWBExt"/>
        <w:lang w:val="de-DE"/>
      </w:rPr>
      <w:t>&lt;NoPE&gt;</w:t>
    </w:r>
    <w:r w:rsidRPr="0083659C">
      <w:rPr>
        <w:lang w:val="de-DE"/>
      </w:rPr>
      <w:t>631.553</w:t>
    </w:r>
    <w:r w:rsidRPr="0083659C">
      <w:rPr>
        <w:rStyle w:val="HideTWBExt"/>
        <w:lang w:val="de-DE"/>
      </w:rPr>
      <w:t>&lt;/NoPE&gt;&lt;Version&gt;</w:t>
    </w:r>
    <w:r w:rsidRPr="0083659C">
      <w:rPr>
        <w:lang w:val="de-DE"/>
      </w:rPr>
      <w:t>v01-00</w:t>
    </w:r>
    <w:r w:rsidRPr="0083659C">
      <w:rPr>
        <w:rStyle w:val="HideTWBExt"/>
        <w:lang w:val="de-DE"/>
      </w:rPr>
      <w:t>&lt;/Version&gt;</w:t>
    </w:r>
  </w:p>
  <w:p w:rsidR="008B2576" w:rsidRDefault="006E2C25" w:rsidP="006E2C25">
    <w:pPr>
      <w:pStyle w:val="Footer2"/>
      <w:tabs>
        <w:tab w:val="center" w:pos="4535"/>
      </w:tabs>
    </w:pPr>
    <w:r>
      <w:t>FI</w:t>
    </w:r>
    <w:r>
      <w:tab/>
    </w:r>
    <w:r w:rsidRPr="006E2C25">
      <w:rPr>
        <w:b w:val="0"/>
        <w:i/>
        <w:color w:val="C0C0C0"/>
        <w:sz w:val="22"/>
      </w:rPr>
      <w:t>Moninaisuudessaan yhtenäinen</w:t>
    </w:r>
    <w:r>
      <w:tab/>
      <w:t>FI</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25" w:rsidRPr="0083659C" w:rsidRDefault="006E2C25" w:rsidP="006E2C25">
    <w:pPr>
      <w:pStyle w:val="Footer"/>
      <w:rPr>
        <w:lang w:val="de-DE"/>
      </w:rPr>
    </w:pPr>
    <w:r w:rsidRPr="0083659C">
      <w:rPr>
        <w:rStyle w:val="HideTWBExt"/>
        <w:lang w:val="de-DE"/>
      </w:rPr>
      <w:t>&lt;PathFdR&gt;</w:t>
    </w:r>
    <w:r w:rsidRPr="0083659C">
      <w:rPr>
        <w:lang w:val="de-DE"/>
      </w:rPr>
      <w:t>AM\1171405FI.docx</w:t>
    </w:r>
    <w:r w:rsidRPr="0083659C">
      <w:rPr>
        <w:rStyle w:val="HideTWBExt"/>
        <w:lang w:val="de-DE"/>
      </w:rPr>
      <w:t>&lt;/PathFdR&gt;</w:t>
    </w:r>
    <w:r w:rsidRPr="0083659C">
      <w:rPr>
        <w:lang w:val="de-DE"/>
      </w:rPr>
      <w:tab/>
    </w:r>
    <w:r w:rsidRPr="0083659C">
      <w:rPr>
        <w:lang w:val="de-DE"/>
      </w:rPr>
      <w:tab/>
      <w:t>PE</w:t>
    </w:r>
    <w:r w:rsidRPr="0083659C">
      <w:rPr>
        <w:rStyle w:val="HideTWBExt"/>
        <w:lang w:val="de-DE"/>
      </w:rPr>
      <w:t>&lt;NoPE&gt;</w:t>
    </w:r>
    <w:r w:rsidRPr="0083659C">
      <w:rPr>
        <w:lang w:val="de-DE"/>
      </w:rPr>
      <w:t>631.553</w:t>
    </w:r>
    <w:r w:rsidRPr="0083659C">
      <w:rPr>
        <w:rStyle w:val="HideTWBExt"/>
        <w:lang w:val="de-DE"/>
      </w:rPr>
      <w:t>&lt;/NoPE&gt;&lt;Version&gt;</w:t>
    </w:r>
    <w:r w:rsidRPr="0083659C">
      <w:rPr>
        <w:lang w:val="de-DE"/>
      </w:rPr>
      <w:t>v01-00</w:t>
    </w:r>
    <w:r w:rsidRPr="0083659C">
      <w:rPr>
        <w:rStyle w:val="HideTWBExt"/>
        <w:lang w:val="de-DE"/>
      </w:rPr>
      <w:t>&lt;/Version&gt;</w:t>
    </w:r>
  </w:p>
  <w:p w:rsidR="008B2576" w:rsidRDefault="006E2C25" w:rsidP="006E2C25">
    <w:pPr>
      <w:pStyle w:val="Footer2"/>
      <w:tabs>
        <w:tab w:val="center" w:pos="4535"/>
      </w:tabs>
    </w:pPr>
    <w:r>
      <w:t>FI</w:t>
    </w:r>
    <w:r>
      <w:tab/>
    </w:r>
    <w:r w:rsidRPr="006E2C25">
      <w:rPr>
        <w:b w:val="0"/>
        <w:i/>
        <w:color w:val="C0C0C0"/>
        <w:sz w:val="22"/>
      </w:rPr>
      <w:t>Moninaisuudessaan yhtenäinen</w:t>
    </w:r>
    <w:r>
      <w:tab/>
      <w:t>FI</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25" w:rsidRPr="006E2C25" w:rsidRDefault="006E2C25" w:rsidP="006E2C25">
    <w:pPr>
      <w:pStyle w:val="Footer"/>
    </w:pPr>
    <w:r w:rsidRPr="006E2C25">
      <w:rPr>
        <w:rStyle w:val="HideTWBExt"/>
      </w:rPr>
      <w:t>&lt;PathFdR&gt;</w:t>
    </w:r>
    <w:r w:rsidRPr="006E2C25">
      <w:t>AM\1171405FI.docx</w:t>
    </w:r>
    <w:r w:rsidRPr="006E2C25">
      <w:rPr>
        <w:rStyle w:val="HideTWBExt"/>
      </w:rPr>
      <w:t>&lt;/PathFdR&gt;</w:t>
    </w:r>
    <w:r w:rsidRPr="006E2C25">
      <w:tab/>
    </w:r>
    <w:r w:rsidRPr="006E2C25">
      <w:tab/>
      <w:t>PE</w:t>
    </w:r>
    <w:r w:rsidRPr="006E2C25">
      <w:rPr>
        <w:rStyle w:val="HideTWBExt"/>
      </w:rPr>
      <w:t>&lt;NoPE&gt;</w:t>
    </w:r>
    <w:r w:rsidRPr="006E2C25">
      <w:t>631.553</w:t>
    </w:r>
    <w:r w:rsidRPr="006E2C25">
      <w:rPr>
        <w:rStyle w:val="HideTWBExt"/>
      </w:rPr>
      <w:t>&lt;/NoPE&gt;&lt;Version&gt;</w:t>
    </w:r>
    <w:r w:rsidRPr="006E2C25">
      <w:t>v01-00</w:t>
    </w:r>
    <w:r w:rsidRPr="006E2C25">
      <w:rPr>
        <w:rStyle w:val="HideTWBExt"/>
      </w:rPr>
      <w:t>&lt;/Version&gt;</w:t>
    </w:r>
  </w:p>
  <w:p w:rsidR="008B2576" w:rsidRPr="006E2C25" w:rsidRDefault="006E2C25" w:rsidP="006E2C25">
    <w:pPr>
      <w:pStyle w:val="Footer2"/>
      <w:tabs>
        <w:tab w:val="center" w:pos="4535"/>
      </w:tabs>
    </w:pPr>
    <w:r w:rsidRPr="006E2C25">
      <w:t>FI</w:t>
    </w:r>
    <w:r w:rsidRPr="006E2C25">
      <w:tab/>
    </w:r>
    <w:r w:rsidRPr="006E2C25">
      <w:rPr>
        <w:b w:val="0"/>
        <w:i/>
        <w:color w:val="C0C0C0"/>
        <w:sz w:val="22"/>
      </w:rPr>
      <w:t>Moninaisuudessaan yhtenäinen</w:t>
    </w:r>
    <w:r w:rsidRPr="006E2C25">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9C" w:rsidRDefault="008365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25" w:rsidRPr="0083659C" w:rsidRDefault="006E2C25" w:rsidP="006E2C25">
    <w:pPr>
      <w:pStyle w:val="Footer"/>
      <w:rPr>
        <w:lang w:val="de-DE"/>
      </w:rPr>
    </w:pPr>
    <w:r w:rsidRPr="0083659C">
      <w:rPr>
        <w:rStyle w:val="HideTWBExt"/>
        <w:lang w:val="de-DE"/>
      </w:rPr>
      <w:t>&lt;PathFdR&gt;</w:t>
    </w:r>
    <w:r w:rsidRPr="0083659C">
      <w:rPr>
        <w:lang w:val="de-DE"/>
      </w:rPr>
      <w:t>AM\1171405FI.docx</w:t>
    </w:r>
    <w:r w:rsidRPr="0083659C">
      <w:rPr>
        <w:rStyle w:val="HideTWBExt"/>
        <w:lang w:val="de-DE"/>
      </w:rPr>
      <w:t>&lt;/PathFdR&gt;</w:t>
    </w:r>
    <w:r w:rsidRPr="0083659C">
      <w:rPr>
        <w:lang w:val="de-DE"/>
      </w:rPr>
      <w:tab/>
    </w:r>
    <w:r w:rsidRPr="0083659C">
      <w:rPr>
        <w:lang w:val="de-DE"/>
      </w:rPr>
      <w:tab/>
      <w:t>PE</w:t>
    </w:r>
    <w:r w:rsidRPr="0083659C">
      <w:rPr>
        <w:rStyle w:val="HideTWBExt"/>
        <w:lang w:val="de-DE"/>
      </w:rPr>
      <w:t>&lt;NoPE&gt;</w:t>
    </w:r>
    <w:r w:rsidRPr="0083659C">
      <w:rPr>
        <w:lang w:val="de-DE"/>
      </w:rPr>
      <w:t>631.553</w:t>
    </w:r>
    <w:r w:rsidRPr="0083659C">
      <w:rPr>
        <w:rStyle w:val="HideTWBExt"/>
        <w:lang w:val="de-DE"/>
      </w:rPr>
      <w:t>&lt;/NoPE&gt;&lt;Version&gt;</w:t>
    </w:r>
    <w:r w:rsidRPr="0083659C">
      <w:rPr>
        <w:lang w:val="de-DE"/>
      </w:rPr>
      <w:t>v01-00</w:t>
    </w:r>
    <w:r w:rsidRPr="0083659C">
      <w:rPr>
        <w:rStyle w:val="HideTWBExt"/>
        <w:lang w:val="de-DE"/>
      </w:rPr>
      <w:t>&lt;/Version&gt;</w:t>
    </w:r>
  </w:p>
  <w:p w:rsidR="008B2576" w:rsidRDefault="006E2C25" w:rsidP="006E2C25">
    <w:pPr>
      <w:pStyle w:val="Footer2"/>
      <w:tabs>
        <w:tab w:val="center" w:pos="4535"/>
      </w:tabs>
    </w:pPr>
    <w:r>
      <w:t>FI</w:t>
    </w:r>
    <w:r>
      <w:tab/>
    </w:r>
    <w:r w:rsidRPr="006E2C25">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25" w:rsidRPr="0083659C" w:rsidRDefault="006E2C25" w:rsidP="006E2C25">
    <w:pPr>
      <w:pStyle w:val="Footer"/>
      <w:rPr>
        <w:lang w:val="de-DE"/>
      </w:rPr>
    </w:pPr>
    <w:r w:rsidRPr="0083659C">
      <w:rPr>
        <w:rStyle w:val="HideTWBExt"/>
        <w:lang w:val="de-DE"/>
      </w:rPr>
      <w:t>&lt;PathFdR&gt;</w:t>
    </w:r>
    <w:r w:rsidRPr="0083659C">
      <w:rPr>
        <w:lang w:val="de-DE"/>
      </w:rPr>
      <w:t>AM\1171405FI.docx</w:t>
    </w:r>
    <w:r w:rsidRPr="0083659C">
      <w:rPr>
        <w:rStyle w:val="HideTWBExt"/>
        <w:lang w:val="de-DE"/>
      </w:rPr>
      <w:t>&lt;/PathFdR&gt;</w:t>
    </w:r>
    <w:r w:rsidRPr="0083659C">
      <w:rPr>
        <w:lang w:val="de-DE"/>
      </w:rPr>
      <w:tab/>
    </w:r>
    <w:r w:rsidRPr="0083659C">
      <w:rPr>
        <w:lang w:val="de-DE"/>
      </w:rPr>
      <w:tab/>
      <w:t>PE</w:t>
    </w:r>
    <w:r w:rsidRPr="0083659C">
      <w:rPr>
        <w:rStyle w:val="HideTWBExt"/>
        <w:lang w:val="de-DE"/>
      </w:rPr>
      <w:t>&lt;NoPE&gt;</w:t>
    </w:r>
    <w:r w:rsidRPr="0083659C">
      <w:rPr>
        <w:lang w:val="de-DE"/>
      </w:rPr>
      <w:t>631.553</w:t>
    </w:r>
    <w:r w:rsidRPr="0083659C">
      <w:rPr>
        <w:rStyle w:val="HideTWBExt"/>
        <w:lang w:val="de-DE"/>
      </w:rPr>
      <w:t>&lt;/NoPE&gt;&lt;Version&gt;</w:t>
    </w:r>
    <w:r w:rsidRPr="0083659C">
      <w:rPr>
        <w:lang w:val="de-DE"/>
      </w:rPr>
      <w:t>v01-00</w:t>
    </w:r>
    <w:r w:rsidRPr="0083659C">
      <w:rPr>
        <w:rStyle w:val="HideTWBExt"/>
        <w:lang w:val="de-DE"/>
      </w:rPr>
      <w:t>&lt;/Version&gt;</w:t>
    </w:r>
  </w:p>
  <w:p w:rsidR="008B2576" w:rsidRDefault="006E2C25" w:rsidP="006E2C25">
    <w:pPr>
      <w:pStyle w:val="Footer2"/>
      <w:tabs>
        <w:tab w:val="center" w:pos="4535"/>
      </w:tabs>
    </w:pPr>
    <w:r>
      <w:t>FI</w:t>
    </w:r>
    <w:r>
      <w:tab/>
    </w:r>
    <w:r w:rsidRPr="006E2C25">
      <w:rPr>
        <w:b w:val="0"/>
        <w:i/>
        <w:color w:val="C0C0C0"/>
        <w:sz w:val="22"/>
      </w:rPr>
      <w:t>Moninaisuudessaan yhtenäinen</w:t>
    </w:r>
    <w:r>
      <w:tab/>
      <w:t>FI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76" w:rsidRPr="0083659C" w:rsidRDefault="008B2576" w:rsidP="0083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CB" w:rsidRPr="006E2C25" w:rsidRDefault="00F32C95">
      <w:r w:rsidRPr="006E2C25">
        <w:separator/>
      </w:r>
    </w:p>
  </w:footnote>
  <w:footnote w:type="continuationSeparator" w:id="0">
    <w:p w:rsidR="009227CB" w:rsidRPr="006E2C25" w:rsidRDefault="00F32C95">
      <w:r w:rsidRPr="006E2C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9C" w:rsidRDefault="0083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9C" w:rsidRDefault="00836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9C" w:rsidRDefault="0083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FI"/>
    <w:docVar w:name="TXTLANGUEMIN" w:val="fi"/>
    <w:docVar w:name="TXTNRPE" w:val="631.553"/>
    <w:docVar w:name="TXTPEorAP" w:val="PE"/>
    <w:docVar w:name="TXTROUTE" w:val="AM\1171405FI.docx"/>
    <w:docVar w:name="TXTVERSION" w:val="01-00"/>
  </w:docVars>
  <w:rsids>
    <w:rsidRoot w:val="008B2576"/>
    <w:rsid w:val="005F169C"/>
    <w:rsid w:val="006B2505"/>
    <w:rsid w:val="006E2C25"/>
    <w:rsid w:val="0083659C"/>
    <w:rsid w:val="008B2576"/>
    <w:rsid w:val="009227CB"/>
    <w:rsid w:val="00DC4D70"/>
    <w:rsid w:val="00DC7640"/>
    <w:rsid w:val="00F32C95"/>
    <w:rsid w:val="00FC6203"/>
    <w:rsid w:val="00FD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5ADD33-7BB4-402E-BF05-75C69DAF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1152</Words>
  <Characters>11767</Characters>
  <Application>Microsoft Office Word</Application>
  <DocSecurity>0</DocSecurity>
  <Lines>392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KONTKANEN Ari Petri</cp:lastModifiedBy>
  <cp:revision>2</cp:revision>
  <dcterms:created xsi:type="dcterms:W3CDTF">2018-12-10T14:01:00Z</dcterms:created>
  <dcterms:modified xsi:type="dcterms:W3CDTF">2018-12-10T14:01:00Z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1171405</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20181206-094628-067271-762679</vt:lpwstr>
  </property>
  <property fmtid="{D5CDD505-2E9C-101B-9397-08002B2CF9AE}" pid="6" name="FooterPath">
    <vt:lpwstr>AM\1171405FI.docx</vt:lpwstr>
  </property>
  <property fmtid="{D5CDD505-2E9C-101B-9397-08002B2CF9AE}" pid="7" name="PE Number">
    <vt:lpwstr>631.553</vt:lpwstr>
  </property>
  <property fmtid="{D5CDD505-2E9C-101B-9397-08002B2CF9AE}" pid="8" name="UID">
    <vt:lpwstr>eu.europa.europarl-DIN1-2018-0000148426_01.00-en-01.00_text-xml</vt:lpwstr>
  </property>
  <property fmtid="{D5CDD505-2E9C-101B-9397-08002B2CF9AE}" pid="9" name="SDLStudio">
    <vt:lpwstr/>
  </property>
  <property fmtid="{D5CDD505-2E9C-101B-9397-08002B2CF9AE}" pid="10" name="&lt;Extension&gt;">
    <vt:lpwstr>FI</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- 2018/12/10 15:01</vt:lpwstr>
  </property>
</Properties>
</file>