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662DB" w:rsidRPr="006E1332" w:rsidTr="00742C8A">
        <w:trPr>
          <w:trHeight w:hRule="exact" w:val="1418"/>
        </w:trPr>
        <w:tc>
          <w:tcPr>
            <w:tcW w:w="6804" w:type="dxa"/>
            <w:shd w:val="clear" w:color="auto" w:fill="auto"/>
            <w:vAlign w:val="center"/>
          </w:tcPr>
          <w:p w:rsidR="007662DB" w:rsidRPr="006E1332" w:rsidRDefault="00203DB5" w:rsidP="00742C8A">
            <w:pPr>
              <w:pStyle w:val="EPName"/>
              <w:rPr>
                <w:color w:val="auto"/>
              </w:rPr>
            </w:pPr>
            <w:r w:rsidRPr="006E1332">
              <w:rPr>
                <w:color w:val="auto"/>
              </w:rPr>
              <w:t>Evropski parlament</w:t>
            </w:r>
          </w:p>
          <w:p w:rsidR="007662DB" w:rsidRPr="006E1332" w:rsidRDefault="00915A89" w:rsidP="00915A89">
            <w:pPr>
              <w:pStyle w:val="EPTerm"/>
              <w:rPr>
                <w:rStyle w:val="HideTWBExt"/>
              </w:rPr>
            </w:pPr>
            <w:r w:rsidRPr="006E1332">
              <w:t>2014-2019</w:t>
            </w:r>
          </w:p>
        </w:tc>
        <w:tc>
          <w:tcPr>
            <w:tcW w:w="2268" w:type="dxa"/>
            <w:shd w:val="clear" w:color="auto" w:fill="auto"/>
          </w:tcPr>
          <w:p w:rsidR="007662DB" w:rsidRPr="006E1332" w:rsidRDefault="006E1332" w:rsidP="00742C8A">
            <w:pPr>
              <w:pStyle w:val="EPLogo"/>
            </w:pPr>
            <w:r w:rsidRPr="006E13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0.25pt">
                  <v:imagedata r:id="rId8" o:title="EP logo RGB_Mute"/>
                </v:shape>
              </w:pict>
            </w:r>
          </w:p>
        </w:tc>
      </w:tr>
    </w:tbl>
    <w:p w:rsidR="00461601" w:rsidRPr="006E1332" w:rsidRDefault="00461601" w:rsidP="00461601">
      <w:pPr>
        <w:pStyle w:val="LineTop"/>
      </w:pPr>
    </w:p>
    <w:p w:rsidR="00461601" w:rsidRPr="006E1332" w:rsidRDefault="00206B03" w:rsidP="00461601">
      <w:pPr>
        <w:pStyle w:val="ZCommittee"/>
      </w:pPr>
      <w:r w:rsidRPr="006E1332">
        <w:t>Dokument zasedanja</w:t>
      </w:r>
    </w:p>
    <w:p w:rsidR="00461601" w:rsidRPr="006E1332" w:rsidRDefault="00461601" w:rsidP="00461601">
      <w:pPr>
        <w:pStyle w:val="LineBottom"/>
      </w:pPr>
    </w:p>
    <w:p w:rsidR="00793EA9" w:rsidRPr="006E1332" w:rsidRDefault="00206B03">
      <w:pPr>
        <w:pStyle w:val="RefProc"/>
      </w:pPr>
      <w:r w:rsidRPr="006E1332">
        <w:rPr>
          <w:rStyle w:val="HideTWBExt"/>
          <w:b w:val="0"/>
          <w:caps w:val="0"/>
        </w:rPr>
        <w:t>&lt;NoDocSe&gt;</w:t>
      </w:r>
      <w:r w:rsidRPr="006E1332">
        <w:t>A8-0439/2018</w:t>
      </w:r>
      <w:r w:rsidRPr="006E1332">
        <w:rPr>
          <w:rStyle w:val="HideTWBExt"/>
          <w:b w:val="0"/>
          <w:caps w:val="0"/>
        </w:rPr>
        <w:t>&lt;/NoDocSe&gt;</w:t>
      </w:r>
    </w:p>
    <w:p w:rsidR="00793EA9" w:rsidRPr="006E1332" w:rsidRDefault="00793EA9">
      <w:pPr>
        <w:pStyle w:val="ZDate"/>
      </w:pPr>
      <w:r w:rsidRPr="006E1332">
        <w:rPr>
          <w:rStyle w:val="HideTWBExt"/>
        </w:rPr>
        <w:t>&lt;Date&gt;</w:t>
      </w:r>
      <w:r w:rsidRPr="006E1332">
        <w:rPr>
          <w:rStyle w:val="HideTWBInt"/>
        </w:rPr>
        <w:t>{06/12/2018}</w:t>
      </w:r>
      <w:r w:rsidRPr="006E1332">
        <w:t>6.12.2018</w:t>
      </w:r>
      <w:r w:rsidRPr="006E1332">
        <w:rPr>
          <w:rStyle w:val="HideTWBExt"/>
        </w:rPr>
        <w:t>&lt;/Date&gt;</w:t>
      </w:r>
    </w:p>
    <w:p w:rsidR="00793EA9" w:rsidRPr="006E1332" w:rsidRDefault="00793EA9">
      <w:pPr>
        <w:pStyle w:val="StarsAndIs"/>
      </w:pPr>
      <w:r w:rsidRPr="006E1332">
        <w:rPr>
          <w:rStyle w:val="HideTWBExt"/>
          <w:b w:val="0"/>
        </w:rPr>
        <w:t>&lt;RefProcLect&gt;</w:t>
      </w:r>
      <w:r w:rsidRPr="006E1332">
        <w:t>***I</w:t>
      </w:r>
      <w:r w:rsidRPr="006E1332">
        <w:rPr>
          <w:rStyle w:val="HideTWBExt"/>
          <w:b w:val="0"/>
        </w:rPr>
        <w:t>&lt;/RefProcLect&gt;</w:t>
      </w:r>
    </w:p>
    <w:p w:rsidR="00793EA9" w:rsidRPr="006E1332" w:rsidRDefault="00793EA9">
      <w:pPr>
        <w:pStyle w:val="TypeDoc"/>
      </w:pPr>
      <w:r w:rsidRPr="006E1332">
        <w:rPr>
          <w:rStyle w:val="HideTWBExt"/>
          <w:b w:val="0"/>
        </w:rPr>
        <w:t>&lt;TitreType&gt;</w:t>
      </w:r>
      <w:r w:rsidRPr="006E1332">
        <w:t>POROČILO</w:t>
      </w:r>
      <w:r w:rsidRPr="006E1332">
        <w:rPr>
          <w:rStyle w:val="HideTWBExt"/>
          <w:b w:val="0"/>
        </w:rPr>
        <w:t>&lt;/TitreType&gt;</w:t>
      </w:r>
    </w:p>
    <w:p w:rsidR="00793EA9" w:rsidRPr="006E1332" w:rsidRDefault="00793EA9">
      <w:pPr>
        <w:pStyle w:val="CoverNormal"/>
      </w:pPr>
      <w:r w:rsidRPr="006E1332">
        <w:rPr>
          <w:rStyle w:val="HideTWBExt"/>
        </w:rPr>
        <w:t>&lt;Titre&gt;</w:t>
      </w:r>
      <w:r w:rsidRPr="006E1332">
        <w:t>o osnutku uredbe Evropskega parlamenta in Sveta o spremembi Protokola št. 3 o Statutu Sodišča Evropske unije</w:t>
      </w:r>
      <w:r w:rsidRPr="006E1332">
        <w:rPr>
          <w:rStyle w:val="HideTWBExt"/>
        </w:rPr>
        <w:t>&lt;/Titre&gt;</w:t>
      </w:r>
    </w:p>
    <w:p w:rsidR="00793EA9" w:rsidRPr="006E1332" w:rsidRDefault="00793EA9">
      <w:pPr>
        <w:pStyle w:val="Cover24"/>
      </w:pPr>
      <w:r w:rsidRPr="006E1332">
        <w:rPr>
          <w:rStyle w:val="HideTWBExt"/>
        </w:rPr>
        <w:t>&lt;DocRef&gt;</w:t>
      </w:r>
      <w:r w:rsidRPr="006E1332">
        <w:t>(02360/2018 – C8-0132/2018 – 2018/0900(COD))</w:t>
      </w:r>
      <w:r w:rsidRPr="006E1332">
        <w:rPr>
          <w:rStyle w:val="HideTWBExt"/>
        </w:rPr>
        <w:t>&lt;/DocRef&gt;</w:t>
      </w:r>
    </w:p>
    <w:p w:rsidR="00793EA9" w:rsidRPr="006E1332" w:rsidRDefault="00793EA9">
      <w:pPr>
        <w:pStyle w:val="Cover24"/>
      </w:pPr>
      <w:r w:rsidRPr="006E1332">
        <w:rPr>
          <w:rStyle w:val="HideTWBExt"/>
        </w:rPr>
        <w:t>&lt;Commission&gt;</w:t>
      </w:r>
      <w:r w:rsidRPr="006E1332">
        <w:rPr>
          <w:rStyle w:val="HideTWBInt"/>
        </w:rPr>
        <w:t>{JURI}</w:t>
      </w:r>
      <w:r w:rsidRPr="006E1332">
        <w:t>Odbor za pravne zadeve</w:t>
      </w:r>
      <w:r w:rsidRPr="006E1332">
        <w:rPr>
          <w:rStyle w:val="HideTWBExt"/>
        </w:rPr>
        <w:t>&lt;/Commission&gt;</w:t>
      </w:r>
    </w:p>
    <w:p w:rsidR="00793EA9" w:rsidRPr="006E1332" w:rsidRDefault="00915A89">
      <w:pPr>
        <w:pStyle w:val="Cover24"/>
      </w:pPr>
      <w:r w:rsidRPr="006E1332">
        <w:t xml:space="preserve">Poročevalec: </w:t>
      </w:r>
      <w:r w:rsidRPr="006E1332">
        <w:rPr>
          <w:rStyle w:val="HideTWBExt"/>
        </w:rPr>
        <w:t>&lt;Depute&gt;</w:t>
      </w:r>
      <w:r w:rsidRPr="006E1332">
        <w:t>Tiemo Wölken</w:t>
      </w:r>
      <w:r w:rsidRPr="006E1332">
        <w:rPr>
          <w:rStyle w:val="HideTWBExt"/>
        </w:rPr>
        <w:t>&lt;/Depute&gt;</w:t>
      </w:r>
    </w:p>
    <w:p w:rsidR="001C5B44" w:rsidRPr="006E1332" w:rsidRDefault="001C5B44" w:rsidP="001C5B44">
      <w:pPr>
        <w:pStyle w:val="CoverNormal"/>
      </w:pPr>
    </w:p>
    <w:p w:rsidR="00793EA9" w:rsidRPr="006E1332" w:rsidRDefault="00793EA9" w:rsidP="007662DB">
      <w:pPr>
        <w:widowControl/>
        <w:tabs>
          <w:tab w:val="center" w:pos="4677"/>
        </w:tabs>
      </w:pPr>
      <w:r w:rsidRPr="006E1332">
        <w:br w:type="page"/>
      </w:r>
    </w:p>
    <w:p w:rsidR="00915A89" w:rsidRPr="006E1332" w:rsidRDefault="006E1332" w:rsidP="00D94200">
      <w:r w:rsidRPr="006E1332">
        <w:fldChar w:fldCharType="begin"/>
      </w:r>
      <w:r w:rsidRPr="006E1332">
        <w:instrText xml:space="preserve"> TITLE  \* MERGEFORMAT </w:instrText>
      </w:r>
      <w:r w:rsidRPr="006E1332">
        <w:fldChar w:fldCharType="separate"/>
      </w:r>
      <w:r>
        <w:t>PR_COD_1amOther</w:t>
      </w:r>
      <w:r w:rsidRPr="006E1332">
        <w:fldChar w:fldCharType="end"/>
      </w:r>
    </w:p>
    <w:p w:rsidR="00915A89" w:rsidRPr="006E1332" w:rsidRDefault="00915A89"/>
    <w:p w:rsidR="00915A89" w:rsidRPr="006E1332" w:rsidRDefault="00915A89">
      <w:pPr>
        <w:tabs>
          <w:tab w:val="center" w:pos="4677"/>
        </w:tabs>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6E1332" w:rsidRPr="006E1332">
        <w:tc>
          <w:tcPr>
            <w:tcW w:w="5811" w:type="dxa"/>
            <w:tcBorders>
              <w:top w:val="single" w:sz="4" w:space="0" w:color="auto"/>
            </w:tcBorders>
          </w:tcPr>
          <w:p w:rsidR="00915A89" w:rsidRPr="006E1332" w:rsidRDefault="00915A89" w:rsidP="008C65EE">
            <w:pPr>
              <w:pStyle w:val="Lgendetitre"/>
              <w:rPr>
                <w:szCs w:val="24"/>
              </w:rPr>
            </w:pPr>
            <w:r w:rsidRPr="006E1332">
              <w:t>Oznake postopkov</w:t>
            </w:r>
          </w:p>
        </w:tc>
      </w:tr>
      <w:tr w:rsidR="00915A89" w:rsidRPr="006E1332">
        <w:trPr>
          <w:cantSplit/>
          <w:trHeight w:val="1949"/>
        </w:trPr>
        <w:tc>
          <w:tcPr>
            <w:tcW w:w="5811" w:type="dxa"/>
            <w:tcBorders>
              <w:bottom w:val="single" w:sz="4" w:space="0" w:color="auto"/>
            </w:tcBorders>
          </w:tcPr>
          <w:p w:rsidR="00915A89" w:rsidRPr="006E1332" w:rsidRDefault="00915A89" w:rsidP="008C65EE">
            <w:pPr>
              <w:pStyle w:val="Lgendesigne"/>
              <w:rPr>
                <w:szCs w:val="24"/>
              </w:rPr>
            </w:pPr>
            <w:r w:rsidRPr="006E1332">
              <w:tab/>
              <w:t>*</w:t>
            </w:r>
            <w:r w:rsidRPr="006E1332">
              <w:tab/>
              <w:t>Postopek posvetovanja</w:t>
            </w:r>
            <w:r w:rsidRPr="006E1332">
              <w:tab/>
            </w:r>
          </w:p>
          <w:p w:rsidR="00915A89" w:rsidRPr="006E1332" w:rsidRDefault="00915A89" w:rsidP="008C65EE">
            <w:pPr>
              <w:pStyle w:val="Lgendesigne"/>
              <w:rPr>
                <w:szCs w:val="24"/>
              </w:rPr>
            </w:pPr>
            <w:r w:rsidRPr="006E1332">
              <w:tab/>
              <w:t>***</w:t>
            </w:r>
            <w:r w:rsidRPr="006E1332">
              <w:tab/>
              <w:t>Postopek odobritve</w:t>
            </w:r>
          </w:p>
          <w:p w:rsidR="00915A89" w:rsidRPr="006E1332" w:rsidRDefault="00915A89" w:rsidP="008C65EE">
            <w:pPr>
              <w:pStyle w:val="Lgendesigne"/>
              <w:rPr>
                <w:szCs w:val="24"/>
              </w:rPr>
            </w:pPr>
            <w:r w:rsidRPr="006E1332">
              <w:tab/>
              <w:t>***I</w:t>
            </w:r>
            <w:r w:rsidRPr="006E1332">
              <w:tab/>
              <w:t>Redni zakonodajni postopek (prva obravnava)</w:t>
            </w:r>
          </w:p>
          <w:p w:rsidR="00915A89" w:rsidRPr="006E1332" w:rsidRDefault="00915A89" w:rsidP="008C65EE">
            <w:pPr>
              <w:pStyle w:val="Lgendesigne"/>
              <w:rPr>
                <w:szCs w:val="24"/>
              </w:rPr>
            </w:pPr>
            <w:r w:rsidRPr="006E1332">
              <w:tab/>
              <w:t>***II</w:t>
            </w:r>
            <w:r w:rsidRPr="006E1332">
              <w:tab/>
              <w:t>Redni zakonodajni postopek (druga obravnava)</w:t>
            </w:r>
          </w:p>
          <w:p w:rsidR="00915A89" w:rsidRPr="006E1332" w:rsidRDefault="00915A89" w:rsidP="008C65EE">
            <w:pPr>
              <w:pStyle w:val="Lgendesigne"/>
              <w:rPr>
                <w:szCs w:val="24"/>
              </w:rPr>
            </w:pPr>
            <w:r w:rsidRPr="006E1332">
              <w:tab/>
              <w:t>***III</w:t>
            </w:r>
            <w:r w:rsidRPr="006E1332">
              <w:tab/>
              <w:t>Redni zakonodajni postopek (tretja obravnava)</w:t>
            </w:r>
            <w:r w:rsidRPr="006E1332">
              <w:br/>
            </w:r>
          </w:p>
          <w:p w:rsidR="00915A89" w:rsidRPr="006E1332" w:rsidRDefault="00915A89" w:rsidP="008C65EE">
            <w:pPr>
              <w:pStyle w:val="Lgendestandard"/>
              <w:rPr>
                <w:szCs w:val="24"/>
              </w:rPr>
            </w:pPr>
            <w:r w:rsidRPr="006E1332">
              <w:t>(Vrsta postopka je odvisna od pravne podlage, ki je predlagana v osnutku akta.)</w:t>
            </w:r>
          </w:p>
          <w:p w:rsidR="00915A89" w:rsidRPr="006E1332" w:rsidRDefault="00915A89" w:rsidP="008C65EE">
            <w:pPr>
              <w:pStyle w:val="Lgendestandard"/>
              <w:rPr>
                <w:szCs w:val="24"/>
              </w:rPr>
            </w:pPr>
          </w:p>
        </w:tc>
      </w:tr>
    </w:tbl>
    <w:p w:rsidR="00915A89" w:rsidRPr="006E1332" w:rsidRDefault="00915A89"/>
    <w:p w:rsidR="00915A89" w:rsidRPr="006E1332" w:rsidRDefault="00915A89"/>
    <w:p w:rsidR="00915A89" w:rsidRPr="006E1332" w:rsidRDefault="00915A89"/>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6E1332" w:rsidRPr="006E1332" w:rsidTr="00E0653B">
        <w:tc>
          <w:tcPr>
            <w:tcW w:w="5811" w:type="dxa"/>
            <w:tcBorders>
              <w:top w:val="single" w:sz="4" w:space="0" w:color="auto"/>
              <w:bottom w:val="nil"/>
            </w:tcBorders>
          </w:tcPr>
          <w:p w:rsidR="00915A89" w:rsidRPr="006E1332" w:rsidRDefault="00915A89" w:rsidP="008C65EE">
            <w:pPr>
              <w:pStyle w:val="Lgendetitre"/>
              <w:rPr>
                <w:szCs w:val="24"/>
              </w:rPr>
            </w:pPr>
            <w:r w:rsidRPr="006E1332">
              <w:t>Predlogi sprememb k osnutku akta</w:t>
            </w:r>
          </w:p>
        </w:tc>
      </w:tr>
      <w:tr w:rsidR="00915A89" w:rsidRPr="006E1332" w:rsidTr="00E0653B">
        <w:tc>
          <w:tcPr>
            <w:tcW w:w="5811" w:type="dxa"/>
            <w:tcBorders>
              <w:top w:val="nil"/>
              <w:bottom w:val="single" w:sz="4" w:space="0" w:color="auto"/>
            </w:tcBorders>
          </w:tcPr>
          <w:p w:rsidR="00915A89" w:rsidRPr="006E1332" w:rsidRDefault="00915A89" w:rsidP="008C65EE">
            <w:pPr>
              <w:pStyle w:val="Lgendestandard"/>
              <w:rPr>
                <w:szCs w:val="24"/>
              </w:rPr>
            </w:pPr>
            <w:r w:rsidRPr="006E1332">
              <w:rPr>
                <w:b/>
                <w:szCs w:val="24"/>
              </w:rPr>
              <w:t>Spremembe, ki jih predlaga Parlament, v dveh stolpcih</w:t>
            </w:r>
          </w:p>
          <w:p w:rsidR="00915A89" w:rsidRPr="006E1332" w:rsidRDefault="00915A89" w:rsidP="008C65EE">
            <w:pPr>
              <w:pStyle w:val="Lgendestandard"/>
              <w:rPr>
                <w:szCs w:val="24"/>
              </w:rPr>
            </w:pPr>
          </w:p>
          <w:p w:rsidR="00915A89" w:rsidRPr="006E1332" w:rsidRDefault="00915A89" w:rsidP="008C65EE">
            <w:pPr>
              <w:pStyle w:val="Lgendestandard"/>
              <w:rPr>
                <w:szCs w:val="24"/>
              </w:rPr>
            </w:pPr>
            <w:r w:rsidRPr="006E1332">
              <w:t xml:space="preserve">Izbrisano besedilo je označeno s </w:t>
            </w:r>
            <w:r w:rsidRPr="006E1332">
              <w:rPr>
                <w:b/>
                <w:i/>
                <w:szCs w:val="24"/>
              </w:rPr>
              <w:t xml:space="preserve">krepkim poševnim tiskom </w:t>
            </w:r>
            <w:r w:rsidRPr="006E1332">
              <w:t xml:space="preserve">v levem stolpcu, zamenjano besedilo s </w:t>
            </w:r>
            <w:r w:rsidRPr="006E1332">
              <w:rPr>
                <w:b/>
                <w:i/>
                <w:szCs w:val="24"/>
              </w:rPr>
              <w:t>krepkim poševnim tiskom</w:t>
            </w:r>
            <w:r w:rsidRPr="006E1332">
              <w:t xml:space="preserve"> v obeh stolpcih, novo besedilo pa s </w:t>
            </w:r>
            <w:r w:rsidRPr="006E1332">
              <w:rPr>
                <w:b/>
                <w:i/>
                <w:szCs w:val="24"/>
              </w:rPr>
              <w:t>krepkim poševnim tiskom</w:t>
            </w:r>
            <w:r w:rsidRPr="006E1332">
              <w:t xml:space="preserve"> v desnem stolpcu.</w:t>
            </w:r>
          </w:p>
          <w:p w:rsidR="00915A89" w:rsidRPr="006E1332" w:rsidRDefault="00915A89" w:rsidP="008C65EE">
            <w:pPr>
              <w:pStyle w:val="Lgendestandard"/>
              <w:rPr>
                <w:szCs w:val="24"/>
              </w:rPr>
            </w:pPr>
          </w:p>
          <w:p w:rsidR="00915A89" w:rsidRPr="006E1332" w:rsidRDefault="00915A89" w:rsidP="008C65EE">
            <w:pPr>
              <w:pStyle w:val="Lgendestandard"/>
              <w:rPr>
                <w:szCs w:val="24"/>
              </w:rPr>
            </w:pPr>
            <w:r w:rsidRPr="006E1332">
              <w:t>Prva in druga vrstica glave vsakega predloga spremembe navajata zadevni del besedila v obravnavanem osnutku akta. Če predlog spremembe zadeva obstoječi akt, ki se ga želi spremeniti z osnutkom akta, glava poleg tega vsebuje še tretjo in četrto vrstico, ki navajata obstoječi akt oziroma zadevno določbo tega akta.</w:t>
            </w:r>
          </w:p>
          <w:p w:rsidR="00915A89" w:rsidRPr="006E1332" w:rsidRDefault="00915A89" w:rsidP="008C65EE">
            <w:pPr>
              <w:pStyle w:val="Lgendestandard"/>
              <w:rPr>
                <w:szCs w:val="24"/>
              </w:rPr>
            </w:pPr>
          </w:p>
          <w:p w:rsidR="00915A89" w:rsidRPr="006E1332" w:rsidRDefault="00915A89" w:rsidP="008C65EE">
            <w:pPr>
              <w:pStyle w:val="Lgendestandard"/>
              <w:rPr>
                <w:szCs w:val="24"/>
              </w:rPr>
            </w:pPr>
            <w:r w:rsidRPr="006E1332">
              <w:rPr>
                <w:b/>
                <w:szCs w:val="24"/>
              </w:rPr>
              <w:t>Spremembe, ki jih predlaga Parlament, v obliki konsolidiranega besedila</w:t>
            </w:r>
          </w:p>
          <w:p w:rsidR="00915A89" w:rsidRPr="006E1332" w:rsidRDefault="00915A89" w:rsidP="008C65EE">
            <w:pPr>
              <w:pStyle w:val="Lgendestandard"/>
              <w:rPr>
                <w:szCs w:val="24"/>
              </w:rPr>
            </w:pPr>
          </w:p>
          <w:p w:rsidR="00915A89" w:rsidRPr="006E1332" w:rsidRDefault="00915A89" w:rsidP="008C65EE">
            <w:pPr>
              <w:pStyle w:val="Lgendestandard"/>
              <w:rPr>
                <w:szCs w:val="24"/>
              </w:rPr>
            </w:pPr>
            <w:r w:rsidRPr="006E1332">
              <w:t xml:space="preserve">Novo besedilo je označeno s </w:t>
            </w:r>
            <w:r w:rsidRPr="006E1332">
              <w:rPr>
                <w:b/>
                <w:i/>
                <w:szCs w:val="24"/>
              </w:rPr>
              <w:t>krepkim poševnim tiskom</w:t>
            </w:r>
            <w:r w:rsidRPr="006E1332">
              <w:rPr>
                <w:i/>
                <w:szCs w:val="24"/>
              </w:rPr>
              <w:t>.</w:t>
            </w:r>
            <w:r w:rsidRPr="006E1332">
              <w:t xml:space="preserve"> Izbrisano besedilo je označeno s simbolom ▌ali prečrtano (npr. „</w:t>
            </w:r>
            <w:r w:rsidRPr="006E1332">
              <w:rPr>
                <w:strike/>
                <w:szCs w:val="24"/>
              </w:rPr>
              <w:t>ABCD</w:t>
            </w:r>
            <w:r w:rsidRPr="006E1332">
              <w:t xml:space="preserve">“). Zamenjano besedilo je izbrisano ali prečrtano, besedilo, ki ga nadomešča, pa je označeno s </w:t>
            </w:r>
            <w:r w:rsidRPr="006E1332">
              <w:rPr>
                <w:b/>
                <w:i/>
                <w:szCs w:val="24"/>
              </w:rPr>
              <w:t>krepkim poševnim tiskom</w:t>
            </w:r>
            <w:r w:rsidRPr="006E1332">
              <w:t>.</w:t>
            </w:r>
          </w:p>
          <w:p w:rsidR="00915A89" w:rsidRPr="006E1332" w:rsidRDefault="00915A89" w:rsidP="008C65EE">
            <w:pPr>
              <w:pStyle w:val="Lgendestandard"/>
              <w:rPr>
                <w:szCs w:val="24"/>
              </w:rPr>
            </w:pPr>
            <w:r w:rsidRPr="006E1332">
              <w:t>Izjema so spremembe izključno tehnične narave, ki so jih vnesle službe z namenom priprave končnega besedila in niso označene.</w:t>
            </w:r>
          </w:p>
          <w:p w:rsidR="00915A89" w:rsidRPr="006E1332" w:rsidRDefault="00915A89" w:rsidP="008C65EE">
            <w:pPr>
              <w:pStyle w:val="Lgendestandard"/>
              <w:rPr>
                <w:szCs w:val="24"/>
              </w:rPr>
            </w:pPr>
          </w:p>
          <w:p w:rsidR="00915A89" w:rsidRPr="006E1332" w:rsidRDefault="00915A89" w:rsidP="008C65EE">
            <w:pPr>
              <w:pStyle w:val="Lgendestandard"/>
              <w:rPr>
                <w:szCs w:val="24"/>
              </w:rPr>
            </w:pPr>
          </w:p>
        </w:tc>
      </w:tr>
    </w:tbl>
    <w:p w:rsidR="00915A89" w:rsidRPr="006E1332" w:rsidRDefault="00915A89">
      <w:pPr>
        <w:tabs>
          <w:tab w:val="left" w:pos="-1134"/>
          <w:tab w:val="left" w:pos="-114"/>
          <w:tab w:val="left" w:pos="772"/>
          <w:tab w:val="left" w:pos="1089"/>
          <w:tab w:val="left" w:pos="1700"/>
          <w:tab w:val="left" w:pos="2266"/>
          <w:tab w:val="left" w:pos="3140"/>
          <w:tab w:val="left" w:pos="3399"/>
          <w:tab w:val="left" w:pos="3966"/>
          <w:tab w:val="left" w:pos="4532"/>
          <w:tab w:val="left" w:pos="5098"/>
          <w:tab w:val="left" w:pos="5665"/>
          <w:tab w:val="left" w:pos="6231"/>
          <w:tab w:val="left" w:pos="6798"/>
          <w:tab w:val="left" w:pos="7364"/>
          <w:tab w:val="left" w:pos="7930"/>
          <w:tab w:val="left" w:pos="8497"/>
          <w:tab w:val="left" w:pos="9063"/>
        </w:tabs>
      </w:pPr>
    </w:p>
    <w:p w:rsidR="00915A89" w:rsidRPr="006E1332" w:rsidRDefault="00915A89">
      <w:pPr>
        <w:tabs>
          <w:tab w:val="left" w:pos="-1134"/>
          <w:tab w:val="left" w:pos="-114"/>
          <w:tab w:val="left" w:pos="772"/>
          <w:tab w:val="left" w:pos="1089"/>
          <w:tab w:val="left" w:pos="1700"/>
          <w:tab w:val="left" w:pos="2266"/>
          <w:tab w:val="left" w:pos="3140"/>
          <w:tab w:val="left" w:pos="3399"/>
          <w:tab w:val="left" w:pos="3966"/>
          <w:tab w:val="left" w:pos="4532"/>
          <w:tab w:val="left" w:pos="5098"/>
          <w:tab w:val="left" w:pos="5665"/>
          <w:tab w:val="left" w:pos="6231"/>
          <w:tab w:val="left" w:pos="6798"/>
          <w:tab w:val="left" w:pos="7364"/>
          <w:tab w:val="left" w:pos="7930"/>
          <w:tab w:val="left" w:pos="8497"/>
          <w:tab w:val="left" w:pos="9063"/>
        </w:tabs>
      </w:pPr>
    </w:p>
    <w:p w:rsidR="00915A89" w:rsidRPr="006E1332" w:rsidRDefault="00915A89"/>
    <w:p w:rsidR="00793EA9" w:rsidRPr="006E1332" w:rsidRDefault="00793EA9" w:rsidP="007662DB">
      <w:pPr>
        <w:widowControl/>
        <w:tabs>
          <w:tab w:val="center" w:pos="4677"/>
        </w:tabs>
      </w:pPr>
    </w:p>
    <w:p w:rsidR="00793EA9" w:rsidRPr="006E1332" w:rsidRDefault="00793EA9">
      <w:pPr>
        <w:pStyle w:val="TOCHeading"/>
      </w:pPr>
      <w:r w:rsidRPr="006E1332">
        <w:br w:type="page"/>
      </w:r>
      <w:r w:rsidRPr="006E1332">
        <w:lastRenderedPageBreak/>
        <w:t>VSEBINA</w:t>
      </w:r>
    </w:p>
    <w:p w:rsidR="00793EA9" w:rsidRPr="006E1332" w:rsidRDefault="00203DB5">
      <w:pPr>
        <w:pStyle w:val="TOCPage"/>
      </w:pPr>
      <w:r w:rsidRPr="006E1332">
        <w:t>Stran</w:t>
      </w:r>
    </w:p>
    <w:bookmarkStart w:id="0" w:name="_GoBack"/>
    <w:p w:rsidR="006E1332" w:rsidRDefault="007662DB">
      <w:pPr>
        <w:pStyle w:val="TOC1"/>
        <w:tabs>
          <w:tab w:val="right" w:leader="dot" w:pos="9060"/>
        </w:tabs>
        <w:rPr>
          <w:rFonts w:asciiTheme="minorHAnsi" w:eastAsiaTheme="minorEastAsia" w:hAnsiTheme="minorHAnsi" w:cstheme="minorBidi"/>
          <w:noProof/>
          <w:sz w:val="22"/>
          <w:szCs w:val="22"/>
          <w:lang w:eastAsia="sl-SI"/>
        </w:rPr>
      </w:pPr>
      <w:r w:rsidRPr="006E1332">
        <w:rPr>
          <w:b/>
        </w:rPr>
        <w:fldChar w:fldCharType="begin"/>
      </w:r>
      <w:r w:rsidRPr="006E1332">
        <w:rPr>
          <w:b/>
        </w:rPr>
        <w:instrText xml:space="preserve"> TOC \t "PageHeading</w:instrText>
      </w:r>
      <w:r w:rsidR="006E1332" w:rsidRPr="006E1332">
        <w:rPr>
          <w:b/>
        </w:rPr>
        <w:instrText>;</w:instrText>
      </w:r>
      <w:r w:rsidRPr="006E1332">
        <w:rPr>
          <w:b/>
        </w:rPr>
        <w:instrText xml:space="preserve">1" </w:instrText>
      </w:r>
      <w:r w:rsidRPr="006E1332">
        <w:rPr>
          <w:b/>
        </w:rPr>
        <w:fldChar w:fldCharType="separate"/>
      </w:r>
      <w:r w:rsidR="006E1332">
        <w:rPr>
          <w:noProof/>
        </w:rPr>
        <w:t>OSNUTEK ZAKONODAJNE RESOLUCIJE EVROPSKEGA PARLAMENTA</w:t>
      </w:r>
      <w:r w:rsidR="006E1332">
        <w:rPr>
          <w:noProof/>
        </w:rPr>
        <w:tab/>
      </w:r>
      <w:r w:rsidR="006E1332">
        <w:rPr>
          <w:noProof/>
        </w:rPr>
        <w:fldChar w:fldCharType="begin"/>
      </w:r>
      <w:r w:rsidR="006E1332">
        <w:rPr>
          <w:noProof/>
        </w:rPr>
        <w:instrText xml:space="preserve"> PAGEREF _Toc534983551 \h </w:instrText>
      </w:r>
      <w:r w:rsidR="006E1332">
        <w:rPr>
          <w:noProof/>
        </w:rPr>
      </w:r>
      <w:r w:rsidR="006E1332">
        <w:rPr>
          <w:noProof/>
        </w:rPr>
        <w:fldChar w:fldCharType="separate"/>
      </w:r>
      <w:r w:rsidR="006E1332">
        <w:rPr>
          <w:noProof/>
        </w:rPr>
        <w:t>5</w:t>
      </w:r>
      <w:r w:rsidR="006E1332">
        <w:rPr>
          <w:noProof/>
        </w:rPr>
        <w:fldChar w:fldCharType="end"/>
      </w:r>
    </w:p>
    <w:p w:rsidR="006E1332" w:rsidRDefault="006E1332">
      <w:pPr>
        <w:pStyle w:val="TOC1"/>
        <w:tabs>
          <w:tab w:val="right" w:leader="dot" w:pos="9060"/>
        </w:tabs>
        <w:rPr>
          <w:rFonts w:asciiTheme="minorHAnsi" w:eastAsiaTheme="minorEastAsia" w:hAnsiTheme="minorHAnsi" w:cstheme="minorBidi"/>
          <w:noProof/>
          <w:sz w:val="22"/>
          <w:szCs w:val="22"/>
          <w:lang w:eastAsia="sl-SI"/>
        </w:rPr>
      </w:pPr>
      <w:r>
        <w:rPr>
          <w:noProof/>
        </w:rPr>
        <w:t>OBRAZLOŽITEV</w:t>
      </w:r>
      <w:r>
        <w:rPr>
          <w:noProof/>
        </w:rPr>
        <w:tab/>
      </w:r>
      <w:r>
        <w:rPr>
          <w:noProof/>
        </w:rPr>
        <w:fldChar w:fldCharType="begin"/>
      </w:r>
      <w:r>
        <w:rPr>
          <w:noProof/>
        </w:rPr>
        <w:instrText xml:space="preserve"> PAGEREF _Toc534983552 \h </w:instrText>
      </w:r>
      <w:r>
        <w:rPr>
          <w:noProof/>
        </w:rPr>
      </w:r>
      <w:r>
        <w:rPr>
          <w:noProof/>
        </w:rPr>
        <w:fldChar w:fldCharType="separate"/>
      </w:r>
      <w:r>
        <w:rPr>
          <w:noProof/>
        </w:rPr>
        <w:t>9</w:t>
      </w:r>
      <w:r>
        <w:rPr>
          <w:noProof/>
        </w:rPr>
        <w:fldChar w:fldCharType="end"/>
      </w:r>
    </w:p>
    <w:p w:rsidR="006E1332" w:rsidRDefault="006E1332">
      <w:pPr>
        <w:pStyle w:val="TOC1"/>
        <w:tabs>
          <w:tab w:val="right" w:leader="dot" w:pos="9060"/>
        </w:tabs>
        <w:rPr>
          <w:rFonts w:asciiTheme="minorHAnsi" w:eastAsiaTheme="minorEastAsia" w:hAnsiTheme="minorHAnsi" w:cstheme="minorBidi"/>
          <w:noProof/>
          <w:sz w:val="22"/>
          <w:szCs w:val="22"/>
          <w:lang w:eastAsia="sl-SI"/>
        </w:rPr>
      </w:pPr>
      <w:r>
        <w:rPr>
          <w:noProof/>
        </w:rPr>
        <w:t xml:space="preserve">MNENJE </w:t>
      </w:r>
      <w:r w:rsidRPr="00AE2C08">
        <w:rPr>
          <w:caps/>
          <w:noProof/>
        </w:rPr>
        <w:t>Odbora za ustavne zadeve</w:t>
      </w:r>
      <w:r>
        <w:rPr>
          <w:noProof/>
        </w:rPr>
        <w:tab/>
      </w:r>
      <w:r>
        <w:rPr>
          <w:noProof/>
        </w:rPr>
        <w:fldChar w:fldCharType="begin"/>
      </w:r>
      <w:r>
        <w:rPr>
          <w:noProof/>
        </w:rPr>
        <w:instrText xml:space="preserve"> PAGEREF _Toc534983553 \h </w:instrText>
      </w:r>
      <w:r>
        <w:rPr>
          <w:noProof/>
        </w:rPr>
      </w:r>
      <w:r>
        <w:rPr>
          <w:noProof/>
        </w:rPr>
        <w:fldChar w:fldCharType="separate"/>
      </w:r>
      <w:r>
        <w:rPr>
          <w:noProof/>
        </w:rPr>
        <w:t>10</w:t>
      </w:r>
      <w:r>
        <w:rPr>
          <w:noProof/>
        </w:rPr>
        <w:fldChar w:fldCharType="end"/>
      </w:r>
    </w:p>
    <w:p w:rsidR="006E1332" w:rsidRDefault="006E1332">
      <w:pPr>
        <w:pStyle w:val="TOC1"/>
        <w:tabs>
          <w:tab w:val="right" w:leader="dot" w:pos="9060"/>
        </w:tabs>
        <w:rPr>
          <w:rFonts w:asciiTheme="minorHAnsi" w:eastAsiaTheme="minorEastAsia" w:hAnsiTheme="minorHAnsi" w:cstheme="minorBidi"/>
          <w:noProof/>
          <w:sz w:val="22"/>
          <w:szCs w:val="22"/>
          <w:lang w:eastAsia="sl-SI"/>
        </w:rPr>
      </w:pPr>
      <w:r>
        <w:rPr>
          <w:noProof/>
        </w:rPr>
        <w:t>POSTOPEK V PRISTOJNEM ODBORU</w:t>
      </w:r>
      <w:r>
        <w:rPr>
          <w:noProof/>
        </w:rPr>
        <w:tab/>
      </w:r>
      <w:r>
        <w:rPr>
          <w:noProof/>
        </w:rPr>
        <w:fldChar w:fldCharType="begin"/>
      </w:r>
      <w:r>
        <w:rPr>
          <w:noProof/>
        </w:rPr>
        <w:instrText xml:space="preserve"> PAGEREF _Toc534983554 \h </w:instrText>
      </w:r>
      <w:r>
        <w:rPr>
          <w:noProof/>
        </w:rPr>
      </w:r>
      <w:r>
        <w:rPr>
          <w:noProof/>
        </w:rPr>
        <w:fldChar w:fldCharType="separate"/>
      </w:r>
      <w:r>
        <w:rPr>
          <w:noProof/>
        </w:rPr>
        <w:t>15</w:t>
      </w:r>
      <w:r>
        <w:rPr>
          <w:noProof/>
        </w:rPr>
        <w:fldChar w:fldCharType="end"/>
      </w:r>
    </w:p>
    <w:p w:rsidR="006E1332" w:rsidRDefault="006E1332">
      <w:pPr>
        <w:pStyle w:val="TOC1"/>
        <w:tabs>
          <w:tab w:val="right" w:leader="dot" w:pos="9060"/>
        </w:tabs>
        <w:rPr>
          <w:rFonts w:asciiTheme="minorHAnsi" w:eastAsiaTheme="minorEastAsia" w:hAnsiTheme="minorHAnsi" w:cstheme="minorBidi"/>
          <w:noProof/>
          <w:sz w:val="22"/>
          <w:szCs w:val="22"/>
          <w:lang w:eastAsia="sl-SI"/>
        </w:rPr>
      </w:pPr>
      <w:r>
        <w:rPr>
          <w:noProof/>
        </w:rPr>
        <w:t>POIMENSKO GLASOVANJE PRI KONČNEM GLASOVANJU V PRISTOJNEM ODBORU</w:t>
      </w:r>
      <w:r>
        <w:rPr>
          <w:noProof/>
        </w:rPr>
        <w:tab/>
      </w:r>
      <w:r>
        <w:rPr>
          <w:noProof/>
        </w:rPr>
        <w:fldChar w:fldCharType="begin"/>
      </w:r>
      <w:r>
        <w:rPr>
          <w:noProof/>
        </w:rPr>
        <w:instrText xml:space="preserve"> PAGEREF _Toc534983555 \h </w:instrText>
      </w:r>
      <w:r>
        <w:rPr>
          <w:noProof/>
        </w:rPr>
      </w:r>
      <w:r>
        <w:rPr>
          <w:noProof/>
        </w:rPr>
        <w:fldChar w:fldCharType="separate"/>
      </w:r>
      <w:r>
        <w:rPr>
          <w:noProof/>
        </w:rPr>
        <w:t>16</w:t>
      </w:r>
      <w:r>
        <w:rPr>
          <w:noProof/>
        </w:rPr>
        <w:fldChar w:fldCharType="end"/>
      </w:r>
    </w:p>
    <w:p w:rsidR="00793EA9" w:rsidRPr="006E1332" w:rsidRDefault="007662DB" w:rsidP="002346B0">
      <w:r w:rsidRPr="006E1332">
        <w:rPr>
          <w:b/>
        </w:rPr>
        <w:fldChar w:fldCharType="end"/>
      </w:r>
      <w:bookmarkEnd w:id="0"/>
    </w:p>
    <w:p w:rsidR="002346B0" w:rsidRPr="006E1332" w:rsidRDefault="002346B0" w:rsidP="002346B0"/>
    <w:p w:rsidR="002346B0" w:rsidRPr="006E1332" w:rsidRDefault="002346B0">
      <w:pPr>
        <w:pStyle w:val="PageHeading"/>
      </w:pPr>
    </w:p>
    <w:p w:rsidR="00793EA9" w:rsidRPr="006E1332" w:rsidRDefault="00793EA9">
      <w:pPr>
        <w:pStyle w:val="PageHeading"/>
      </w:pPr>
      <w:r w:rsidRPr="006E1332">
        <w:br w:type="page"/>
      </w:r>
      <w:r w:rsidRPr="006E1332">
        <w:lastRenderedPageBreak/>
        <w:br w:type="page"/>
      </w:r>
      <w:bookmarkStart w:id="1" w:name="_Toc534983551"/>
      <w:r w:rsidRPr="006E1332">
        <w:lastRenderedPageBreak/>
        <w:t>OSNUTEK ZAKONODAJNE RESOLUCIJE EVROPSKEGA PARLAMENTA</w:t>
      </w:r>
      <w:bookmarkEnd w:id="1"/>
    </w:p>
    <w:p w:rsidR="00793EA9" w:rsidRPr="006E1332" w:rsidRDefault="00203DB5">
      <w:pPr>
        <w:pStyle w:val="NormalBold"/>
      </w:pPr>
      <w:r w:rsidRPr="006E1332">
        <w:t>o osnutku uredbe Evropskega parlamenta in Sveta o spremembi Protokola št. 3 o Statutu Sodišča Evropske unije</w:t>
      </w:r>
    </w:p>
    <w:p w:rsidR="00793EA9" w:rsidRPr="006E1332" w:rsidRDefault="00203DB5">
      <w:pPr>
        <w:pStyle w:val="Normal12Bold"/>
      </w:pPr>
      <w:r w:rsidRPr="006E1332">
        <w:t>(02360/2018 – C8-0132/2018 – 2018/0900(COD))</w:t>
      </w:r>
    </w:p>
    <w:p w:rsidR="00793EA9" w:rsidRPr="006E1332" w:rsidRDefault="00203DB5">
      <w:pPr>
        <w:pStyle w:val="Normal12Bold"/>
      </w:pPr>
      <w:r w:rsidRPr="006E1332">
        <w:t>(Redni zakonodajni postopek: prva obravnava)</w:t>
      </w:r>
    </w:p>
    <w:p w:rsidR="00793EA9" w:rsidRPr="006E1332" w:rsidRDefault="00203DB5">
      <w:pPr>
        <w:pStyle w:val="Normal12"/>
      </w:pPr>
      <w:r w:rsidRPr="006E1332">
        <w:rPr>
          <w:i/>
        </w:rPr>
        <w:t>Evropski parlament</w:t>
      </w:r>
      <w:r w:rsidRPr="006E1332">
        <w:t>,</w:t>
      </w:r>
    </w:p>
    <w:p w:rsidR="00915A89" w:rsidRPr="006E1332" w:rsidRDefault="00915A89" w:rsidP="00915A89">
      <w:pPr>
        <w:pStyle w:val="Normal12Hanging"/>
      </w:pPr>
      <w:r w:rsidRPr="006E1332">
        <w:t>–</w:t>
      </w:r>
      <w:r w:rsidRPr="006E1332">
        <w:tab/>
        <w:t>ob upoštevanju zahteve Sodišča, predložene Parlamentu in Svetu, v spremenjeni različici (02360/2018),</w:t>
      </w:r>
    </w:p>
    <w:p w:rsidR="00915A89" w:rsidRPr="006E1332" w:rsidRDefault="00915A89" w:rsidP="00915A89">
      <w:pPr>
        <w:pStyle w:val="Normal12Hanging"/>
      </w:pPr>
      <w:r w:rsidRPr="006E1332">
        <w:t>–</w:t>
      </w:r>
      <w:r w:rsidRPr="006E1332">
        <w:tab/>
        <w:t>ob upoštevanju člena 256(1) in drugega odstavka člena 281 Pogodbe o delovanju Evropske unije ter člena 106a(1) Pogodbe o ustanovitvi Evropske skupnosti za atomsko energijo, v skladu s katerimi je bil Parlamentu predložen osnutek akta (C8-0132/2018),</w:t>
      </w:r>
    </w:p>
    <w:p w:rsidR="00A05384" w:rsidRPr="006E1332" w:rsidRDefault="00A05384" w:rsidP="00A05384">
      <w:pPr>
        <w:pStyle w:val="Normal12Hanging"/>
      </w:pPr>
      <w:r w:rsidRPr="006E1332">
        <w:t>–</w:t>
      </w:r>
      <w:r w:rsidRPr="006E1332">
        <w:tab/>
        <w:t>ob upoštevanju člena 294(3) in (15) Pogodbe o delovanju Evropske unije,</w:t>
      </w:r>
    </w:p>
    <w:p w:rsidR="00915A89" w:rsidRPr="006E1332" w:rsidRDefault="00915A89" w:rsidP="00915A89">
      <w:pPr>
        <w:pStyle w:val="Normal12Hanging"/>
      </w:pPr>
      <w:r w:rsidRPr="006E1332">
        <w:t>–</w:t>
      </w:r>
      <w:r w:rsidRPr="006E1332">
        <w:tab/>
        <w:t>ob upoštevanju mnenja Evropske komisije (COM(2018)0534),</w:t>
      </w:r>
    </w:p>
    <w:p w:rsidR="00915A89" w:rsidRPr="006E1332" w:rsidRDefault="00915A89" w:rsidP="00915A89">
      <w:pPr>
        <w:pStyle w:val="Normal12Hanging"/>
      </w:pPr>
      <w:r w:rsidRPr="006E1332">
        <w:t>–</w:t>
      </w:r>
      <w:r w:rsidRPr="006E1332">
        <w:tab/>
        <w:t>ob upoštevanju členov 48 in 59 Poslovnika,</w:t>
      </w:r>
    </w:p>
    <w:p w:rsidR="00793EA9" w:rsidRPr="006E1332" w:rsidRDefault="00793EA9">
      <w:pPr>
        <w:pStyle w:val="Normal12Hanging"/>
      </w:pPr>
      <w:r w:rsidRPr="006E1332">
        <w:t>–</w:t>
      </w:r>
      <w:r w:rsidRPr="006E1332">
        <w:tab/>
        <w:t>ob upoštevanju poročila Odbora za pravne zadeve in mnenja Odbora za ustavne zadeve (A8-0439/2018),</w:t>
      </w:r>
    </w:p>
    <w:p w:rsidR="009F6C2F" w:rsidRPr="006E1332" w:rsidRDefault="009F6C2F" w:rsidP="009F6C2F">
      <w:pPr>
        <w:pStyle w:val="Normal12Hanging"/>
      </w:pPr>
      <w:r w:rsidRPr="006E1332">
        <w:t>1.</w:t>
      </w:r>
      <w:r w:rsidRPr="006E1332">
        <w:tab/>
        <w:t>sprejme stališče v prvi obravnavi, kakor je določeno v nadaljevanju;</w:t>
      </w:r>
    </w:p>
    <w:p w:rsidR="009F6C2F" w:rsidRPr="006E1332" w:rsidRDefault="00915A89" w:rsidP="009F6C2F">
      <w:pPr>
        <w:pStyle w:val="Normal12Hanging"/>
      </w:pPr>
      <w:r w:rsidRPr="006E1332">
        <w:t>2.</w:t>
      </w:r>
      <w:r w:rsidRPr="006E1332">
        <w:tab/>
        <w:t>naroči svojemu predsedniku, naj stališče Parlamenta posreduje Svetu, Komisiji, , Sodišču, in nacionalnim parlamentom.</w:t>
      </w:r>
    </w:p>
    <w:p w:rsidR="0009203D" w:rsidRPr="006E1332" w:rsidRDefault="0009203D" w:rsidP="0009203D">
      <w:r w:rsidRPr="006E1332">
        <w:rPr>
          <w:rStyle w:val="HideTWBExt"/>
        </w:rPr>
        <w:t>&lt;RepeatBlock-Amend&gt;</w:t>
      </w:r>
      <w:bookmarkStart w:id="2" w:name="restart"/>
    </w:p>
    <w:p w:rsidR="0009203D" w:rsidRPr="006E1332" w:rsidRDefault="0009203D" w:rsidP="0009203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6E1332">
        <w:rPr>
          <w:rStyle w:val="HideTWBExt"/>
        </w:rPr>
        <w:t>&lt;Amend&gt;</w:t>
      </w:r>
      <w:r w:rsidRPr="006E1332">
        <w:rPr>
          <w:b/>
        </w:rPr>
        <w:t>Predlog spremembe</w:t>
      </w:r>
      <w:r w:rsidRPr="006E1332">
        <w:rPr>
          <w:b/>
        </w:rPr>
        <w:tab/>
      </w:r>
      <w:r w:rsidRPr="006E1332">
        <w:rPr>
          <w:b/>
        </w:rPr>
        <w:tab/>
      </w:r>
      <w:r w:rsidRPr="006E1332">
        <w:rPr>
          <w:rStyle w:val="HideTWBExt"/>
        </w:rPr>
        <w:t>&lt;NumAm&gt;</w:t>
      </w:r>
      <w:r w:rsidRPr="006E1332">
        <w:rPr>
          <w:b/>
        </w:rPr>
        <w:t>1</w:t>
      </w:r>
      <w:r w:rsidRPr="006E1332">
        <w:rPr>
          <w:rStyle w:val="HideTWBExt"/>
        </w:rPr>
        <w:t>&lt;/NumAm&gt;</w:t>
      </w:r>
    </w:p>
    <w:p w:rsidR="0009203D" w:rsidRPr="006E1332" w:rsidRDefault="0009203D" w:rsidP="0009203D">
      <w:pPr>
        <w:spacing w:before="240"/>
        <w:rPr>
          <w:b/>
        </w:rPr>
      </w:pPr>
      <w:r w:rsidRPr="006E1332">
        <w:rPr>
          <w:rStyle w:val="HideTWBExt"/>
        </w:rPr>
        <w:t>&lt;DocAmend&gt;</w:t>
      </w:r>
      <w:r w:rsidRPr="006E1332">
        <w:rPr>
          <w:b/>
        </w:rPr>
        <w:t>Osnutek uredbe</w:t>
      </w:r>
      <w:r w:rsidRPr="006E1332">
        <w:rPr>
          <w:rStyle w:val="HideTWBExt"/>
        </w:rPr>
        <w:t>&lt;/DocAmend&gt;</w:t>
      </w:r>
    </w:p>
    <w:p w:rsidR="0009203D" w:rsidRPr="006E1332" w:rsidRDefault="0009203D" w:rsidP="0009203D">
      <w:pPr>
        <w:keepNext/>
        <w:rPr>
          <w:b/>
        </w:rPr>
      </w:pPr>
      <w:r w:rsidRPr="006E1332">
        <w:rPr>
          <w:rStyle w:val="HideTWBExt"/>
        </w:rPr>
        <w:t>&lt;Article&gt;</w:t>
      </w:r>
      <w:r w:rsidRPr="006E1332">
        <w:rPr>
          <w:b/>
        </w:rPr>
        <w:t>Uvodna izjava 4</w:t>
      </w:r>
      <w:r w:rsidRPr="006E1332">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E1332" w:rsidRPr="006E1332" w:rsidTr="0082079E">
        <w:trPr>
          <w:jc w:val="center"/>
        </w:trPr>
        <w:tc>
          <w:tcPr>
            <w:tcW w:w="9752" w:type="dxa"/>
            <w:gridSpan w:val="2"/>
          </w:tcPr>
          <w:p w:rsidR="0009203D" w:rsidRPr="006E1332" w:rsidRDefault="0009203D" w:rsidP="0009203D">
            <w:pPr>
              <w:keepNext/>
            </w:pPr>
          </w:p>
        </w:tc>
      </w:tr>
      <w:tr w:rsidR="006E1332" w:rsidRPr="006E1332" w:rsidTr="0082079E">
        <w:trPr>
          <w:jc w:val="center"/>
        </w:trPr>
        <w:tc>
          <w:tcPr>
            <w:tcW w:w="4876" w:type="dxa"/>
            <w:hideMark/>
          </w:tcPr>
          <w:p w:rsidR="0009203D" w:rsidRPr="006E1332" w:rsidRDefault="0009203D" w:rsidP="0009203D">
            <w:pPr>
              <w:keepNext/>
              <w:spacing w:after="240"/>
              <w:jc w:val="center"/>
              <w:rPr>
                <w:i/>
              </w:rPr>
            </w:pPr>
            <w:r w:rsidRPr="006E1332">
              <w:rPr>
                <w:i/>
              </w:rPr>
              <w:t>Osnutek Sodišča</w:t>
            </w:r>
          </w:p>
        </w:tc>
        <w:tc>
          <w:tcPr>
            <w:tcW w:w="4876" w:type="dxa"/>
            <w:hideMark/>
          </w:tcPr>
          <w:p w:rsidR="0009203D" w:rsidRPr="006E1332" w:rsidRDefault="0009203D" w:rsidP="0009203D">
            <w:pPr>
              <w:keepNext/>
              <w:spacing w:after="240"/>
              <w:jc w:val="center"/>
              <w:rPr>
                <w:i/>
              </w:rPr>
            </w:pPr>
            <w:r w:rsidRPr="006E1332">
              <w:rPr>
                <w:i/>
              </w:rPr>
              <w:t>Predlog spremembe</w:t>
            </w:r>
          </w:p>
        </w:tc>
      </w:tr>
      <w:tr w:rsidR="006E1332" w:rsidRPr="006E1332" w:rsidTr="0082079E">
        <w:trPr>
          <w:jc w:val="center"/>
        </w:trPr>
        <w:tc>
          <w:tcPr>
            <w:tcW w:w="4876" w:type="dxa"/>
            <w:hideMark/>
          </w:tcPr>
          <w:p w:rsidR="0009203D" w:rsidRPr="006E1332" w:rsidRDefault="0009203D" w:rsidP="0009203D">
            <w:pPr>
              <w:spacing w:after="120"/>
            </w:pPr>
            <w:r w:rsidRPr="006E1332">
              <w:t>(4)</w:t>
            </w:r>
            <w:r w:rsidRPr="006E1332">
              <w:tab/>
              <w:t xml:space="preserve">Poleg tega je iz analize, ki sta jo izvedla Sodišče in Splošno sodišče, razvidno, da so številne pritožbe vložene v zadevah, v katerih je že bila opravljena dvojna preučitev, najprej od neodvisnega upravnega organa in nato od Splošnega sodišča, </w:t>
            </w:r>
            <w:r w:rsidRPr="006E1332">
              <w:rPr>
                <w:b/>
                <w:i/>
              </w:rPr>
              <w:t>in da je Sodišče veliko od njih</w:t>
            </w:r>
            <w:r w:rsidRPr="006E1332">
              <w:t xml:space="preserve"> zavrnilo zaradi njihove očitne neutemeljenosti ali zavrglo zaradi očitne nedopustnosti. Da bi se Sodišču </w:t>
            </w:r>
            <w:r w:rsidRPr="006E1332">
              <w:lastRenderedPageBreak/>
              <w:t>omogočilo, da se osredotoči na zadeve, ki zahtevajo vso njegovo pozornost, je potrebno, da se v interesu učinkovitega izvajanja sodne oblasti za pritožbe v zvezi s temi zadevami uvede mehanizem predhodne dopustitve. Tako bo morala stranka, ki izpodbija odločitev Splošnega sodišča v teh zadevah, Sodišče predhodno prepričati o pomembnosti vprašanj, ki jih navaja v pritožbi, za enotnost, doslednost ali razvoj prava Unije.</w:t>
            </w:r>
          </w:p>
        </w:tc>
        <w:tc>
          <w:tcPr>
            <w:tcW w:w="4876" w:type="dxa"/>
            <w:hideMark/>
          </w:tcPr>
          <w:p w:rsidR="0009203D" w:rsidRPr="006E1332" w:rsidRDefault="0009203D" w:rsidP="0009203D">
            <w:pPr>
              <w:spacing w:after="120"/>
              <w:rPr>
                <w:szCs w:val="24"/>
              </w:rPr>
            </w:pPr>
            <w:r w:rsidRPr="006E1332">
              <w:lastRenderedPageBreak/>
              <w:t>(4)</w:t>
            </w:r>
            <w:r w:rsidRPr="006E1332">
              <w:tab/>
              <w:t>Poleg tega je iz analize, ki sta jo izvedla Sodišče in Splošno sodišče, razvidno, da so številne pritožbe vložene v zadevah, v katerih je že bila opravljena dvojna preučitev, najprej od neodvisnega upravnega organa</w:t>
            </w:r>
            <w:r w:rsidRPr="006E1332">
              <w:rPr>
                <w:b/>
                <w:i/>
              </w:rPr>
              <w:t>, kot so Urad Evropske unije za intelektualno lastnino, Urad Skupnosti za rastlinske sorte, Evropska agencija za kemikalije, Evropska agencija za varnost v letalstvu,</w:t>
            </w:r>
            <w:r w:rsidRPr="006E1332">
              <w:t xml:space="preserve"> in nato od Splošnega </w:t>
            </w:r>
            <w:r w:rsidRPr="006E1332">
              <w:lastRenderedPageBreak/>
              <w:t>sodišča</w:t>
            </w:r>
            <w:r w:rsidRPr="006E1332">
              <w:rPr>
                <w:b/>
                <w:i/>
              </w:rPr>
              <w:t>.</w:t>
            </w:r>
            <w:r w:rsidRPr="006E1332">
              <w:t xml:space="preserve"> </w:t>
            </w:r>
            <w:r w:rsidRPr="006E1332">
              <w:rPr>
                <w:b/>
                <w:i/>
              </w:rPr>
              <w:t>Številne pritožbe v zvezi s primeri</w:t>
            </w:r>
            <w:r w:rsidRPr="006E1332">
              <w:t xml:space="preserve">, </w:t>
            </w:r>
            <w:r w:rsidRPr="006E1332">
              <w:rPr>
                <w:b/>
                <w:i/>
              </w:rPr>
              <w:t>ki so se pred tožbo na Splošnem sodišču obravnavali že pred upravnim organom, je Sodišče</w:t>
            </w:r>
            <w:r w:rsidRPr="006E1332">
              <w:t xml:space="preserve"> zavrnilo zaradi njihove očitne neutemeljenosti ali zavrglo zaradi očitne nedopustnosti. Da bi se Sodišču omogočilo, da se osredotoči na zadeve, ki zahtevajo vso njegovo pozornost, je potrebno, da se v interesu učinkovitega izvajanja sodne oblasti za pritožbe v zvezi s temi zadevami uvede mehanizem predhodne dopustitve. Tako bo morala stranka, ki izpodbija odločitev Splošnega sodišča v teh zadevah, Sodišče predhodno prepričati o pomembnosti vprašanj, ki jih navaja v pritožbi, za enotnost, doslednost ali razvoj prava Unije.</w:t>
            </w:r>
          </w:p>
        </w:tc>
      </w:tr>
    </w:tbl>
    <w:p w:rsidR="0009203D" w:rsidRPr="006E1332" w:rsidRDefault="0009203D" w:rsidP="0009203D">
      <w:r w:rsidRPr="006E1332">
        <w:rPr>
          <w:rStyle w:val="HideTWBExt"/>
        </w:rPr>
        <w:lastRenderedPageBreak/>
        <w:t>&lt;/Amend&gt;</w:t>
      </w:r>
    </w:p>
    <w:p w:rsidR="0009203D" w:rsidRPr="006E1332" w:rsidRDefault="0009203D" w:rsidP="0009203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6E1332">
        <w:rPr>
          <w:rStyle w:val="HideTWBExt"/>
        </w:rPr>
        <w:t>&lt;Amend&gt;</w:t>
      </w:r>
      <w:r w:rsidRPr="006E1332">
        <w:rPr>
          <w:b/>
        </w:rPr>
        <w:t>Predlog spremembe</w:t>
      </w:r>
      <w:r w:rsidRPr="006E1332">
        <w:rPr>
          <w:b/>
        </w:rPr>
        <w:tab/>
      </w:r>
      <w:r w:rsidRPr="006E1332">
        <w:rPr>
          <w:b/>
        </w:rPr>
        <w:tab/>
      </w:r>
      <w:r w:rsidRPr="006E1332">
        <w:rPr>
          <w:rStyle w:val="HideTWBExt"/>
        </w:rPr>
        <w:t>&lt;NumAm&gt;</w:t>
      </w:r>
      <w:r w:rsidRPr="006E1332">
        <w:rPr>
          <w:b/>
        </w:rPr>
        <w:t>2</w:t>
      </w:r>
      <w:r w:rsidRPr="006E1332">
        <w:rPr>
          <w:rStyle w:val="HideTWBExt"/>
        </w:rPr>
        <w:t>&lt;/NumAm&gt;</w:t>
      </w:r>
    </w:p>
    <w:p w:rsidR="0009203D" w:rsidRPr="006E1332" w:rsidRDefault="0009203D" w:rsidP="0009203D">
      <w:pPr>
        <w:keepNext/>
        <w:spacing w:before="240"/>
        <w:rPr>
          <w:b/>
        </w:rPr>
      </w:pPr>
      <w:r w:rsidRPr="006E1332">
        <w:rPr>
          <w:rStyle w:val="HideTWBExt"/>
        </w:rPr>
        <w:t>&lt;DocAmend&gt;</w:t>
      </w:r>
      <w:r w:rsidRPr="006E1332">
        <w:rPr>
          <w:b/>
        </w:rPr>
        <w:t>Osnutek uredbe</w:t>
      </w:r>
      <w:r w:rsidRPr="006E1332">
        <w:rPr>
          <w:rStyle w:val="HideTWBExt"/>
        </w:rPr>
        <w:t>&lt;/DocAmend&gt;</w:t>
      </w:r>
    </w:p>
    <w:p w:rsidR="0009203D" w:rsidRPr="006E1332" w:rsidRDefault="0009203D" w:rsidP="0009203D">
      <w:pPr>
        <w:keepNext/>
        <w:rPr>
          <w:b/>
        </w:rPr>
      </w:pPr>
      <w:r w:rsidRPr="006E1332">
        <w:rPr>
          <w:rStyle w:val="HideTWBExt"/>
        </w:rPr>
        <w:t>&lt;Article&gt;</w:t>
      </w:r>
      <w:r w:rsidRPr="006E1332">
        <w:rPr>
          <w:b/>
        </w:rPr>
        <w:t>Uvodna izjava 5</w:t>
      </w:r>
      <w:r w:rsidRPr="006E1332">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E1332" w:rsidRPr="006E1332" w:rsidTr="0082079E">
        <w:trPr>
          <w:jc w:val="center"/>
        </w:trPr>
        <w:tc>
          <w:tcPr>
            <w:tcW w:w="9752" w:type="dxa"/>
            <w:gridSpan w:val="2"/>
          </w:tcPr>
          <w:p w:rsidR="0009203D" w:rsidRPr="006E1332" w:rsidRDefault="0009203D" w:rsidP="0009203D">
            <w:pPr>
              <w:keepNext/>
              <w:rPr>
                <w:lang w:val="en-GB"/>
              </w:rPr>
            </w:pPr>
          </w:p>
        </w:tc>
      </w:tr>
      <w:tr w:rsidR="006E1332" w:rsidRPr="006E1332" w:rsidTr="0082079E">
        <w:trPr>
          <w:jc w:val="center"/>
        </w:trPr>
        <w:tc>
          <w:tcPr>
            <w:tcW w:w="4876" w:type="dxa"/>
          </w:tcPr>
          <w:p w:rsidR="0009203D" w:rsidRPr="006E1332" w:rsidRDefault="0009203D" w:rsidP="0009203D">
            <w:pPr>
              <w:keepNext/>
              <w:spacing w:after="240"/>
              <w:jc w:val="center"/>
              <w:rPr>
                <w:i/>
              </w:rPr>
            </w:pPr>
            <w:r w:rsidRPr="006E1332">
              <w:rPr>
                <w:i/>
              </w:rPr>
              <w:t>Osnutek Sodišča</w:t>
            </w:r>
          </w:p>
        </w:tc>
        <w:tc>
          <w:tcPr>
            <w:tcW w:w="4876" w:type="dxa"/>
          </w:tcPr>
          <w:p w:rsidR="0009203D" w:rsidRPr="006E1332" w:rsidRDefault="0009203D" w:rsidP="0009203D">
            <w:pPr>
              <w:keepNext/>
              <w:spacing w:after="240"/>
              <w:jc w:val="center"/>
              <w:rPr>
                <w:i/>
              </w:rPr>
            </w:pPr>
            <w:r w:rsidRPr="006E1332">
              <w:rPr>
                <w:i/>
              </w:rPr>
              <w:t>Predlog spremembe</w:t>
            </w:r>
          </w:p>
        </w:tc>
      </w:tr>
      <w:tr w:rsidR="006E1332" w:rsidRPr="006E1332" w:rsidTr="0082079E">
        <w:trPr>
          <w:jc w:val="center"/>
        </w:trPr>
        <w:tc>
          <w:tcPr>
            <w:tcW w:w="4876" w:type="dxa"/>
          </w:tcPr>
          <w:p w:rsidR="0009203D" w:rsidRPr="006E1332" w:rsidRDefault="0009203D" w:rsidP="0009203D">
            <w:pPr>
              <w:spacing w:after="120"/>
            </w:pPr>
            <w:r w:rsidRPr="006E1332">
              <w:t>(5)</w:t>
            </w:r>
            <w:r w:rsidRPr="006E1332">
              <w:tab/>
              <w:t>Ob upoštevanju nenehnega naraščanja števila zadev pred Sodiščem in v skladu z besedilom dopisa predsednika Sodišča Evropske unije z dne 13. julija 2018 je treba v tej fazi dati prednost vzpostavitvi navedenega mehanizma predhodne dopustitve pritožb. Preučitev dela predloga Sodišča z dne 26. marca 2018, ki se nanaša na delni prenos tožb zaradi neizpolnitve obveznosti na Splošno sodišče, bi bilo treba opraviti pozneje, in sicer po tem, ko bo decembra 2020 predstavljeno poročilo o delovanju Splošnega sodišča, določeno v členu 3(1) Uredbe 2015/2422 Evropskega parlamenta in Sveta z dne 16. decembra 2015.</w:t>
            </w:r>
          </w:p>
        </w:tc>
        <w:tc>
          <w:tcPr>
            <w:tcW w:w="4876" w:type="dxa"/>
          </w:tcPr>
          <w:p w:rsidR="0009203D" w:rsidRPr="006E1332" w:rsidRDefault="0009203D" w:rsidP="0009203D">
            <w:pPr>
              <w:spacing w:after="120"/>
            </w:pPr>
            <w:r w:rsidRPr="006E1332">
              <w:t>(5)</w:t>
            </w:r>
            <w:r w:rsidRPr="006E1332">
              <w:tab/>
              <w:t xml:space="preserve">Ob upoštevanju nenehnega naraščanja števila zadev pred Sodiščem in v skladu z besedilom dopisa predsednika Sodišča Evropske unije z dne 13. julija 2018 je treba v tej fazi dati prednost vzpostavitvi navedenega mehanizma predhodne dopustitve pritožb. Preučitev dela predloga Sodišča z dne 26. marca 2018, ki se nanaša na delni prenos tožb zaradi neizpolnitve obveznosti na Splošno sodišče, bi bilo treba opraviti pozneje, in sicer po tem, ko bo decembra 2020 predstavljeno poročilo o delovanju Splošnega sodišča, </w:t>
            </w:r>
            <w:r w:rsidRPr="006E1332">
              <w:rPr>
                <w:b/>
                <w:i/>
              </w:rPr>
              <w:t xml:space="preserve">zlasti o uspešnosti Splošnega sodišča, učinkovitosti in potrebi po povečanju števila sodnikov na 56, </w:t>
            </w:r>
            <w:r w:rsidRPr="006E1332">
              <w:t>določeno v členu 3(1) Uredbe 2015/2422 Evropskega parlamenta in Sveta z dne 16. decembra 2015</w:t>
            </w:r>
            <w:r w:rsidRPr="006E1332">
              <w:rPr>
                <w:b/>
                <w:i/>
              </w:rPr>
              <w:t xml:space="preserve">, v katerem bi bilo treba oceniti tudi doseganje uravnotežene zastopanosti spolov na Splošnem sodišču. Da bi dosegli ta cilj, bi bilo treba delne zamenjave na tem sodišču organizirati </w:t>
            </w:r>
            <w:r w:rsidRPr="006E1332">
              <w:rPr>
                <w:b/>
                <w:i/>
              </w:rPr>
              <w:lastRenderedPageBreak/>
              <w:t>tako, da bodo vlade držav članic postopoma začele predlagati po dva sodnika za posamezno delno zamenjavo, da bi tako lahko izbrale po eno žensko in enega moškega, ob tem pa spoštovale pogoje in postopke, določene v Pogodbah.</w:t>
            </w:r>
          </w:p>
        </w:tc>
      </w:tr>
    </w:tbl>
    <w:p w:rsidR="0009203D" w:rsidRPr="006E1332" w:rsidRDefault="0009203D" w:rsidP="0009203D">
      <w:r w:rsidRPr="006E1332">
        <w:rPr>
          <w:rStyle w:val="HideTWBExt"/>
        </w:rPr>
        <w:lastRenderedPageBreak/>
        <w:t>&lt;/Amend&gt;</w:t>
      </w:r>
      <w:bookmarkEnd w:id="2"/>
    </w:p>
    <w:p w:rsidR="0009203D" w:rsidRPr="006E1332" w:rsidRDefault="0009203D" w:rsidP="0009203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6E1332">
        <w:rPr>
          <w:rStyle w:val="HideTWBExt"/>
        </w:rPr>
        <w:t>&lt;Amend&gt;</w:t>
      </w:r>
      <w:r w:rsidRPr="006E1332">
        <w:rPr>
          <w:b/>
        </w:rPr>
        <w:t>Predlog spremembe</w:t>
      </w:r>
      <w:r w:rsidRPr="006E1332">
        <w:rPr>
          <w:b/>
        </w:rPr>
        <w:tab/>
      </w:r>
      <w:r w:rsidRPr="006E1332">
        <w:rPr>
          <w:b/>
        </w:rPr>
        <w:tab/>
      </w:r>
      <w:r w:rsidRPr="006E1332">
        <w:rPr>
          <w:rStyle w:val="HideTWBExt"/>
        </w:rPr>
        <w:t>&lt;NumAm&gt;</w:t>
      </w:r>
      <w:r w:rsidRPr="006E1332">
        <w:rPr>
          <w:b/>
        </w:rPr>
        <w:t>3</w:t>
      </w:r>
      <w:r w:rsidRPr="006E1332">
        <w:rPr>
          <w:rStyle w:val="HideTWBExt"/>
        </w:rPr>
        <w:t>&lt;/NumAm&gt;</w:t>
      </w:r>
    </w:p>
    <w:p w:rsidR="0009203D" w:rsidRPr="006E1332" w:rsidRDefault="0009203D" w:rsidP="0009203D">
      <w:pPr>
        <w:keepNext/>
        <w:spacing w:before="240"/>
        <w:rPr>
          <w:b/>
        </w:rPr>
      </w:pPr>
      <w:r w:rsidRPr="006E1332">
        <w:rPr>
          <w:rStyle w:val="HideTWBExt"/>
        </w:rPr>
        <w:t>&lt;DocAmend&gt;</w:t>
      </w:r>
      <w:r w:rsidR="006E1332" w:rsidRPr="006E1332">
        <w:rPr>
          <w:b/>
        </w:rPr>
        <w:t>Osnutek uredbe</w:t>
      </w:r>
      <w:r w:rsidRPr="006E1332">
        <w:rPr>
          <w:rStyle w:val="HideTWBExt"/>
        </w:rPr>
        <w:t>&lt;/DocAmend&gt;</w:t>
      </w:r>
    </w:p>
    <w:p w:rsidR="0009203D" w:rsidRPr="006E1332" w:rsidRDefault="0009203D" w:rsidP="0009203D">
      <w:pPr>
        <w:rPr>
          <w:b/>
        </w:rPr>
      </w:pPr>
      <w:r w:rsidRPr="006E1332">
        <w:rPr>
          <w:rStyle w:val="HideTWBExt"/>
        </w:rPr>
        <w:t>&lt;Article&gt;</w:t>
      </w:r>
      <w:r w:rsidRPr="006E1332">
        <w:rPr>
          <w:b/>
        </w:rPr>
        <w:t>Člen 1 – odstavek 1 – točka -1 a (novo)</w:t>
      </w:r>
      <w:r w:rsidRPr="006E1332">
        <w:rPr>
          <w:rStyle w:val="HideTWBExt"/>
        </w:rPr>
        <w:t>&lt;/Article&gt;</w:t>
      </w:r>
    </w:p>
    <w:p w:rsidR="0009203D" w:rsidRPr="006E1332" w:rsidRDefault="0009203D" w:rsidP="0009203D">
      <w:pPr>
        <w:keepNext/>
      </w:pPr>
      <w:r w:rsidRPr="006E1332">
        <w:rPr>
          <w:rStyle w:val="HideTWBExt"/>
        </w:rPr>
        <w:t>&lt;DocAmend2&gt;</w:t>
      </w:r>
      <w:r w:rsidRPr="006E1332">
        <w:t>Protokol št. 3 o Statutu Sodišča Evropske unije</w:t>
      </w:r>
      <w:r w:rsidRPr="006E1332">
        <w:rPr>
          <w:rStyle w:val="HideTWBExt"/>
        </w:rPr>
        <w:t>&lt;/DocAmend2&gt;</w:t>
      </w:r>
    </w:p>
    <w:p w:rsidR="0009203D" w:rsidRPr="006E1332" w:rsidRDefault="0009203D" w:rsidP="0009203D">
      <w:r w:rsidRPr="006E1332">
        <w:rPr>
          <w:rStyle w:val="HideTWBExt"/>
        </w:rPr>
        <w:t>&lt;Article2&gt;</w:t>
      </w:r>
      <w:r w:rsidRPr="006E1332">
        <w:t>Člen 8</w:t>
      </w:r>
      <w:r w:rsidRPr="006E133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1332" w:rsidRPr="006E1332" w:rsidTr="0082079E">
        <w:trPr>
          <w:jc w:val="center"/>
        </w:trPr>
        <w:tc>
          <w:tcPr>
            <w:tcW w:w="9752" w:type="dxa"/>
            <w:gridSpan w:val="2"/>
          </w:tcPr>
          <w:p w:rsidR="0009203D" w:rsidRPr="006E1332" w:rsidRDefault="0009203D" w:rsidP="0009203D">
            <w:pPr>
              <w:keepNext/>
              <w:rPr>
                <w:lang w:val="en-GB"/>
              </w:rPr>
            </w:pPr>
          </w:p>
        </w:tc>
      </w:tr>
      <w:tr w:rsidR="006E1332" w:rsidRPr="006E1332" w:rsidTr="0082079E">
        <w:trPr>
          <w:jc w:val="center"/>
        </w:trPr>
        <w:tc>
          <w:tcPr>
            <w:tcW w:w="4876" w:type="dxa"/>
            <w:hideMark/>
          </w:tcPr>
          <w:p w:rsidR="0009203D" w:rsidRPr="006E1332" w:rsidRDefault="0009203D" w:rsidP="0009203D">
            <w:pPr>
              <w:keepNext/>
              <w:spacing w:after="240"/>
              <w:jc w:val="center"/>
              <w:rPr>
                <w:i/>
              </w:rPr>
            </w:pPr>
            <w:r w:rsidRPr="006E1332">
              <w:rPr>
                <w:i/>
              </w:rPr>
              <w:t>Veljavno besedilo</w:t>
            </w:r>
          </w:p>
        </w:tc>
        <w:tc>
          <w:tcPr>
            <w:tcW w:w="4876" w:type="dxa"/>
            <w:hideMark/>
          </w:tcPr>
          <w:p w:rsidR="0009203D" w:rsidRPr="006E1332" w:rsidRDefault="0009203D" w:rsidP="0009203D">
            <w:pPr>
              <w:keepNext/>
              <w:spacing w:after="240"/>
              <w:jc w:val="center"/>
              <w:rPr>
                <w:i/>
              </w:rPr>
            </w:pPr>
            <w:r w:rsidRPr="006E1332">
              <w:rPr>
                <w:i/>
              </w:rPr>
              <w:t>Predlog spremembe</w:t>
            </w:r>
          </w:p>
        </w:tc>
      </w:tr>
      <w:tr w:rsidR="006E1332" w:rsidRPr="006E1332" w:rsidTr="0082079E">
        <w:trPr>
          <w:jc w:val="center"/>
        </w:trPr>
        <w:tc>
          <w:tcPr>
            <w:tcW w:w="4876" w:type="dxa"/>
          </w:tcPr>
          <w:p w:rsidR="0009203D" w:rsidRPr="006E1332" w:rsidRDefault="0009203D" w:rsidP="0009203D">
            <w:pPr>
              <w:spacing w:after="120"/>
              <w:rPr>
                <w:lang w:val="en-GB"/>
              </w:rPr>
            </w:pPr>
          </w:p>
        </w:tc>
        <w:tc>
          <w:tcPr>
            <w:tcW w:w="4876" w:type="dxa"/>
            <w:hideMark/>
          </w:tcPr>
          <w:p w:rsidR="0009203D" w:rsidRPr="006E1332" w:rsidRDefault="0009203D" w:rsidP="0009203D">
            <w:pPr>
              <w:spacing w:after="120"/>
              <w:rPr>
                <w:szCs w:val="24"/>
              </w:rPr>
            </w:pPr>
            <w:r w:rsidRPr="006E1332">
              <w:rPr>
                <w:b/>
                <w:i/>
              </w:rPr>
              <w:t>(-1a)</w:t>
            </w:r>
            <w:r w:rsidRPr="006E1332">
              <w:rPr>
                <w:b/>
                <w:i/>
              </w:rPr>
              <w:tab/>
              <w:t>člen 8 se nadomesti z naslednjim:</w:t>
            </w:r>
          </w:p>
        </w:tc>
      </w:tr>
      <w:tr w:rsidR="006E1332" w:rsidRPr="006E1332" w:rsidTr="0082079E">
        <w:trPr>
          <w:jc w:val="center"/>
        </w:trPr>
        <w:tc>
          <w:tcPr>
            <w:tcW w:w="4876" w:type="dxa"/>
            <w:hideMark/>
          </w:tcPr>
          <w:p w:rsidR="0009203D" w:rsidRPr="006E1332" w:rsidRDefault="0009203D" w:rsidP="0009203D">
            <w:pPr>
              <w:spacing w:after="120"/>
            </w:pPr>
            <w:r w:rsidRPr="006E1332">
              <w:t>Člen 8</w:t>
            </w:r>
          </w:p>
        </w:tc>
        <w:tc>
          <w:tcPr>
            <w:tcW w:w="4876" w:type="dxa"/>
            <w:hideMark/>
          </w:tcPr>
          <w:p w:rsidR="0009203D" w:rsidRPr="006E1332" w:rsidRDefault="0009203D" w:rsidP="0009203D">
            <w:pPr>
              <w:spacing w:after="120"/>
              <w:rPr>
                <w:szCs w:val="24"/>
              </w:rPr>
            </w:pPr>
            <w:r w:rsidRPr="006E1332">
              <w:rPr>
                <w:b/>
                <w:i/>
              </w:rPr>
              <w:t>„</w:t>
            </w:r>
            <w:r w:rsidRPr="006E1332">
              <w:t>Člen 8</w:t>
            </w:r>
          </w:p>
        </w:tc>
      </w:tr>
      <w:tr w:rsidR="006E1332" w:rsidRPr="006E1332" w:rsidTr="0082079E">
        <w:trPr>
          <w:jc w:val="center"/>
        </w:trPr>
        <w:tc>
          <w:tcPr>
            <w:tcW w:w="4876" w:type="dxa"/>
            <w:hideMark/>
          </w:tcPr>
          <w:p w:rsidR="0009203D" w:rsidRPr="006E1332" w:rsidRDefault="0009203D" w:rsidP="0009203D">
            <w:pPr>
              <w:spacing w:after="120"/>
            </w:pPr>
            <w:r w:rsidRPr="006E1332">
              <w:t>Določbe členov 2 do 7 se uporabljajo za generalne pravobranilce.</w:t>
            </w:r>
          </w:p>
        </w:tc>
        <w:tc>
          <w:tcPr>
            <w:tcW w:w="4876" w:type="dxa"/>
            <w:hideMark/>
          </w:tcPr>
          <w:p w:rsidR="0009203D" w:rsidRPr="006E1332" w:rsidRDefault="0009203D" w:rsidP="0009203D">
            <w:pPr>
              <w:spacing w:after="120"/>
              <w:rPr>
                <w:szCs w:val="24"/>
              </w:rPr>
            </w:pPr>
            <w:r w:rsidRPr="006E1332">
              <w:t xml:space="preserve">Določbe členov 2 do 7 se </w:t>
            </w:r>
            <w:r w:rsidRPr="006E1332">
              <w:rPr>
                <w:b/>
                <w:i/>
              </w:rPr>
              <w:t xml:space="preserve">smiselno </w:t>
            </w:r>
            <w:r w:rsidRPr="006E1332">
              <w:t>uporabljajo za generalne pravobranilce.</w:t>
            </w:r>
            <w:r w:rsidRPr="006E1332">
              <w:rPr>
                <w:b/>
                <w:i/>
              </w:rPr>
              <w:t>“</w:t>
            </w:r>
          </w:p>
        </w:tc>
      </w:tr>
    </w:tbl>
    <w:p w:rsidR="0009203D" w:rsidRPr="006E1332" w:rsidRDefault="0009203D" w:rsidP="0009203D">
      <w:pPr>
        <w:rPr>
          <w:szCs w:val="24"/>
        </w:rPr>
      </w:pPr>
      <w:r w:rsidRPr="006E1332">
        <w:rPr>
          <w:rStyle w:val="HideTWBExt"/>
        </w:rPr>
        <w:t>&lt;/Amend&gt;</w:t>
      </w:r>
    </w:p>
    <w:p w:rsidR="0009203D" w:rsidRPr="006E1332" w:rsidRDefault="0009203D" w:rsidP="0009203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6E1332">
        <w:rPr>
          <w:rStyle w:val="HideTWBExt"/>
        </w:rPr>
        <w:t>&lt;Amend&gt;</w:t>
      </w:r>
      <w:r w:rsidRPr="006E1332">
        <w:rPr>
          <w:b/>
        </w:rPr>
        <w:t>Predlog spremembe</w:t>
      </w:r>
      <w:r w:rsidRPr="006E1332">
        <w:rPr>
          <w:b/>
        </w:rPr>
        <w:tab/>
      </w:r>
      <w:r w:rsidRPr="006E1332">
        <w:rPr>
          <w:b/>
        </w:rPr>
        <w:tab/>
      </w:r>
      <w:r w:rsidRPr="006E1332">
        <w:rPr>
          <w:rStyle w:val="HideTWBExt"/>
        </w:rPr>
        <w:t>&lt;NumAm&gt;</w:t>
      </w:r>
      <w:r w:rsidRPr="006E1332">
        <w:rPr>
          <w:b/>
        </w:rPr>
        <w:t>4</w:t>
      </w:r>
      <w:r w:rsidRPr="006E1332">
        <w:rPr>
          <w:rStyle w:val="HideTWBExt"/>
        </w:rPr>
        <w:t>&lt;/NumAm&gt;</w:t>
      </w:r>
    </w:p>
    <w:p w:rsidR="0009203D" w:rsidRPr="006E1332" w:rsidRDefault="0009203D" w:rsidP="0009203D">
      <w:pPr>
        <w:keepNext/>
        <w:spacing w:before="240"/>
        <w:rPr>
          <w:b/>
        </w:rPr>
      </w:pPr>
      <w:r w:rsidRPr="006E1332">
        <w:rPr>
          <w:rStyle w:val="HideTWBExt"/>
        </w:rPr>
        <w:t>&lt;DocAmend&gt;</w:t>
      </w:r>
      <w:r w:rsidRPr="006E1332">
        <w:rPr>
          <w:b/>
        </w:rPr>
        <w:t>Predlog uredbe</w:t>
      </w:r>
      <w:r w:rsidRPr="006E1332">
        <w:rPr>
          <w:rStyle w:val="HideTWBExt"/>
        </w:rPr>
        <w:t>&lt;/DocAmend&gt;</w:t>
      </w:r>
    </w:p>
    <w:p w:rsidR="0009203D" w:rsidRPr="006E1332" w:rsidRDefault="0009203D" w:rsidP="0009203D">
      <w:pPr>
        <w:keepNext/>
        <w:rPr>
          <w:b/>
        </w:rPr>
      </w:pPr>
      <w:r w:rsidRPr="006E1332">
        <w:rPr>
          <w:rStyle w:val="HideTWBExt"/>
        </w:rPr>
        <w:t>&lt;Article&gt;</w:t>
      </w:r>
      <w:r w:rsidRPr="006E1332">
        <w:rPr>
          <w:b/>
        </w:rPr>
        <w:t>Člen 1 – odstavek 1 – točka 2</w:t>
      </w:r>
      <w:r w:rsidRPr="006E1332">
        <w:rPr>
          <w:rStyle w:val="HideTWBExt"/>
        </w:rPr>
        <w:t>&lt;/Article&gt;</w:t>
      </w:r>
    </w:p>
    <w:p w:rsidR="0009203D" w:rsidRPr="006E1332" w:rsidRDefault="0009203D" w:rsidP="0009203D">
      <w:pPr>
        <w:keepNext/>
      </w:pPr>
      <w:r w:rsidRPr="006E1332">
        <w:rPr>
          <w:rStyle w:val="HideTWBExt"/>
        </w:rPr>
        <w:t>&lt;DocAmend2&gt;</w:t>
      </w:r>
      <w:r w:rsidRPr="006E1332">
        <w:t>Protokol št. 3 o Statutu Sodišča Evropske unije</w:t>
      </w:r>
      <w:r w:rsidRPr="006E1332">
        <w:rPr>
          <w:rStyle w:val="HideTWBExt"/>
        </w:rPr>
        <w:t>&lt;/DocAmend2&gt;</w:t>
      </w:r>
    </w:p>
    <w:p w:rsidR="0009203D" w:rsidRPr="006E1332" w:rsidRDefault="0009203D" w:rsidP="0009203D">
      <w:r w:rsidRPr="006E1332">
        <w:rPr>
          <w:rStyle w:val="HideTWBExt"/>
        </w:rPr>
        <w:t>&lt;Article2&gt;</w:t>
      </w:r>
      <w:r w:rsidRPr="006E1332">
        <w:t>Člen 58 a – odstavek 1</w:t>
      </w:r>
      <w:r w:rsidRPr="006E1332">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E1332" w:rsidRPr="006E1332" w:rsidTr="0082079E">
        <w:trPr>
          <w:jc w:val="center"/>
        </w:trPr>
        <w:tc>
          <w:tcPr>
            <w:tcW w:w="9752" w:type="dxa"/>
            <w:gridSpan w:val="2"/>
          </w:tcPr>
          <w:p w:rsidR="0009203D" w:rsidRPr="006E1332" w:rsidRDefault="0009203D" w:rsidP="0009203D">
            <w:pPr>
              <w:keepNext/>
              <w:rPr>
                <w:lang w:val="fr-FR"/>
              </w:rPr>
            </w:pPr>
          </w:p>
        </w:tc>
      </w:tr>
      <w:tr w:rsidR="006E1332" w:rsidRPr="006E1332" w:rsidTr="0082079E">
        <w:trPr>
          <w:jc w:val="center"/>
        </w:trPr>
        <w:tc>
          <w:tcPr>
            <w:tcW w:w="4876" w:type="dxa"/>
          </w:tcPr>
          <w:p w:rsidR="0009203D" w:rsidRPr="006E1332" w:rsidRDefault="0009203D" w:rsidP="0009203D">
            <w:pPr>
              <w:keepNext/>
              <w:spacing w:after="240"/>
              <w:jc w:val="center"/>
              <w:rPr>
                <w:i/>
              </w:rPr>
            </w:pPr>
            <w:r w:rsidRPr="006E1332">
              <w:rPr>
                <w:i/>
              </w:rPr>
              <w:t>Osnutek Sodišča</w:t>
            </w:r>
          </w:p>
        </w:tc>
        <w:tc>
          <w:tcPr>
            <w:tcW w:w="4876" w:type="dxa"/>
          </w:tcPr>
          <w:p w:rsidR="0009203D" w:rsidRPr="006E1332" w:rsidRDefault="0009203D" w:rsidP="0009203D">
            <w:pPr>
              <w:keepNext/>
              <w:spacing w:after="240"/>
              <w:jc w:val="center"/>
              <w:rPr>
                <w:i/>
              </w:rPr>
            </w:pPr>
            <w:r w:rsidRPr="006E1332">
              <w:rPr>
                <w:i/>
              </w:rPr>
              <w:t>Predlog spremembe</w:t>
            </w:r>
          </w:p>
        </w:tc>
      </w:tr>
      <w:tr w:rsidR="006E1332" w:rsidRPr="006E1332" w:rsidTr="0082079E">
        <w:trPr>
          <w:jc w:val="center"/>
        </w:trPr>
        <w:tc>
          <w:tcPr>
            <w:tcW w:w="4876" w:type="dxa"/>
          </w:tcPr>
          <w:p w:rsidR="0009203D" w:rsidRPr="006E1332" w:rsidRDefault="0009203D" w:rsidP="0009203D">
            <w:pPr>
              <w:spacing w:after="120"/>
            </w:pPr>
            <w:r w:rsidRPr="006E1332">
              <w:rPr>
                <w:b/>
                <w:i/>
              </w:rPr>
              <w:t>Za preizkus pritožb, vloženih zoper odločbe Splošnega sodišča, ki se nanašajo na odločbo odbora za pritožbe</w:t>
            </w:r>
            <w:r w:rsidRPr="006E1332">
              <w:t xml:space="preserve"> pri </w:t>
            </w:r>
            <w:r w:rsidRPr="006E1332">
              <w:rPr>
                <w:b/>
                <w:i/>
              </w:rPr>
              <w:t>Uradu Evropske unije za intelektualno lastnino</w:t>
            </w:r>
            <w:r w:rsidRPr="006E1332">
              <w:t xml:space="preserve">, </w:t>
            </w:r>
            <w:r w:rsidRPr="006E1332">
              <w:rPr>
                <w:b/>
                <w:i/>
              </w:rPr>
              <w:t>komisije</w:t>
            </w:r>
            <w:r w:rsidRPr="006E1332">
              <w:t xml:space="preserve"> za </w:t>
            </w:r>
            <w:r w:rsidRPr="006E1332">
              <w:rPr>
                <w:b/>
                <w:i/>
              </w:rPr>
              <w:t>pritožbe pri Uradu Skupnosti za rastlinske sorte</w:t>
            </w:r>
            <w:r w:rsidRPr="006E1332">
              <w:t xml:space="preserve">, </w:t>
            </w:r>
            <w:r w:rsidRPr="006E1332">
              <w:rPr>
                <w:b/>
                <w:i/>
              </w:rPr>
              <w:t>komisije za pritožbe pri Evropski agenciji za kemikalije ali komisije za pritožbe pri Evropski agenciji za varnost v letalstvu</w:t>
            </w:r>
            <w:r w:rsidRPr="006E1332">
              <w:t>,</w:t>
            </w:r>
            <w:r w:rsidRPr="006E1332">
              <w:rPr>
                <w:b/>
                <w:i/>
              </w:rPr>
              <w:t xml:space="preserve"> je</w:t>
            </w:r>
            <w:r w:rsidRPr="006E1332">
              <w:t xml:space="preserve"> potrebna predhodna dopustitev Sodišča.</w:t>
            </w:r>
          </w:p>
        </w:tc>
        <w:tc>
          <w:tcPr>
            <w:tcW w:w="4876" w:type="dxa"/>
          </w:tcPr>
          <w:p w:rsidR="0009203D" w:rsidRPr="006E1332" w:rsidRDefault="0009203D" w:rsidP="0009203D">
            <w:pPr>
              <w:spacing w:after="120"/>
              <w:rPr>
                <w:b/>
                <w:i/>
                <w:szCs w:val="24"/>
              </w:rPr>
            </w:pPr>
            <w:r w:rsidRPr="006E1332">
              <w:rPr>
                <w:b/>
                <w:i/>
              </w:rPr>
              <w:t>Kadar je vložitev tožbe pri Splošnem sodišču pogojena s predložitvijo zadeve neodvisnemu upravnemu organu, katerega člani</w:t>
            </w:r>
            <w:r w:rsidRPr="006E1332">
              <w:t xml:space="preserve"> pri </w:t>
            </w:r>
            <w:r w:rsidRPr="006E1332">
              <w:rPr>
                <w:b/>
                <w:i/>
              </w:rPr>
              <w:t>svojih odločitvah niso vezani na nobena navodila</w:t>
            </w:r>
            <w:r w:rsidRPr="006E1332">
              <w:t xml:space="preserve">, </w:t>
            </w:r>
            <w:r w:rsidRPr="006E1332">
              <w:rPr>
                <w:b/>
                <w:i/>
              </w:rPr>
              <w:t>je</w:t>
            </w:r>
            <w:r w:rsidRPr="006E1332">
              <w:t xml:space="preserve"> za </w:t>
            </w:r>
            <w:r w:rsidRPr="006E1332">
              <w:rPr>
                <w:b/>
                <w:i/>
              </w:rPr>
              <w:t>preizkus pritožb</w:t>
            </w:r>
            <w:r w:rsidRPr="006E1332">
              <w:t xml:space="preserve">, </w:t>
            </w:r>
            <w:r w:rsidRPr="006E1332">
              <w:rPr>
                <w:b/>
                <w:i/>
              </w:rPr>
              <w:t>vloženih zoper odločbe Splošnega sodišča</w:t>
            </w:r>
            <w:r w:rsidRPr="006E1332">
              <w:t>, potrebna predhodna dopustitev Sodišča.</w:t>
            </w:r>
          </w:p>
        </w:tc>
      </w:tr>
    </w:tbl>
    <w:p w:rsidR="0009203D" w:rsidRPr="006E1332" w:rsidRDefault="0009203D" w:rsidP="0009203D">
      <w:r w:rsidRPr="006E1332">
        <w:rPr>
          <w:rStyle w:val="HideTWBExt"/>
        </w:rPr>
        <w:t>&lt;/Amend&gt;</w:t>
      </w:r>
    </w:p>
    <w:p w:rsidR="0009203D" w:rsidRPr="006E1332" w:rsidRDefault="0009203D" w:rsidP="0009203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6E1332">
        <w:rPr>
          <w:rStyle w:val="HideTWBExt"/>
        </w:rPr>
        <w:t>&lt;Amend&gt;</w:t>
      </w:r>
      <w:r w:rsidRPr="006E1332">
        <w:rPr>
          <w:b/>
        </w:rPr>
        <w:t>Predlog spremembe</w:t>
      </w:r>
      <w:r w:rsidRPr="006E1332">
        <w:rPr>
          <w:b/>
        </w:rPr>
        <w:tab/>
      </w:r>
      <w:r w:rsidRPr="006E1332">
        <w:rPr>
          <w:b/>
        </w:rPr>
        <w:tab/>
      </w:r>
      <w:r w:rsidRPr="006E1332">
        <w:rPr>
          <w:rStyle w:val="HideTWBExt"/>
        </w:rPr>
        <w:t>&lt;NumAm&gt;</w:t>
      </w:r>
      <w:r w:rsidRPr="006E1332">
        <w:rPr>
          <w:b/>
        </w:rPr>
        <w:t>5</w:t>
      </w:r>
      <w:r w:rsidRPr="006E1332">
        <w:rPr>
          <w:rStyle w:val="HideTWBExt"/>
        </w:rPr>
        <w:t>&lt;/NumAm&gt;</w:t>
      </w:r>
    </w:p>
    <w:p w:rsidR="0009203D" w:rsidRPr="006E1332" w:rsidRDefault="0009203D" w:rsidP="0009203D">
      <w:pPr>
        <w:spacing w:before="240"/>
        <w:rPr>
          <w:b/>
        </w:rPr>
      </w:pPr>
      <w:r w:rsidRPr="006E1332">
        <w:rPr>
          <w:rStyle w:val="HideTWBExt"/>
        </w:rPr>
        <w:t>&lt;DocAmend&gt;</w:t>
      </w:r>
      <w:r w:rsidRPr="006E1332">
        <w:rPr>
          <w:b/>
        </w:rPr>
        <w:t>Osnutek uredbe</w:t>
      </w:r>
      <w:r w:rsidRPr="006E1332">
        <w:rPr>
          <w:rStyle w:val="HideTWBExt"/>
        </w:rPr>
        <w:t>&lt;/DocAmend&gt;</w:t>
      </w:r>
    </w:p>
    <w:p w:rsidR="0009203D" w:rsidRPr="006E1332" w:rsidRDefault="0009203D" w:rsidP="0009203D">
      <w:pPr>
        <w:keepNext/>
        <w:rPr>
          <w:b/>
        </w:rPr>
      </w:pPr>
      <w:r w:rsidRPr="006E1332">
        <w:rPr>
          <w:rStyle w:val="HideTWBExt"/>
        </w:rPr>
        <w:lastRenderedPageBreak/>
        <w:t>&lt;Article&gt;</w:t>
      </w:r>
      <w:r w:rsidRPr="006E1332">
        <w:rPr>
          <w:b/>
        </w:rPr>
        <w:t>Člen 1 – odstavek 1 – točka 2</w:t>
      </w:r>
      <w:r w:rsidRPr="006E1332">
        <w:rPr>
          <w:rStyle w:val="HideTWBExt"/>
        </w:rPr>
        <w:t>&lt;/Article&gt;</w:t>
      </w:r>
    </w:p>
    <w:p w:rsidR="0009203D" w:rsidRPr="006E1332" w:rsidRDefault="0009203D" w:rsidP="0009203D">
      <w:pPr>
        <w:keepNext/>
      </w:pPr>
      <w:r w:rsidRPr="006E1332">
        <w:rPr>
          <w:rStyle w:val="HideTWBExt"/>
        </w:rPr>
        <w:t>&lt;DocAmend2&gt;</w:t>
      </w:r>
      <w:r w:rsidRPr="006E1332">
        <w:t>Protokol št. 3 o Statutu Sodišča Evropske unije</w:t>
      </w:r>
      <w:r w:rsidRPr="006E1332">
        <w:rPr>
          <w:rStyle w:val="HideTWBExt"/>
        </w:rPr>
        <w:t>&lt;/DocAmend2&gt;</w:t>
      </w:r>
    </w:p>
    <w:p w:rsidR="0009203D" w:rsidRPr="006E1332" w:rsidRDefault="0009203D" w:rsidP="0009203D">
      <w:r w:rsidRPr="006E1332">
        <w:rPr>
          <w:rStyle w:val="HideTWBExt"/>
        </w:rPr>
        <w:t>&lt;Article2&gt;</w:t>
      </w:r>
      <w:r w:rsidRPr="006E1332">
        <w:t>Člen 58 a – odstavek 3</w:t>
      </w:r>
      <w:r w:rsidRPr="006E1332">
        <w:rPr>
          <w:rStyle w:val="HideTWBExt"/>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E1332" w:rsidRPr="006E1332" w:rsidTr="0082079E">
        <w:trPr>
          <w:jc w:val="center"/>
        </w:trPr>
        <w:tc>
          <w:tcPr>
            <w:tcW w:w="9752" w:type="dxa"/>
            <w:gridSpan w:val="2"/>
          </w:tcPr>
          <w:p w:rsidR="0009203D" w:rsidRPr="006E1332" w:rsidRDefault="0009203D" w:rsidP="0009203D">
            <w:pPr>
              <w:keepNext/>
              <w:rPr>
                <w:lang w:val="fr-FR"/>
              </w:rPr>
            </w:pPr>
          </w:p>
        </w:tc>
      </w:tr>
      <w:tr w:rsidR="006E1332" w:rsidRPr="006E1332" w:rsidTr="0082079E">
        <w:trPr>
          <w:jc w:val="center"/>
        </w:trPr>
        <w:tc>
          <w:tcPr>
            <w:tcW w:w="4876" w:type="dxa"/>
            <w:hideMark/>
          </w:tcPr>
          <w:p w:rsidR="0009203D" w:rsidRPr="006E1332" w:rsidRDefault="0009203D" w:rsidP="0009203D">
            <w:pPr>
              <w:keepNext/>
              <w:spacing w:after="240"/>
              <w:jc w:val="center"/>
              <w:rPr>
                <w:i/>
              </w:rPr>
            </w:pPr>
            <w:r w:rsidRPr="006E1332">
              <w:rPr>
                <w:i/>
              </w:rPr>
              <w:t>Osnutek Sodišča</w:t>
            </w:r>
          </w:p>
        </w:tc>
        <w:tc>
          <w:tcPr>
            <w:tcW w:w="4876" w:type="dxa"/>
            <w:hideMark/>
          </w:tcPr>
          <w:p w:rsidR="0009203D" w:rsidRPr="006E1332" w:rsidRDefault="0009203D" w:rsidP="0009203D">
            <w:pPr>
              <w:keepNext/>
              <w:spacing w:after="240"/>
              <w:jc w:val="center"/>
              <w:rPr>
                <w:i/>
              </w:rPr>
            </w:pPr>
            <w:r w:rsidRPr="006E1332">
              <w:rPr>
                <w:i/>
              </w:rPr>
              <w:t>Predlog spremembe</w:t>
            </w:r>
          </w:p>
        </w:tc>
      </w:tr>
      <w:tr w:rsidR="006E1332" w:rsidRPr="006E1332" w:rsidTr="0082079E">
        <w:trPr>
          <w:jc w:val="center"/>
        </w:trPr>
        <w:tc>
          <w:tcPr>
            <w:tcW w:w="4876" w:type="dxa"/>
            <w:hideMark/>
          </w:tcPr>
          <w:p w:rsidR="0009203D" w:rsidRPr="006E1332" w:rsidRDefault="0009203D" w:rsidP="0009203D">
            <w:pPr>
              <w:spacing w:after="120"/>
            </w:pPr>
            <w:r w:rsidRPr="006E1332">
              <w:t xml:space="preserve">Odločba o </w:t>
            </w:r>
            <w:r w:rsidRPr="006E1332">
              <w:rPr>
                <w:b/>
                <w:i/>
              </w:rPr>
              <w:t>dopustitvi pritožbe</w:t>
            </w:r>
            <w:r w:rsidRPr="006E1332">
              <w:t xml:space="preserve"> se obrazloži in objavi.</w:t>
            </w:r>
          </w:p>
        </w:tc>
        <w:tc>
          <w:tcPr>
            <w:tcW w:w="4876" w:type="dxa"/>
            <w:hideMark/>
          </w:tcPr>
          <w:p w:rsidR="0009203D" w:rsidRPr="006E1332" w:rsidRDefault="0009203D" w:rsidP="0009203D">
            <w:pPr>
              <w:spacing w:after="120"/>
              <w:rPr>
                <w:szCs w:val="24"/>
              </w:rPr>
            </w:pPr>
            <w:r w:rsidRPr="006E1332">
              <w:t xml:space="preserve">Odločba o </w:t>
            </w:r>
            <w:r w:rsidRPr="006E1332">
              <w:rPr>
                <w:b/>
                <w:i/>
              </w:rPr>
              <w:t>tem, ali</w:t>
            </w:r>
            <w:r w:rsidRPr="006E1332">
              <w:t xml:space="preserve"> se</w:t>
            </w:r>
            <w:r w:rsidRPr="006E1332">
              <w:rPr>
                <w:b/>
                <w:i/>
              </w:rPr>
              <w:t xml:space="preserve"> pritožba dopusti ali ne dopusti, se ustrezno</w:t>
            </w:r>
            <w:r w:rsidRPr="006E1332">
              <w:t xml:space="preserve"> obrazloži in objavi.</w:t>
            </w:r>
          </w:p>
        </w:tc>
      </w:tr>
    </w:tbl>
    <w:p w:rsidR="0009203D" w:rsidRPr="006E1332" w:rsidRDefault="0009203D" w:rsidP="0009203D">
      <w:r w:rsidRPr="006E1332">
        <w:rPr>
          <w:rStyle w:val="HideTWBExt"/>
        </w:rPr>
        <w:t>&lt;/Amend&gt;</w:t>
      </w:r>
    </w:p>
    <w:p w:rsidR="0009203D" w:rsidRPr="006E1332" w:rsidRDefault="0009203D" w:rsidP="0009203D">
      <w:r w:rsidRPr="006E1332">
        <w:rPr>
          <w:rStyle w:val="HideTWBExt"/>
        </w:rPr>
        <w:t>&lt;/RepeatBlock-Amend&gt;</w:t>
      </w:r>
    </w:p>
    <w:p w:rsidR="008E3014" w:rsidRPr="006E1332" w:rsidRDefault="00915A89" w:rsidP="008E3014">
      <w:pPr>
        <w:pStyle w:val="PageHeading"/>
      </w:pPr>
      <w:r w:rsidRPr="006E1332">
        <w:br w:type="page"/>
      </w:r>
      <w:bookmarkStart w:id="3" w:name="_Toc523406074"/>
      <w:bookmarkStart w:id="4" w:name="_Toc520738969"/>
      <w:bookmarkStart w:id="5" w:name="_Toc527551012"/>
      <w:bookmarkStart w:id="6" w:name="_Toc528138773"/>
      <w:bookmarkStart w:id="7" w:name="_Toc534983552"/>
      <w:r w:rsidRPr="006E1332">
        <w:lastRenderedPageBreak/>
        <w:t>OBRAZLOŽITEV</w:t>
      </w:r>
      <w:bookmarkEnd w:id="3"/>
      <w:bookmarkEnd w:id="4"/>
      <w:bookmarkEnd w:id="5"/>
      <w:bookmarkEnd w:id="6"/>
      <w:bookmarkEnd w:id="7"/>
    </w:p>
    <w:p w:rsidR="0009203D" w:rsidRPr="006E1332" w:rsidRDefault="0009203D" w:rsidP="0009203D">
      <w:pPr>
        <w:pStyle w:val="NormalWeb"/>
        <w:spacing w:before="0" w:beforeAutospacing="0" w:after="0" w:afterAutospacing="0"/>
      </w:pPr>
      <w:r w:rsidRPr="006E1332">
        <w:t>Dobro delovanje Sodišča je nujno za dobro pravno varstvo državljanov Unije Reforma sodnega sistema Evropske unije, sprejeta decembra 2015, mora biti zasnovana čim bolje, pristojnosti pa je treba med Splošno sodišče in Sodišče razdeliti tako, da bodo lahko državljani hitro in učinkovito dostopali do pravnega varstva. Ta cilj je bil načeloma upoštevan pri predlogu Sodišča o spremembah Protokola (št. 3) o Statutu Sodišča Evropske unije.</w:t>
      </w:r>
    </w:p>
    <w:p w:rsidR="0009203D" w:rsidRPr="006E1332" w:rsidRDefault="0009203D" w:rsidP="0009203D">
      <w:pPr>
        <w:pStyle w:val="NormalWeb"/>
        <w:spacing w:before="0" w:beforeAutospacing="0" w:after="0" w:afterAutospacing="0"/>
        <w:rPr>
          <w:bCs/>
        </w:rPr>
      </w:pPr>
    </w:p>
    <w:p w:rsidR="0009203D" w:rsidRPr="006E1332" w:rsidRDefault="0009203D" w:rsidP="0009203D">
      <w:pPr>
        <w:pStyle w:val="NormalWeb"/>
        <w:spacing w:before="0" w:beforeAutospacing="0" w:after="0" w:afterAutospacing="0"/>
      </w:pPr>
      <w:r w:rsidRPr="006E1332">
        <w:t xml:space="preserve">Terminološke prilagoditve Lizbonski pogodbi so ustrezne. </w:t>
      </w:r>
    </w:p>
    <w:p w:rsidR="0009203D" w:rsidRPr="006E1332" w:rsidRDefault="0009203D" w:rsidP="0009203D">
      <w:pPr>
        <w:pStyle w:val="NormalWeb"/>
        <w:spacing w:before="0" w:beforeAutospacing="0" w:after="0" w:afterAutospacing="0"/>
        <w:rPr>
          <w:bCs/>
        </w:rPr>
      </w:pPr>
    </w:p>
    <w:p w:rsidR="0009203D" w:rsidRPr="006E1332" w:rsidRDefault="0009203D" w:rsidP="0009203D">
      <w:pPr>
        <w:pStyle w:val="NormalWeb"/>
        <w:spacing w:before="0" w:beforeAutospacing="0" w:after="0" w:afterAutospacing="0"/>
        <w:rPr>
          <w:bCs/>
        </w:rPr>
      </w:pPr>
      <w:r w:rsidRPr="006E1332">
        <w:t>Prav tako je dobrodošel prenos pristojnosti za odločanje o ničnostnih tožbah v zvezi z nepravilno izvršitvijo sodbe, ki jo je izdalo Sodišče v skladu s členom 260(2) ali (3) PDEU.</w:t>
      </w:r>
    </w:p>
    <w:p w:rsidR="0009203D" w:rsidRPr="006E1332" w:rsidRDefault="0009203D" w:rsidP="0009203D">
      <w:pPr>
        <w:pStyle w:val="NormalWeb"/>
        <w:spacing w:before="0" w:beforeAutospacing="0" w:after="0" w:afterAutospacing="0"/>
        <w:rPr>
          <w:bCs/>
        </w:rPr>
      </w:pPr>
    </w:p>
    <w:p w:rsidR="0009203D" w:rsidRPr="006E1332" w:rsidRDefault="0009203D" w:rsidP="0009203D">
      <w:pPr>
        <w:pStyle w:val="NormalWeb"/>
        <w:spacing w:before="0" w:beforeAutospacing="0" w:after="0" w:afterAutospacing="0"/>
        <w:rPr>
          <w:bCs/>
        </w:rPr>
      </w:pPr>
      <w:r w:rsidRPr="006E1332">
        <w:t xml:space="preserve">Vzpostavitev mehanizma, v okviru katerega Sodišče predhodno dopusti nekatere kategorije pritožb, se načeloma pozdravlja, vendar ni primerno, da se naštejejo posamezni neodvisni upravni organi. Izbrati bi bilo namreč treba abstrakten in splošen pristop, da bi se določba zasnovala tako, da bo ustrezna tudi v prihodnosti. Poleg tega je treba v besedilu pojasniti, da te odločbe ni treba utemeljiti in objaviti le, če se pritožba dopusti, temveč tudi, če se ne. </w:t>
      </w:r>
    </w:p>
    <w:p w:rsidR="0009203D" w:rsidRPr="006E1332" w:rsidRDefault="0009203D" w:rsidP="0009203D">
      <w:pPr>
        <w:pStyle w:val="NormalWeb"/>
        <w:spacing w:before="0" w:beforeAutospacing="0" w:after="0" w:afterAutospacing="0"/>
      </w:pPr>
    </w:p>
    <w:p w:rsidR="0009203D" w:rsidRPr="006E1332" w:rsidRDefault="0009203D" w:rsidP="0009203D">
      <w:pPr>
        <w:pStyle w:val="NormalWeb"/>
        <w:spacing w:before="0" w:beforeAutospacing="0" w:after="0" w:afterAutospacing="0"/>
        <w:rPr>
          <w:bCs/>
        </w:rPr>
      </w:pPr>
      <w:r w:rsidRPr="006E1332">
        <w:t>Pri vprašanju, ali se pristojnosti za odločanje v določenih kategorijah postopkov za ugotavljanje kršitev na prvi stopnji prenesejo na Splošno sodišče, se zdi primerno počakati na sprejetje poročila o delovanju Splošnega sodišča decembra 2020. Poročilo bo sprejeto po koncu tretje faze reforme sodnega sistema Evropske unije (september 2019), v kateri je treba preučiti zlasti uspešnost Splošnega sodišča ter nujnost in učinkovitost povečanja števila sodnikov na 56. V tem okviru bi bilo treba obravnavati tudi uspešnost pri vzpostavljanju uravnotežene zastopanosti spolov na Splošnem sodišču. Pri prenosu pristojnosti na področju postopkov za ugotavljanje kršitev je treba upoštevati, da gre za najmočnejše orožje Komisije za ukrepanje proti državam članicam, če ne spoštujejo prava Unije. Ti postopki so nujni za učinkovito izvajanje tega prava. Zagotoviti je treba, da se s prenosom pristojnosti na Splošno sodišče ne podaljša celotno trajanje postopka. Poleg tega je treba razmisliti, ali je ta prenos primeren, saj postopki za ugotavljanje kršitev zajemajo razmeroma majhen delež skupnega števila nerešenih zadev. Pri tem se zlasti postavlja vprašanje primernosti za dosego cilja strukturne spremembe.</w:t>
      </w:r>
    </w:p>
    <w:p w:rsidR="00915A89" w:rsidRPr="006E1332" w:rsidRDefault="00915A89" w:rsidP="00206B03">
      <w:pPr>
        <w:rPr>
          <w:rFonts w:eastAsia="Calibri"/>
        </w:rPr>
      </w:pPr>
    </w:p>
    <w:p w:rsidR="001649BE" w:rsidRPr="006E1332" w:rsidRDefault="001649BE" w:rsidP="001649BE">
      <w:r w:rsidRPr="006E1332">
        <w:br w:type="page"/>
      </w:r>
    </w:p>
    <w:p w:rsidR="001649BE" w:rsidRPr="006E1332" w:rsidRDefault="001649BE" w:rsidP="001649BE">
      <w:pPr>
        <w:pStyle w:val="ZDate"/>
        <w:spacing w:after="480"/>
      </w:pPr>
      <w:r w:rsidRPr="006E1332">
        <w:rPr>
          <w:rStyle w:val="HideTWBExt"/>
        </w:rPr>
        <w:t>&lt;Date&gt;</w:t>
      </w:r>
      <w:r w:rsidRPr="006E1332">
        <w:rPr>
          <w:rStyle w:val="HideTWBInt"/>
        </w:rPr>
        <w:t>{29/11/2018}</w:t>
      </w:r>
      <w:r w:rsidRPr="006E1332">
        <w:t>29.11.2018</w:t>
      </w:r>
      <w:r w:rsidRPr="006E1332">
        <w:rPr>
          <w:rStyle w:val="HideTWBExt"/>
        </w:rPr>
        <w:t>&lt;/Date&gt;</w:t>
      </w:r>
    </w:p>
    <w:p w:rsidR="001649BE" w:rsidRPr="006E1332" w:rsidRDefault="001649BE" w:rsidP="001649BE">
      <w:pPr>
        <w:pStyle w:val="PageHeading"/>
        <w:spacing w:before="0" w:after="720"/>
      </w:pPr>
      <w:bookmarkStart w:id="8" w:name="_Toc534983553"/>
      <w:r w:rsidRPr="006E1332">
        <w:t xml:space="preserve">MNENJE </w:t>
      </w:r>
      <w:r w:rsidRPr="006E1332">
        <w:rPr>
          <w:rStyle w:val="HideTWBExt"/>
          <w:b w:val="0"/>
        </w:rPr>
        <w:t>&lt;CommissionResp&gt;</w:t>
      </w:r>
      <w:bookmarkStart w:id="9" w:name="OpinionToc_1"/>
      <w:r w:rsidRPr="006E1332">
        <w:rPr>
          <w:caps/>
        </w:rPr>
        <w:t>Odbora za ustavne zadeve</w:t>
      </w:r>
      <w:bookmarkEnd w:id="9"/>
      <w:bookmarkEnd w:id="8"/>
      <w:r w:rsidRPr="006E1332">
        <w:rPr>
          <w:rStyle w:val="HideTWBExt"/>
          <w:b w:val="0"/>
        </w:rPr>
        <w:t>&lt;/CommissionResp&gt;</w:t>
      </w:r>
    </w:p>
    <w:p w:rsidR="001649BE" w:rsidRPr="006E1332" w:rsidRDefault="001649BE" w:rsidP="001649BE">
      <w:pPr>
        <w:pStyle w:val="Cover24"/>
        <w:ind w:left="0"/>
      </w:pPr>
      <w:r w:rsidRPr="006E1332">
        <w:rPr>
          <w:rStyle w:val="HideTWBExt"/>
        </w:rPr>
        <w:t>&lt;CommissionInt&gt;</w:t>
      </w:r>
      <w:r w:rsidRPr="006E1332">
        <w:t>za Odbor za pravne zadeve</w:t>
      </w:r>
      <w:r w:rsidRPr="006E1332">
        <w:rPr>
          <w:rStyle w:val="HideTWBExt"/>
        </w:rPr>
        <w:t>&lt;/CommissionInt&gt;</w:t>
      </w:r>
    </w:p>
    <w:p w:rsidR="001649BE" w:rsidRPr="006E1332" w:rsidRDefault="001649BE" w:rsidP="001649BE">
      <w:pPr>
        <w:pStyle w:val="CoverNormal"/>
        <w:ind w:left="0"/>
      </w:pPr>
      <w:r w:rsidRPr="006E1332">
        <w:rPr>
          <w:rStyle w:val="HideTWBExt"/>
        </w:rPr>
        <w:t>&lt;Titre&gt;</w:t>
      </w:r>
      <w:r w:rsidRPr="006E1332">
        <w:t>o predlogu uredbe Evropskega parlamenta in Sveta o spremembi Protokola št. 3 o Statutu Sodišča Evropske unije</w:t>
      </w:r>
      <w:r w:rsidRPr="006E1332">
        <w:rPr>
          <w:rStyle w:val="HideTWBExt"/>
        </w:rPr>
        <w:t>&lt;/Titre&gt;</w:t>
      </w:r>
    </w:p>
    <w:p w:rsidR="001649BE" w:rsidRPr="006E1332" w:rsidRDefault="001649BE" w:rsidP="001649BE">
      <w:pPr>
        <w:pStyle w:val="Cover24"/>
        <w:ind w:left="0"/>
      </w:pPr>
      <w:r w:rsidRPr="006E1332">
        <w:rPr>
          <w:rStyle w:val="HideTWBExt"/>
        </w:rPr>
        <w:t>&lt;DocRef&gt;</w:t>
      </w:r>
      <w:r w:rsidRPr="006E1332">
        <w:t>(02360/2018 – C8-0132/2018 – 2018/0900(COD))</w:t>
      </w:r>
      <w:r w:rsidRPr="006E1332">
        <w:rPr>
          <w:rStyle w:val="HideTWBExt"/>
        </w:rPr>
        <w:t>&lt;/DocRef&gt;</w:t>
      </w:r>
    </w:p>
    <w:p w:rsidR="001649BE" w:rsidRPr="006E1332" w:rsidRDefault="001649BE" w:rsidP="001649BE">
      <w:pPr>
        <w:pStyle w:val="Cover24"/>
        <w:ind w:left="0"/>
      </w:pPr>
      <w:r w:rsidRPr="006E1332">
        <w:t xml:space="preserve">Pripravljavec mnenja: </w:t>
      </w:r>
      <w:r w:rsidRPr="006E1332">
        <w:rPr>
          <w:rStyle w:val="HideTWBExt"/>
        </w:rPr>
        <w:t>&lt;Depute&gt;</w:t>
      </w:r>
      <w:r w:rsidRPr="006E1332">
        <w:t>Morten Messerschmidt</w:t>
      </w:r>
      <w:r w:rsidRPr="006E1332">
        <w:rPr>
          <w:rStyle w:val="HideTWBExt"/>
        </w:rPr>
        <w:t>&lt;/Depute&gt;</w:t>
      </w:r>
    </w:p>
    <w:p w:rsidR="001649BE" w:rsidRPr="006E1332" w:rsidRDefault="001649BE" w:rsidP="001649BE">
      <w:pPr>
        <w:pStyle w:val="CoverNormal"/>
        <w:ind w:left="0"/>
      </w:pPr>
    </w:p>
    <w:p w:rsidR="001649BE" w:rsidRPr="006E1332" w:rsidRDefault="001649BE" w:rsidP="0004474F">
      <w:pPr>
        <w:tabs>
          <w:tab w:val="center" w:pos="4677"/>
        </w:tabs>
      </w:pPr>
    </w:p>
    <w:p w:rsidR="001649BE" w:rsidRPr="006E1332" w:rsidRDefault="001649BE" w:rsidP="0004474F">
      <w:pPr>
        <w:tabs>
          <w:tab w:val="center" w:pos="4677"/>
        </w:tabs>
      </w:pPr>
    </w:p>
    <w:p w:rsidR="001649BE" w:rsidRPr="006E1332" w:rsidRDefault="001649BE" w:rsidP="00DB56E4">
      <w:pPr>
        <w:pStyle w:val="PageHeadingNotTOC"/>
      </w:pPr>
      <w:r w:rsidRPr="006E1332">
        <w:t>KRATKA OBRAZLOŽITEV</w:t>
      </w:r>
    </w:p>
    <w:p w:rsidR="001649BE" w:rsidRPr="006E1332" w:rsidRDefault="001649BE" w:rsidP="004C54D0">
      <w:r w:rsidRPr="006E1332">
        <w:t>Pripravljavec mnenja soglaša z glavnimi cilji predloga, zlasti s tem, da se Sodišču Evropske unije dodeli izključna pristojnost za odločanje o ničnostnih tožbah, povezanih z nesprejetjem potrebnih ukrepov za izvršitev sodb Sodišča v skladu s členom 260(2) ali (3) PDEU. Vseeno pa pripravljavec mnenja sodi, da bi predlog lahko dopolnili z možnostjo, da sodniki objavijo ločena mnenja, vključno z odklonilnimi mnenji, in predlaga spremembe ustreznih členov Statuta Sodišča. Ločena mnenja so običajna v večini držav članic in so na splošno dovoljena na mednarodnih sodiščih, kot sta Meddržavno sodišče in Evropsko sodišče za človekove pravice. Možnost ločenih mnenj bi izboljšala kakovost sodb Sodišča, zlasti v primerih, ko je razlogovanju Sodišča težko natančno slediti, ker je senat moral združiti delno različna stališča, da bi se našel kompromis med sodniki. Na podlagi posameznih mnenj bi lahko večina izrecno obravnavala stališča manjšine in izpodbijala veljavnost njenih pravnih argumentov, drugačna stališča pa bi se ohranila ločeno, s čimer bi se zagotovila jasnejša, bolj dosledna, razumljiva in končno verodostojna in prepričljiva sodba. Ločena mnenja bi lahko napovedala poznejši razvoj sodne prakse Sodišča. Prav tako bi lahko izboljšala sodni dialog z nacionalnimi sodišči, ki bi dobila bolje utemeljene sodbe, v katerih bi se izrecno in v celoti upoštevala vsa različna pravna mnenja, zlasti mnenja predložitvenega sodišča. Izraziti posamezno mnenje nikakor ne bi bilo obvezno, sodniki pa bi se lahko svobodno odločali, ali bodo objavili ločeno mnenje ali ne. Jasno je, da lahko dajanje prednosti preglednosti namesto tajnosti samo prispeva k procesu demokratizacije Evropske unije.</w:t>
      </w:r>
    </w:p>
    <w:p w:rsidR="001649BE" w:rsidRPr="006E1332" w:rsidRDefault="001649BE" w:rsidP="00DB56E4">
      <w:pPr>
        <w:pStyle w:val="ConclusionsPA"/>
      </w:pPr>
      <w:r w:rsidRPr="006E1332">
        <w:t>PREDLOGI SPREMEMB</w:t>
      </w:r>
    </w:p>
    <w:p w:rsidR="001649BE" w:rsidRPr="006E1332" w:rsidRDefault="001649BE" w:rsidP="001E3AC4">
      <w:pPr>
        <w:pStyle w:val="Normal12"/>
      </w:pPr>
      <w:bookmarkStart w:id="10" w:name="IntroA"/>
      <w:r w:rsidRPr="006E1332">
        <w:t>Odbor za ustavne zadeve poziva Odbor za pravne zadeve kot pristojni odbor, da upošteva naslednje predloge sprememb:</w:t>
      </w:r>
    </w:p>
    <w:p w:rsidR="001649BE" w:rsidRPr="006E1332" w:rsidRDefault="001649BE" w:rsidP="004C54D0">
      <w:pPr>
        <w:pStyle w:val="AMNumberTabs"/>
        <w:keepNext/>
        <w:rPr>
          <w:rStyle w:val="HideTWBExt"/>
        </w:rPr>
      </w:pPr>
      <w:r w:rsidRPr="006E1332">
        <w:rPr>
          <w:rStyle w:val="HideTWBExt"/>
          <w:b w:val="0"/>
        </w:rPr>
        <w:lastRenderedPageBreak/>
        <w:t>&lt;RepeatBlock-Amend&gt;</w:t>
      </w:r>
    </w:p>
    <w:p w:rsidR="001649BE" w:rsidRPr="006E1332" w:rsidRDefault="001649BE" w:rsidP="004C54D0"/>
    <w:p w:rsidR="001649BE" w:rsidRPr="006E1332" w:rsidRDefault="001649BE" w:rsidP="004C54D0">
      <w:pPr>
        <w:pStyle w:val="AMNumberTabs"/>
        <w:keepNext/>
      </w:pPr>
      <w:r w:rsidRPr="006E1332">
        <w:rPr>
          <w:rStyle w:val="HideTWBExt"/>
          <w:b w:val="0"/>
        </w:rPr>
        <w:t>&lt;Amend&gt;</w:t>
      </w:r>
      <w:r w:rsidRPr="006E1332">
        <w:t>Predlog spremembe</w:t>
      </w:r>
      <w:r w:rsidRPr="006E1332">
        <w:tab/>
      </w:r>
      <w:r w:rsidRPr="006E1332">
        <w:tab/>
      </w:r>
      <w:r w:rsidRPr="006E1332">
        <w:rPr>
          <w:rStyle w:val="HideTWBExt"/>
          <w:b w:val="0"/>
        </w:rPr>
        <w:t>&lt;NumAm&gt;</w:t>
      </w:r>
      <w:r w:rsidRPr="006E1332">
        <w:t>1</w:t>
      </w:r>
      <w:r w:rsidRPr="006E1332">
        <w:rPr>
          <w:rStyle w:val="HideTWBExt"/>
          <w:b w:val="0"/>
        </w:rPr>
        <w:t>&lt;/NumAm&gt;</w:t>
      </w:r>
    </w:p>
    <w:p w:rsidR="001649BE" w:rsidRPr="006E1332" w:rsidRDefault="001649BE" w:rsidP="004C54D0">
      <w:pPr>
        <w:pStyle w:val="NormalBold12b"/>
        <w:keepNext/>
      </w:pPr>
      <w:r w:rsidRPr="006E1332">
        <w:rPr>
          <w:rStyle w:val="HideTWBExt"/>
          <w:b w:val="0"/>
        </w:rPr>
        <w:t>&lt;DocAmend&gt;</w:t>
      </w:r>
      <w:r w:rsidRPr="006E1332">
        <w:t>Osnutek uredbe</w:t>
      </w:r>
      <w:r w:rsidRPr="006E1332">
        <w:rPr>
          <w:rStyle w:val="HideTWBExt"/>
          <w:b w:val="0"/>
        </w:rPr>
        <w:t>&lt;/DocAmend&gt;</w:t>
      </w:r>
    </w:p>
    <w:p w:rsidR="001649BE" w:rsidRPr="006E1332" w:rsidRDefault="001649BE" w:rsidP="004C54D0">
      <w:pPr>
        <w:pStyle w:val="NormalBold"/>
      </w:pPr>
      <w:r w:rsidRPr="006E1332">
        <w:rPr>
          <w:rStyle w:val="HideTWBExt"/>
          <w:b w:val="0"/>
        </w:rPr>
        <w:t>&lt;Article&gt;</w:t>
      </w:r>
      <w:r w:rsidRPr="006E1332">
        <w:t>Člen 1 – odstavek 1 – točka -1 (novo)</w:t>
      </w:r>
      <w:r w:rsidRPr="006E1332">
        <w:rPr>
          <w:rStyle w:val="HideTWBExt"/>
          <w:b w:val="0"/>
        </w:rPr>
        <w:t>&lt;/Article&gt;</w:t>
      </w:r>
    </w:p>
    <w:p w:rsidR="001649BE" w:rsidRPr="006E1332" w:rsidRDefault="001649BE" w:rsidP="004C54D0">
      <w:pPr>
        <w:keepNext/>
      </w:pPr>
      <w:r w:rsidRPr="006E1332">
        <w:rPr>
          <w:rStyle w:val="HideTWBExt"/>
        </w:rPr>
        <w:t>&lt;DocAmend2&gt;</w:t>
      </w:r>
      <w:r w:rsidRPr="006E1332">
        <w:t>Protokol št. 3 o Statutu Sodišča Evropske unije</w:t>
      </w:r>
      <w:r w:rsidRPr="006E1332">
        <w:rPr>
          <w:rStyle w:val="HideTWBExt"/>
        </w:rPr>
        <w:t>&lt;/DocAmend2&gt;</w:t>
      </w:r>
    </w:p>
    <w:p w:rsidR="001649BE" w:rsidRPr="006E1332" w:rsidRDefault="001649BE" w:rsidP="004C54D0">
      <w:r w:rsidRPr="006E1332">
        <w:rPr>
          <w:rStyle w:val="HideTWBExt"/>
        </w:rPr>
        <w:t>&lt;Article2&gt;</w:t>
      </w:r>
      <w:r w:rsidRPr="006E1332">
        <w:t>Člen 2</w:t>
      </w:r>
      <w:r w:rsidRPr="006E133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1332" w:rsidRPr="006E1332" w:rsidTr="003C2224">
        <w:trPr>
          <w:jc w:val="center"/>
        </w:trPr>
        <w:tc>
          <w:tcPr>
            <w:tcW w:w="9752" w:type="dxa"/>
            <w:gridSpan w:val="2"/>
          </w:tcPr>
          <w:p w:rsidR="001649BE" w:rsidRPr="006E1332" w:rsidRDefault="001649BE" w:rsidP="003C2224">
            <w:pPr>
              <w:keepNext/>
            </w:pPr>
          </w:p>
        </w:tc>
      </w:tr>
      <w:tr w:rsidR="006E1332" w:rsidRPr="006E1332" w:rsidTr="003C2224">
        <w:trPr>
          <w:jc w:val="center"/>
        </w:trPr>
        <w:tc>
          <w:tcPr>
            <w:tcW w:w="4876" w:type="dxa"/>
            <w:hideMark/>
          </w:tcPr>
          <w:p w:rsidR="001649BE" w:rsidRPr="006E1332" w:rsidRDefault="001649BE" w:rsidP="003C2224">
            <w:pPr>
              <w:pStyle w:val="ColumnHeading"/>
              <w:keepNext/>
            </w:pPr>
            <w:r w:rsidRPr="006E1332">
              <w:t>Veljavno besedilo</w:t>
            </w:r>
          </w:p>
        </w:tc>
        <w:tc>
          <w:tcPr>
            <w:tcW w:w="4876" w:type="dxa"/>
            <w:hideMark/>
          </w:tcPr>
          <w:p w:rsidR="001649BE" w:rsidRPr="006E1332" w:rsidRDefault="001649BE" w:rsidP="003C2224">
            <w:pPr>
              <w:pStyle w:val="ColumnHeading"/>
              <w:keepNext/>
            </w:pPr>
            <w:r w:rsidRPr="006E1332">
              <w:t>Predlog spremembe</w:t>
            </w:r>
          </w:p>
        </w:tc>
      </w:tr>
      <w:tr w:rsidR="006E1332" w:rsidRPr="006E1332" w:rsidTr="003C2224">
        <w:trPr>
          <w:jc w:val="center"/>
        </w:trPr>
        <w:tc>
          <w:tcPr>
            <w:tcW w:w="4876" w:type="dxa"/>
          </w:tcPr>
          <w:p w:rsidR="001649BE" w:rsidRPr="006E1332" w:rsidRDefault="001649BE" w:rsidP="003C2224">
            <w:pPr>
              <w:pStyle w:val="Normal6"/>
            </w:pPr>
          </w:p>
        </w:tc>
        <w:tc>
          <w:tcPr>
            <w:tcW w:w="4876" w:type="dxa"/>
            <w:hideMark/>
          </w:tcPr>
          <w:p w:rsidR="001649BE" w:rsidRPr="006E1332" w:rsidRDefault="001649BE" w:rsidP="003C2224">
            <w:pPr>
              <w:pStyle w:val="Normal6"/>
              <w:rPr>
                <w:szCs w:val="24"/>
              </w:rPr>
            </w:pPr>
            <w:r w:rsidRPr="006E1332">
              <w:rPr>
                <w:b/>
                <w:i/>
              </w:rPr>
              <w:t>(-1)</w:t>
            </w:r>
            <w:r w:rsidRPr="006E1332">
              <w:rPr>
                <w:b/>
                <w:i/>
              </w:rPr>
              <w:tab/>
              <w:t>Člen 2 se nadomesti z naslednjim:</w:t>
            </w:r>
          </w:p>
        </w:tc>
      </w:tr>
      <w:tr w:rsidR="006E1332" w:rsidRPr="006E1332" w:rsidTr="003C2224">
        <w:trPr>
          <w:jc w:val="center"/>
        </w:trPr>
        <w:tc>
          <w:tcPr>
            <w:tcW w:w="4876" w:type="dxa"/>
          </w:tcPr>
          <w:p w:rsidR="001649BE" w:rsidRPr="006E1332" w:rsidRDefault="001649BE" w:rsidP="003C2224">
            <w:pPr>
              <w:pStyle w:val="Normal6"/>
            </w:pPr>
            <w:r w:rsidRPr="006E1332">
              <w:t>Člen 2</w:t>
            </w:r>
          </w:p>
        </w:tc>
        <w:tc>
          <w:tcPr>
            <w:tcW w:w="4876" w:type="dxa"/>
            <w:hideMark/>
          </w:tcPr>
          <w:p w:rsidR="001649BE" w:rsidRPr="006E1332" w:rsidRDefault="001649BE" w:rsidP="003C2224">
            <w:pPr>
              <w:pStyle w:val="Normal6"/>
              <w:rPr>
                <w:szCs w:val="24"/>
              </w:rPr>
            </w:pPr>
            <w:r w:rsidRPr="006E1332">
              <w:rPr>
                <w:b/>
                <w:i/>
              </w:rPr>
              <w:t>„</w:t>
            </w:r>
            <w:r w:rsidRPr="006E1332">
              <w:t>Člen 2</w:t>
            </w:r>
          </w:p>
        </w:tc>
      </w:tr>
      <w:tr w:rsidR="006E1332" w:rsidRPr="006E1332" w:rsidTr="003C2224">
        <w:trPr>
          <w:jc w:val="center"/>
        </w:trPr>
        <w:tc>
          <w:tcPr>
            <w:tcW w:w="4876" w:type="dxa"/>
          </w:tcPr>
          <w:p w:rsidR="001649BE" w:rsidRPr="006E1332" w:rsidRDefault="001649BE" w:rsidP="003C2224">
            <w:pPr>
              <w:pStyle w:val="Normal6"/>
            </w:pPr>
            <w:r w:rsidRPr="006E1332">
              <w:t>Pred nastopom funkcije vsak sodnik pred Sodiščem, ki javno zaseda, priseže, da bo svoje naloge opravljal nepristransko in vestno ter da bo varoval tajnost posvetovanj Sodišča.</w:t>
            </w:r>
          </w:p>
        </w:tc>
        <w:tc>
          <w:tcPr>
            <w:tcW w:w="4876" w:type="dxa"/>
            <w:hideMark/>
          </w:tcPr>
          <w:p w:rsidR="001649BE" w:rsidRPr="006E1332" w:rsidRDefault="001649BE" w:rsidP="003C2224">
            <w:pPr>
              <w:pStyle w:val="Normal6"/>
              <w:rPr>
                <w:szCs w:val="24"/>
              </w:rPr>
            </w:pPr>
            <w:r w:rsidRPr="006E1332">
              <w:t>Pred nastopom funkcije vsak sodnik pred Sodiščem, ki javno zaseda, priseže, da bo svoje naloge opravljal nepristransko in vestno ter da bo</w:t>
            </w:r>
            <w:r w:rsidRPr="006E1332">
              <w:rPr>
                <w:b/>
                <w:i/>
              </w:rPr>
              <w:t>, brez poseganja v člen 36(2),</w:t>
            </w:r>
            <w:r w:rsidRPr="006E1332">
              <w:t xml:space="preserve"> varoval tajnost posvetovanj Sodišča.</w:t>
            </w:r>
            <w:r w:rsidRPr="006E1332">
              <w:rPr>
                <w:b/>
                <w:i/>
              </w:rPr>
              <w:t xml:space="preserve"> “</w:t>
            </w:r>
          </w:p>
        </w:tc>
      </w:tr>
    </w:tbl>
    <w:p w:rsidR="001649BE" w:rsidRPr="006E1332" w:rsidRDefault="001649BE" w:rsidP="004C54D0">
      <w:r w:rsidRPr="006E1332">
        <w:rPr>
          <w:rStyle w:val="HideTWBExt"/>
        </w:rPr>
        <w:t>&lt;/Amend&gt;</w:t>
      </w:r>
    </w:p>
    <w:p w:rsidR="001649BE" w:rsidRPr="006E1332" w:rsidRDefault="001649BE" w:rsidP="004C54D0">
      <w:pPr>
        <w:pStyle w:val="AMNumberTabs"/>
        <w:keepNext/>
      </w:pPr>
      <w:r w:rsidRPr="006E1332">
        <w:rPr>
          <w:rStyle w:val="HideTWBExt"/>
          <w:b w:val="0"/>
        </w:rPr>
        <w:t>&lt;Amend&gt;</w:t>
      </w:r>
      <w:r w:rsidRPr="006E1332">
        <w:t>Predlog spremembe</w:t>
      </w:r>
      <w:r w:rsidRPr="006E1332">
        <w:tab/>
      </w:r>
      <w:r w:rsidRPr="006E1332">
        <w:tab/>
      </w:r>
      <w:r w:rsidRPr="006E1332">
        <w:rPr>
          <w:rStyle w:val="HideTWBExt"/>
          <w:b w:val="0"/>
        </w:rPr>
        <w:t>&lt;NumAm&gt;</w:t>
      </w:r>
      <w:r w:rsidRPr="006E1332">
        <w:t>2</w:t>
      </w:r>
      <w:r w:rsidRPr="006E1332">
        <w:rPr>
          <w:rStyle w:val="HideTWBExt"/>
          <w:b w:val="0"/>
        </w:rPr>
        <w:t>&lt;/NumAm&gt;</w:t>
      </w:r>
    </w:p>
    <w:p w:rsidR="001649BE" w:rsidRPr="006E1332" w:rsidRDefault="001649BE" w:rsidP="004C54D0">
      <w:pPr>
        <w:pStyle w:val="NormalBold12b"/>
        <w:keepNext/>
      </w:pPr>
      <w:r w:rsidRPr="006E1332">
        <w:rPr>
          <w:rStyle w:val="HideTWBExt"/>
          <w:b w:val="0"/>
        </w:rPr>
        <w:t>&lt;DocAmend&gt;</w:t>
      </w:r>
      <w:r w:rsidRPr="006E1332">
        <w:t>Osnutek uredbe</w:t>
      </w:r>
      <w:r w:rsidRPr="006E1332">
        <w:rPr>
          <w:rStyle w:val="HideTWBExt"/>
          <w:b w:val="0"/>
        </w:rPr>
        <w:t>&lt;/DocAmend&gt;</w:t>
      </w:r>
    </w:p>
    <w:p w:rsidR="001649BE" w:rsidRPr="006E1332" w:rsidRDefault="001649BE" w:rsidP="004C54D0">
      <w:pPr>
        <w:pStyle w:val="NormalBold"/>
      </w:pPr>
      <w:r w:rsidRPr="006E1332">
        <w:rPr>
          <w:rStyle w:val="HideTWBExt"/>
          <w:b w:val="0"/>
        </w:rPr>
        <w:t>&lt;Article&gt;</w:t>
      </w:r>
      <w:r w:rsidRPr="006E1332">
        <w:t>Člen 1 – odstavek 1 – točka -1 a (novo)</w:t>
      </w:r>
      <w:r w:rsidRPr="006E1332">
        <w:rPr>
          <w:rStyle w:val="HideTWBExt"/>
          <w:b w:val="0"/>
        </w:rPr>
        <w:t>&lt;/Article&gt;</w:t>
      </w:r>
    </w:p>
    <w:p w:rsidR="001649BE" w:rsidRPr="006E1332" w:rsidRDefault="001649BE" w:rsidP="004C54D0">
      <w:pPr>
        <w:keepNext/>
      </w:pPr>
      <w:r w:rsidRPr="006E1332">
        <w:rPr>
          <w:rStyle w:val="HideTWBExt"/>
        </w:rPr>
        <w:t>&lt;DocAmend2&gt;</w:t>
      </w:r>
      <w:r w:rsidRPr="006E1332">
        <w:t>Protokol št. 3 o Statutu Sodišča Evropske unije</w:t>
      </w:r>
      <w:r w:rsidRPr="006E1332">
        <w:rPr>
          <w:rStyle w:val="HideTWBExt"/>
        </w:rPr>
        <w:t>&lt;/DocAmend2&gt;</w:t>
      </w:r>
    </w:p>
    <w:p w:rsidR="001649BE" w:rsidRPr="006E1332" w:rsidRDefault="001649BE" w:rsidP="004C54D0">
      <w:r w:rsidRPr="006E1332">
        <w:rPr>
          <w:rStyle w:val="HideTWBExt"/>
        </w:rPr>
        <w:t>&lt;Article2&gt;</w:t>
      </w:r>
      <w:r w:rsidRPr="006E1332">
        <w:t>Člen 8</w:t>
      </w:r>
      <w:r w:rsidRPr="006E133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1332" w:rsidRPr="006E1332" w:rsidTr="003C2224">
        <w:trPr>
          <w:jc w:val="center"/>
        </w:trPr>
        <w:tc>
          <w:tcPr>
            <w:tcW w:w="9752" w:type="dxa"/>
            <w:gridSpan w:val="2"/>
          </w:tcPr>
          <w:p w:rsidR="001649BE" w:rsidRPr="006E1332" w:rsidRDefault="001649BE" w:rsidP="003C2224">
            <w:pPr>
              <w:keepNext/>
            </w:pPr>
          </w:p>
        </w:tc>
      </w:tr>
      <w:tr w:rsidR="006E1332" w:rsidRPr="006E1332" w:rsidTr="003C2224">
        <w:trPr>
          <w:jc w:val="center"/>
        </w:trPr>
        <w:tc>
          <w:tcPr>
            <w:tcW w:w="4876" w:type="dxa"/>
            <w:hideMark/>
          </w:tcPr>
          <w:p w:rsidR="001649BE" w:rsidRPr="006E1332" w:rsidRDefault="001649BE" w:rsidP="003C2224">
            <w:pPr>
              <w:pStyle w:val="ColumnHeading"/>
              <w:keepNext/>
            </w:pPr>
            <w:r w:rsidRPr="006E1332">
              <w:t>Veljavno besedilo</w:t>
            </w:r>
          </w:p>
        </w:tc>
        <w:tc>
          <w:tcPr>
            <w:tcW w:w="4876" w:type="dxa"/>
            <w:hideMark/>
          </w:tcPr>
          <w:p w:rsidR="001649BE" w:rsidRPr="006E1332" w:rsidRDefault="001649BE" w:rsidP="003C2224">
            <w:pPr>
              <w:pStyle w:val="ColumnHeading"/>
              <w:keepNext/>
            </w:pPr>
            <w:r w:rsidRPr="006E1332">
              <w:t>Predlog spremembe</w:t>
            </w:r>
          </w:p>
        </w:tc>
      </w:tr>
      <w:tr w:rsidR="006E1332" w:rsidRPr="006E1332" w:rsidTr="003C2224">
        <w:trPr>
          <w:jc w:val="center"/>
        </w:trPr>
        <w:tc>
          <w:tcPr>
            <w:tcW w:w="4876" w:type="dxa"/>
          </w:tcPr>
          <w:p w:rsidR="001649BE" w:rsidRPr="006E1332" w:rsidRDefault="001649BE" w:rsidP="003C2224">
            <w:pPr>
              <w:pStyle w:val="Normal6"/>
            </w:pPr>
          </w:p>
        </w:tc>
        <w:tc>
          <w:tcPr>
            <w:tcW w:w="4876" w:type="dxa"/>
            <w:hideMark/>
          </w:tcPr>
          <w:p w:rsidR="001649BE" w:rsidRPr="006E1332" w:rsidRDefault="001649BE" w:rsidP="003C2224">
            <w:pPr>
              <w:pStyle w:val="Normal6"/>
              <w:rPr>
                <w:szCs w:val="24"/>
              </w:rPr>
            </w:pPr>
            <w:r w:rsidRPr="006E1332">
              <w:rPr>
                <w:b/>
                <w:i/>
              </w:rPr>
              <w:t>(-1 a)</w:t>
            </w:r>
            <w:r w:rsidRPr="006E1332">
              <w:rPr>
                <w:b/>
                <w:i/>
              </w:rPr>
              <w:tab/>
              <w:t>Člen 8 se nadomesti z naslednjim:</w:t>
            </w:r>
          </w:p>
        </w:tc>
      </w:tr>
      <w:tr w:rsidR="006E1332" w:rsidRPr="006E1332" w:rsidTr="003C2224">
        <w:trPr>
          <w:jc w:val="center"/>
        </w:trPr>
        <w:tc>
          <w:tcPr>
            <w:tcW w:w="4876" w:type="dxa"/>
          </w:tcPr>
          <w:p w:rsidR="001649BE" w:rsidRPr="006E1332" w:rsidRDefault="001649BE" w:rsidP="003C2224">
            <w:pPr>
              <w:pStyle w:val="Normal6"/>
            </w:pPr>
            <w:r w:rsidRPr="006E1332">
              <w:t>Člen 8</w:t>
            </w:r>
          </w:p>
        </w:tc>
        <w:tc>
          <w:tcPr>
            <w:tcW w:w="4876" w:type="dxa"/>
            <w:hideMark/>
          </w:tcPr>
          <w:p w:rsidR="001649BE" w:rsidRPr="006E1332" w:rsidRDefault="001649BE" w:rsidP="003C2224">
            <w:pPr>
              <w:pStyle w:val="Normal6"/>
              <w:rPr>
                <w:szCs w:val="24"/>
              </w:rPr>
            </w:pPr>
            <w:r w:rsidRPr="006E1332">
              <w:rPr>
                <w:b/>
                <w:i/>
              </w:rPr>
              <w:t>„</w:t>
            </w:r>
            <w:r w:rsidRPr="006E1332">
              <w:t>Člen 8</w:t>
            </w:r>
          </w:p>
        </w:tc>
      </w:tr>
      <w:tr w:rsidR="006E1332" w:rsidRPr="006E1332" w:rsidTr="003C2224">
        <w:trPr>
          <w:jc w:val="center"/>
        </w:trPr>
        <w:tc>
          <w:tcPr>
            <w:tcW w:w="4876" w:type="dxa"/>
          </w:tcPr>
          <w:p w:rsidR="001649BE" w:rsidRPr="006E1332" w:rsidRDefault="001649BE" w:rsidP="003C2224">
            <w:pPr>
              <w:pStyle w:val="Normal6"/>
            </w:pPr>
            <w:r w:rsidRPr="006E1332">
              <w:t>Določbe členov 2 do 7 se uporabljajo za generalne pravobranilce.</w:t>
            </w:r>
          </w:p>
        </w:tc>
        <w:tc>
          <w:tcPr>
            <w:tcW w:w="4876" w:type="dxa"/>
            <w:hideMark/>
          </w:tcPr>
          <w:p w:rsidR="001649BE" w:rsidRPr="006E1332" w:rsidRDefault="001649BE" w:rsidP="003C2224">
            <w:pPr>
              <w:pStyle w:val="Normal6"/>
              <w:rPr>
                <w:szCs w:val="24"/>
              </w:rPr>
            </w:pPr>
            <w:r w:rsidRPr="006E1332">
              <w:t xml:space="preserve">Določbe členov 2 do 7 se </w:t>
            </w:r>
            <w:r w:rsidRPr="006E1332">
              <w:rPr>
                <w:b/>
                <w:i/>
              </w:rPr>
              <w:t xml:space="preserve">smiselno </w:t>
            </w:r>
            <w:r w:rsidRPr="006E1332">
              <w:t>uporabljajo za generalne pravobranilce.</w:t>
            </w:r>
            <w:r w:rsidRPr="006E1332">
              <w:rPr>
                <w:b/>
                <w:i/>
              </w:rPr>
              <w:t>“</w:t>
            </w:r>
          </w:p>
        </w:tc>
      </w:tr>
    </w:tbl>
    <w:p w:rsidR="001649BE" w:rsidRPr="006E1332" w:rsidRDefault="001649BE" w:rsidP="004C54D0">
      <w:r w:rsidRPr="006E1332">
        <w:rPr>
          <w:rStyle w:val="HideTWBExt"/>
        </w:rPr>
        <w:t>&lt;/Amend&gt;</w:t>
      </w:r>
    </w:p>
    <w:p w:rsidR="001649BE" w:rsidRPr="006E1332" w:rsidRDefault="001649BE" w:rsidP="004C54D0"/>
    <w:p w:rsidR="001649BE" w:rsidRPr="006E1332" w:rsidRDefault="001649BE" w:rsidP="004C54D0">
      <w:pPr>
        <w:pStyle w:val="AMNumberTabs"/>
      </w:pPr>
      <w:r w:rsidRPr="006E1332">
        <w:rPr>
          <w:rStyle w:val="HideTWBExt"/>
          <w:b w:val="0"/>
        </w:rPr>
        <w:t>&lt;Amend&gt;</w:t>
      </w:r>
      <w:r w:rsidRPr="006E1332">
        <w:t>Predlog spremembe</w:t>
      </w:r>
      <w:r w:rsidRPr="006E1332">
        <w:tab/>
      </w:r>
      <w:r w:rsidRPr="006E1332">
        <w:tab/>
      </w:r>
      <w:r w:rsidRPr="006E1332">
        <w:rPr>
          <w:rStyle w:val="HideTWBExt"/>
          <w:b w:val="0"/>
        </w:rPr>
        <w:t>&lt;NumAm&gt;</w:t>
      </w:r>
      <w:r w:rsidRPr="006E1332">
        <w:t>3</w:t>
      </w:r>
      <w:r w:rsidRPr="006E1332">
        <w:rPr>
          <w:rStyle w:val="HideTWBExt"/>
          <w:b w:val="0"/>
        </w:rPr>
        <w:t>&lt;/NumAm&gt;</w:t>
      </w:r>
    </w:p>
    <w:p w:rsidR="001649BE" w:rsidRPr="006E1332" w:rsidRDefault="001649BE" w:rsidP="004C54D0">
      <w:pPr>
        <w:pStyle w:val="NormalBold12b"/>
      </w:pPr>
      <w:r w:rsidRPr="006E1332">
        <w:rPr>
          <w:rStyle w:val="HideTWBExt"/>
          <w:b w:val="0"/>
        </w:rPr>
        <w:t>&lt;DocAmend&gt;</w:t>
      </w:r>
      <w:r w:rsidRPr="006E1332">
        <w:t>Osnutek uredbe</w:t>
      </w:r>
      <w:r w:rsidRPr="006E1332">
        <w:rPr>
          <w:rStyle w:val="HideTWBExt"/>
          <w:b w:val="0"/>
        </w:rPr>
        <w:t>&lt;/DocAmend&gt;</w:t>
      </w:r>
    </w:p>
    <w:p w:rsidR="001649BE" w:rsidRPr="006E1332" w:rsidRDefault="001649BE" w:rsidP="004C54D0">
      <w:pPr>
        <w:pStyle w:val="NormalBold"/>
      </w:pPr>
      <w:r w:rsidRPr="006E1332">
        <w:rPr>
          <w:rStyle w:val="HideTWBExt"/>
          <w:b w:val="0"/>
        </w:rPr>
        <w:t>&lt;Article&gt;</w:t>
      </w:r>
      <w:r w:rsidRPr="006E1332">
        <w:t>Člen 1 – odstavek 1 – točka -1 b (novo)</w:t>
      </w:r>
      <w:r w:rsidRPr="006E1332">
        <w:rPr>
          <w:rStyle w:val="HideTWBExt"/>
          <w:b w:val="0"/>
        </w:rPr>
        <w:t>&lt;/Article&gt;</w:t>
      </w:r>
    </w:p>
    <w:p w:rsidR="001649BE" w:rsidRPr="006E1332" w:rsidRDefault="001649BE" w:rsidP="004C54D0">
      <w:pPr>
        <w:keepNext/>
      </w:pPr>
      <w:r w:rsidRPr="006E1332">
        <w:rPr>
          <w:rStyle w:val="HideTWBExt"/>
        </w:rPr>
        <w:t>&lt;DocAmend2&gt;</w:t>
      </w:r>
      <w:r w:rsidRPr="006E1332">
        <w:t>Protokol št. 3 o Statutu Sodišča Evropske unije</w:t>
      </w:r>
      <w:r w:rsidRPr="006E1332">
        <w:rPr>
          <w:rStyle w:val="HideTWBExt"/>
        </w:rPr>
        <w:t>&lt;/DocAmend2&gt;</w:t>
      </w:r>
    </w:p>
    <w:p w:rsidR="001649BE" w:rsidRPr="006E1332" w:rsidRDefault="001649BE" w:rsidP="004C54D0">
      <w:r w:rsidRPr="006E1332">
        <w:rPr>
          <w:rStyle w:val="HideTWBExt"/>
        </w:rPr>
        <w:t>&lt;Article2&gt;</w:t>
      </w:r>
      <w:r w:rsidRPr="006E1332">
        <w:t>Člen 35</w:t>
      </w:r>
      <w:r w:rsidRPr="006E133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1332" w:rsidRPr="006E1332" w:rsidTr="003C2224">
        <w:trPr>
          <w:trHeight w:hRule="exact" w:val="240"/>
          <w:jc w:val="center"/>
        </w:trPr>
        <w:tc>
          <w:tcPr>
            <w:tcW w:w="9752" w:type="dxa"/>
            <w:gridSpan w:val="2"/>
          </w:tcPr>
          <w:p w:rsidR="001649BE" w:rsidRPr="006E1332" w:rsidRDefault="001649BE" w:rsidP="003C2224"/>
        </w:tc>
      </w:tr>
      <w:tr w:rsidR="006E1332" w:rsidRPr="006E1332" w:rsidTr="003C2224">
        <w:trPr>
          <w:trHeight w:val="240"/>
          <w:jc w:val="center"/>
        </w:trPr>
        <w:tc>
          <w:tcPr>
            <w:tcW w:w="4876" w:type="dxa"/>
          </w:tcPr>
          <w:p w:rsidR="001649BE" w:rsidRPr="006E1332" w:rsidRDefault="001649BE" w:rsidP="003C2224">
            <w:pPr>
              <w:pStyle w:val="ColumnHeading"/>
            </w:pPr>
            <w:r w:rsidRPr="006E1332">
              <w:t>Veljavno besedilo</w:t>
            </w:r>
          </w:p>
        </w:tc>
        <w:tc>
          <w:tcPr>
            <w:tcW w:w="4876" w:type="dxa"/>
          </w:tcPr>
          <w:p w:rsidR="001649BE" w:rsidRPr="006E1332" w:rsidRDefault="001649BE" w:rsidP="003C2224">
            <w:pPr>
              <w:pStyle w:val="ColumnHeading"/>
            </w:pPr>
            <w:r w:rsidRPr="006E1332">
              <w:t>Predlog spremembe</w:t>
            </w:r>
          </w:p>
        </w:tc>
      </w:tr>
      <w:tr w:rsidR="006E1332" w:rsidRPr="006E1332" w:rsidTr="003C2224">
        <w:trPr>
          <w:jc w:val="center"/>
        </w:trPr>
        <w:tc>
          <w:tcPr>
            <w:tcW w:w="4876" w:type="dxa"/>
          </w:tcPr>
          <w:p w:rsidR="001649BE" w:rsidRPr="006E1332" w:rsidRDefault="001649BE" w:rsidP="003C2224">
            <w:pPr>
              <w:pStyle w:val="Normal6"/>
            </w:pPr>
          </w:p>
        </w:tc>
        <w:tc>
          <w:tcPr>
            <w:tcW w:w="4876" w:type="dxa"/>
          </w:tcPr>
          <w:p w:rsidR="001649BE" w:rsidRPr="006E1332" w:rsidRDefault="001649BE" w:rsidP="003C2224">
            <w:pPr>
              <w:pStyle w:val="Normal6"/>
            </w:pPr>
            <w:r w:rsidRPr="006E1332">
              <w:rPr>
                <w:b/>
                <w:i/>
              </w:rPr>
              <w:t>(-1b)</w:t>
            </w:r>
            <w:r w:rsidRPr="006E1332">
              <w:tab/>
            </w:r>
            <w:r w:rsidRPr="006E1332">
              <w:rPr>
                <w:b/>
                <w:i/>
              </w:rPr>
              <w:t xml:space="preserve">Člen 35 se nadomesti z </w:t>
            </w:r>
            <w:r w:rsidRPr="006E1332">
              <w:rPr>
                <w:b/>
                <w:i/>
              </w:rPr>
              <w:lastRenderedPageBreak/>
              <w:t>naslednjim:</w:t>
            </w:r>
          </w:p>
        </w:tc>
      </w:tr>
      <w:tr w:rsidR="006E1332" w:rsidRPr="006E1332" w:rsidTr="003C2224">
        <w:trPr>
          <w:jc w:val="center"/>
        </w:trPr>
        <w:tc>
          <w:tcPr>
            <w:tcW w:w="4876" w:type="dxa"/>
          </w:tcPr>
          <w:p w:rsidR="001649BE" w:rsidRPr="006E1332" w:rsidRDefault="001649BE" w:rsidP="003C2224">
            <w:pPr>
              <w:pStyle w:val="Normal6"/>
            </w:pPr>
            <w:r w:rsidRPr="006E1332">
              <w:lastRenderedPageBreak/>
              <w:t>Člen 35</w:t>
            </w:r>
          </w:p>
        </w:tc>
        <w:tc>
          <w:tcPr>
            <w:tcW w:w="4876" w:type="dxa"/>
          </w:tcPr>
          <w:p w:rsidR="001649BE" w:rsidRPr="006E1332" w:rsidRDefault="001649BE" w:rsidP="003C2224">
            <w:pPr>
              <w:pStyle w:val="Normal6"/>
            </w:pPr>
            <w:r w:rsidRPr="006E1332">
              <w:t>Člen 35</w:t>
            </w:r>
          </w:p>
        </w:tc>
      </w:tr>
      <w:tr w:rsidR="006E1332" w:rsidRPr="006E1332" w:rsidTr="003C2224">
        <w:trPr>
          <w:jc w:val="center"/>
        </w:trPr>
        <w:tc>
          <w:tcPr>
            <w:tcW w:w="4876" w:type="dxa"/>
          </w:tcPr>
          <w:p w:rsidR="001649BE" w:rsidRPr="006E1332" w:rsidRDefault="001649BE" w:rsidP="003C2224">
            <w:pPr>
              <w:pStyle w:val="Normal6"/>
            </w:pPr>
            <w:r w:rsidRPr="006E1332">
              <w:t>Posvetovanja Sodišča so in ostanejo tajna.</w:t>
            </w:r>
          </w:p>
        </w:tc>
        <w:tc>
          <w:tcPr>
            <w:tcW w:w="4876" w:type="dxa"/>
          </w:tcPr>
          <w:p w:rsidR="001649BE" w:rsidRPr="006E1332" w:rsidRDefault="001649BE" w:rsidP="003C2224">
            <w:pPr>
              <w:pStyle w:val="Normal6"/>
            </w:pPr>
            <w:r w:rsidRPr="006E1332">
              <w:t>Posvetovanja Sodišča so in ostanejo tajna</w:t>
            </w:r>
            <w:r w:rsidRPr="006E1332">
              <w:rPr>
                <w:b/>
                <w:i/>
              </w:rPr>
              <w:t xml:space="preserve"> brez poseganja v člen 36(2)</w:t>
            </w:r>
            <w:r w:rsidRPr="006E1332">
              <w:t>.</w:t>
            </w:r>
            <w:r w:rsidRPr="006E1332">
              <w:rPr>
                <w:b/>
                <w:i/>
              </w:rPr>
              <w:t>“</w:t>
            </w:r>
          </w:p>
        </w:tc>
      </w:tr>
    </w:tbl>
    <w:p w:rsidR="001649BE" w:rsidRPr="006E1332" w:rsidRDefault="001649BE" w:rsidP="004C54D0">
      <w:r w:rsidRPr="006E1332">
        <w:rPr>
          <w:rStyle w:val="HideTWBExt"/>
        </w:rPr>
        <w:t>&lt;/Amend&gt;</w:t>
      </w:r>
    </w:p>
    <w:p w:rsidR="001649BE" w:rsidRPr="006E1332" w:rsidRDefault="001649BE" w:rsidP="004C54D0">
      <w:pPr>
        <w:pStyle w:val="AMNumberTabs"/>
        <w:keepNext/>
      </w:pPr>
      <w:r w:rsidRPr="006E1332">
        <w:rPr>
          <w:rStyle w:val="HideTWBExt"/>
          <w:b w:val="0"/>
        </w:rPr>
        <w:t>&lt;Amend&gt;</w:t>
      </w:r>
      <w:r w:rsidRPr="006E1332">
        <w:t>Predlog spremembe</w:t>
      </w:r>
      <w:r w:rsidRPr="006E1332">
        <w:tab/>
      </w:r>
      <w:r w:rsidRPr="006E1332">
        <w:tab/>
      </w:r>
      <w:r w:rsidRPr="006E1332">
        <w:rPr>
          <w:rStyle w:val="HideTWBExt"/>
          <w:b w:val="0"/>
        </w:rPr>
        <w:t>&lt;NumAm&gt;</w:t>
      </w:r>
      <w:r w:rsidRPr="006E1332">
        <w:t>4</w:t>
      </w:r>
      <w:r w:rsidRPr="006E1332">
        <w:rPr>
          <w:rStyle w:val="HideTWBExt"/>
          <w:b w:val="0"/>
        </w:rPr>
        <w:t>&lt;/NumAm&gt;</w:t>
      </w:r>
    </w:p>
    <w:p w:rsidR="001649BE" w:rsidRPr="006E1332" w:rsidRDefault="001649BE" w:rsidP="004C54D0">
      <w:pPr>
        <w:pStyle w:val="NormalBold12b"/>
        <w:keepNext/>
      </w:pPr>
      <w:r w:rsidRPr="006E1332">
        <w:rPr>
          <w:rStyle w:val="HideTWBExt"/>
          <w:b w:val="0"/>
        </w:rPr>
        <w:t>&lt;DocAmend&gt;</w:t>
      </w:r>
      <w:r w:rsidRPr="006E1332">
        <w:t>Osnutek uredbe</w:t>
      </w:r>
      <w:r w:rsidRPr="006E1332">
        <w:rPr>
          <w:rStyle w:val="HideTWBExt"/>
          <w:b w:val="0"/>
        </w:rPr>
        <w:t>&lt;/DocAmend&gt;</w:t>
      </w:r>
    </w:p>
    <w:p w:rsidR="001649BE" w:rsidRPr="006E1332" w:rsidRDefault="001649BE" w:rsidP="004C54D0">
      <w:pPr>
        <w:pStyle w:val="NormalBold"/>
      </w:pPr>
      <w:r w:rsidRPr="006E1332">
        <w:rPr>
          <w:rStyle w:val="HideTWBExt"/>
          <w:b w:val="0"/>
        </w:rPr>
        <w:t>&lt;Article&gt;</w:t>
      </w:r>
      <w:r w:rsidRPr="006E1332">
        <w:t>Člen 2 a (novo)</w:t>
      </w:r>
      <w:r w:rsidRPr="006E133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1332" w:rsidRPr="006E1332" w:rsidTr="003C2224">
        <w:trPr>
          <w:jc w:val="center"/>
        </w:trPr>
        <w:tc>
          <w:tcPr>
            <w:tcW w:w="9752" w:type="dxa"/>
            <w:gridSpan w:val="2"/>
          </w:tcPr>
          <w:p w:rsidR="001649BE" w:rsidRPr="006E1332" w:rsidRDefault="001649BE" w:rsidP="003C2224">
            <w:pPr>
              <w:keepNext/>
            </w:pPr>
          </w:p>
        </w:tc>
      </w:tr>
      <w:tr w:rsidR="006E1332" w:rsidRPr="006E1332" w:rsidTr="003C2224">
        <w:trPr>
          <w:jc w:val="center"/>
        </w:trPr>
        <w:tc>
          <w:tcPr>
            <w:tcW w:w="4876" w:type="dxa"/>
            <w:hideMark/>
          </w:tcPr>
          <w:p w:rsidR="001649BE" w:rsidRPr="006E1332" w:rsidRDefault="001649BE" w:rsidP="003C2224">
            <w:pPr>
              <w:pStyle w:val="ColumnHeading"/>
              <w:keepNext/>
            </w:pPr>
            <w:r w:rsidRPr="006E1332">
              <w:t>Osnutek Sodišča</w:t>
            </w:r>
          </w:p>
        </w:tc>
        <w:tc>
          <w:tcPr>
            <w:tcW w:w="4876" w:type="dxa"/>
            <w:hideMark/>
          </w:tcPr>
          <w:p w:rsidR="001649BE" w:rsidRPr="006E1332" w:rsidRDefault="001649BE" w:rsidP="003C2224">
            <w:pPr>
              <w:pStyle w:val="ColumnHeading"/>
              <w:keepNext/>
            </w:pPr>
            <w:r w:rsidRPr="006E1332">
              <w:t>Predlog spremembe</w:t>
            </w:r>
          </w:p>
        </w:tc>
      </w:tr>
      <w:tr w:rsidR="006E1332" w:rsidRPr="006E1332" w:rsidTr="003C2224">
        <w:trPr>
          <w:jc w:val="center"/>
        </w:trPr>
        <w:tc>
          <w:tcPr>
            <w:tcW w:w="4876" w:type="dxa"/>
          </w:tcPr>
          <w:p w:rsidR="001649BE" w:rsidRPr="006E1332" w:rsidRDefault="001649BE" w:rsidP="003C2224">
            <w:pPr>
              <w:pStyle w:val="Normal6"/>
            </w:pPr>
          </w:p>
        </w:tc>
        <w:tc>
          <w:tcPr>
            <w:tcW w:w="4876" w:type="dxa"/>
            <w:hideMark/>
          </w:tcPr>
          <w:p w:rsidR="001649BE" w:rsidRPr="006E1332" w:rsidRDefault="001649BE" w:rsidP="003C2224">
            <w:pPr>
              <w:pStyle w:val="Normal6"/>
              <w:jc w:val="center"/>
              <w:rPr>
                <w:szCs w:val="24"/>
              </w:rPr>
            </w:pPr>
            <w:r w:rsidRPr="006E1332">
              <w:rPr>
                <w:b/>
                <w:i/>
              </w:rPr>
              <w:t>Člen 2a</w:t>
            </w:r>
          </w:p>
        </w:tc>
      </w:tr>
      <w:tr w:rsidR="006E1332" w:rsidRPr="006E1332" w:rsidTr="003C2224">
        <w:trPr>
          <w:jc w:val="center"/>
        </w:trPr>
        <w:tc>
          <w:tcPr>
            <w:tcW w:w="4876" w:type="dxa"/>
          </w:tcPr>
          <w:p w:rsidR="001649BE" w:rsidRPr="006E1332" w:rsidRDefault="001649BE" w:rsidP="003C2224">
            <w:pPr>
              <w:pStyle w:val="Normal6"/>
            </w:pPr>
          </w:p>
        </w:tc>
        <w:tc>
          <w:tcPr>
            <w:tcW w:w="4876" w:type="dxa"/>
            <w:hideMark/>
          </w:tcPr>
          <w:p w:rsidR="001649BE" w:rsidRPr="006E1332" w:rsidRDefault="001649BE" w:rsidP="003C2224">
            <w:pPr>
              <w:pStyle w:val="Normal6"/>
              <w:rPr>
                <w:szCs w:val="24"/>
              </w:rPr>
            </w:pPr>
            <w:r w:rsidRPr="006E1332">
              <w:rPr>
                <w:b/>
                <w:i/>
              </w:rPr>
              <w:t>Členi 2, 8, 35, 36 in 47 Statuta, kakor je spremenjen s to uredbo, se uporabljajo za zadeve, ki jih Sodišče ali Splošno sodišče začne obravnavati po datumu začetka veljavnosti te uredbe.</w:t>
            </w:r>
          </w:p>
        </w:tc>
      </w:tr>
    </w:tbl>
    <w:p w:rsidR="001649BE" w:rsidRPr="006E1332" w:rsidRDefault="001649BE" w:rsidP="004C54D0">
      <w:r w:rsidRPr="006E1332">
        <w:rPr>
          <w:rStyle w:val="HideTWBExt"/>
        </w:rPr>
        <w:t>&lt;/Amend&gt;</w:t>
      </w:r>
    </w:p>
    <w:p w:rsidR="001649BE" w:rsidRPr="006E1332" w:rsidRDefault="001649BE" w:rsidP="004C54D0">
      <w:r w:rsidRPr="006E1332">
        <w:rPr>
          <w:rStyle w:val="HideTWBExt"/>
        </w:rPr>
        <w:t>&lt;/RepeatBlock-Amend&gt;</w:t>
      </w:r>
    </w:p>
    <w:p w:rsidR="001649BE" w:rsidRPr="006E1332" w:rsidRDefault="001649BE" w:rsidP="00FD3F3C">
      <w:pPr>
        <w:pStyle w:val="PageHeadingNotTOC"/>
      </w:pPr>
      <w:r w:rsidRPr="006E1332">
        <w:br w:type="page"/>
      </w:r>
      <w:r w:rsidRPr="006E1332">
        <w:lastRenderedPageBreak/>
        <w:t>POSTOPEK V ODBORU, ZAPROŠENEM ZA MNENJE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E1332" w:rsidRPr="006E13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649BE" w:rsidRPr="006E1332" w:rsidRDefault="001649BE">
            <w:pPr>
              <w:autoSpaceDE w:val="0"/>
              <w:autoSpaceDN w:val="0"/>
              <w:adjustRightInd w:val="0"/>
              <w:rPr>
                <w:b/>
                <w:bCs/>
                <w:sz w:val="20"/>
              </w:rPr>
            </w:pPr>
            <w:r w:rsidRPr="006E1332">
              <w:rPr>
                <w:b/>
                <w:bCs/>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649BE" w:rsidRPr="006E1332" w:rsidRDefault="001649BE">
            <w:pPr>
              <w:autoSpaceDE w:val="0"/>
              <w:autoSpaceDN w:val="0"/>
              <w:adjustRightInd w:val="0"/>
              <w:rPr>
                <w:sz w:val="20"/>
              </w:rPr>
            </w:pPr>
            <w:r w:rsidRPr="006E1332">
              <w:rPr>
                <w:sz w:val="20"/>
              </w:rPr>
              <w:t>Predlogi sprememb k Protokolu št. 3 o Statutu Sodišča Evropske unije</w:t>
            </w:r>
          </w:p>
        </w:tc>
      </w:tr>
      <w:tr w:rsidR="006E1332" w:rsidRPr="006E13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649BE" w:rsidRPr="006E1332" w:rsidRDefault="001649BE">
            <w:pPr>
              <w:autoSpaceDE w:val="0"/>
              <w:autoSpaceDN w:val="0"/>
              <w:adjustRightInd w:val="0"/>
              <w:rPr>
                <w:b/>
                <w:bCs/>
                <w:sz w:val="20"/>
              </w:rPr>
            </w:pPr>
            <w:r w:rsidRPr="006E1332">
              <w:rPr>
                <w:b/>
                <w:bCs/>
                <w:sz w:val="20"/>
              </w:rPr>
              <w:t>Referenčni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649BE" w:rsidRPr="006E1332" w:rsidRDefault="001649BE">
            <w:pPr>
              <w:autoSpaceDE w:val="0"/>
              <w:autoSpaceDN w:val="0"/>
              <w:adjustRightInd w:val="0"/>
              <w:rPr>
                <w:sz w:val="20"/>
              </w:rPr>
            </w:pPr>
            <w:r w:rsidRPr="006E1332">
              <w:rPr>
                <w:sz w:val="20"/>
              </w:rPr>
              <w:t>02360/2018 – C8-0132/2018 – 2018/0900(COD)</w:t>
            </w:r>
          </w:p>
        </w:tc>
      </w:tr>
      <w:tr w:rsidR="006E1332" w:rsidRPr="006E13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649BE" w:rsidRPr="006E1332" w:rsidRDefault="001649BE">
            <w:pPr>
              <w:autoSpaceDE w:val="0"/>
              <w:autoSpaceDN w:val="0"/>
              <w:adjustRightInd w:val="0"/>
              <w:rPr>
                <w:b/>
                <w:bCs/>
                <w:sz w:val="20"/>
              </w:rPr>
            </w:pPr>
            <w:r w:rsidRPr="006E1332">
              <w:rPr>
                <w:b/>
                <w:bCs/>
                <w:sz w:val="20"/>
              </w:rPr>
              <w:t>Pristojni odbor</w:t>
            </w:r>
          </w:p>
          <w:p w:rsidR="001649BE" w:rsidRPr="006E1332" w:rsidRDefault="006E1332">
            <w:pPr>
              <w:autoSpaceDE w:val="0"/>
              <w:autoSpaceDN w:val="0"/>
              <w:adjustRightInd w:val="0"/>
              <w:rPr>
                <w:sz w:val="20"/>
              </w:rPr>
            </w:pPr>
            <w:r>
              <w:rPr>
                <w:sz w:val="20"/>
              </w:rPr>
              <w:t xml:space="preserve"> </w:t>
            </w:r>
            <w:r w:rsidR="001649BE" w:rsidRPr="006E1332">
              <w:rPr>
                <w:sz w:val="20"/>
              </w:rPr>
              <w:t>Datum razglasitve na zasedanju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649BE" w:rsidRPr="006E1332" w:rsidRDefault="001649BE">
            <w:pPr>
              <w:autoSpaceDE w:val="0"/>
              <w:autoSpaceDN w:val="0"/>
              <w:adjustRightInd w:val="0"/>
              <w:rPr>
                <w:sz w:val="20"/>
              </w:rPr>
            </w:pPr>
            <w:r w:rsidRPr="006E1332">
              <w:rPr>
                <w:sz w:val="20"/>
              </w:rPr>
              <w:t>JURI</w:t>
            </w:r>
          </w:p>
          <w:p w:rsidR="001649BE" w:rsidRPr="006E1332" w:rsidRDefault="001649BE">
            <w:pPr>
              <w:autoSpaceDE w:val="0"/>
              <w:autoSpaceDN w:val="0"/>
              <w:adjustRightInd w:val="0"/>
              <w:rPr>
                <w:sz w:val="20"/>
              </w:rPr>
            </w:pPr>
            <w:r w:rsidRPr="006E1332">
              <w:rPr>
                <w:sz w:val="20"/>
              </w:rPr>
              <w:t>16.4.2018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649BE" w:rsidRPr="006E1332" w:rsidRDefault="001649BE">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649BE" w:rsidRPr="006E1332" w:rsidRDefault="001649BE">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649BE" w:rsidRPr="006E1332" w:rsidRDefault="001649BE">
            <w:pPr>
              <w:autoSpaceDE w:val="0"/>
              <w:autoSpaceDN w:val="0"/>
              <w:adjustRightInd w:val="0"/>
              <w:rPr>
                <w:rFonts w:ascii="sans-serif" w:hAnsi="sans-serif" w:cs="sans-serif"/>
              </w:rPr>
            </w:pPr>
          </w:p>
        </w:tc>
      </w:tr>
      <w:tr w:rsidR="006E1332" w:rsidRPr="006E13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649BE" w:rsidRPr="006E1332" w:rsidRDefault="001649BE">
            <w:pPr>
              <w:autoSpaceDE w:val="0"/>
              <w:autoSpaceDN w:val="0"/>
              <w:adjustRightInd w:val="0"/>
              <w:rPr>
                <w:b/>
                <w:bCs/>
                <w:sz w:val="20"/>
              </w:rPr>
            </w:pPr>
            <w:r w:rsidRPr="006E1332">
              <w:rPr>
                <w:b/>
                <w:bCs/>
                <w:sz w:val="20"/>
              </w:rPr>
              <w:t>Mnenje pripravil</w:t>
            </w:r>
          </w:p>
          <w:p w:rsidR="001649BE" w:rsidRPr="006E1332" w:rsidRDefault="006E1332">
            <w:pPr>
              <w:autoSpaceDE w:val="0"/>
              <w:autoSpaceDN w:val="0"/>
              <w:adjustRightInd w:val="0"/>
              <w:rPr>
                <w:sz w:val="20"/>
              </w:rPr>
            </w:pPr>
            <w:r>
              <w:rPr>
                <w:sz w:val="20"/>
              </w:rPr>
              <w:t xml:space="preserve"> </w:t>
            </w:r>
            <w:r w:rsidR="001649BE" w:rsidRPr="006E1332">
              <w:rPr>
                <w:sz w:val="20"/>
              </w:rPr>
              <w:t>Datum razglasitve na zasedanju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649BE" w:rsidRPr="006E1332" w:rsidRDefault="001649BE">
            <w:pPr>
              <w:autoSpaceDE w:val="0"/>
              <w:autoSpaceDN w:val="0"/>
              <w:adjustRightInd w:val="0"/>
              <w:rPr>
                <w:sz w:val="20"/>
              </w:rPr>
            </w:pPr>
            <w:r w:rsidRPr="006E1332">
              <w:rPr>
                <w:sz w:val="20"/>
              </w:rPr>
              <w:t>AFCO</w:t>
            </w:r>
          </w:p>
          <w:p w:rsidR="001649BE" w:rsidRPr="006E1332" w:rsidRDefault="001649BE">
            <w:pPr>
              <w:autoSpaceDE w:val="0"/>
              <w:autoSpaceDN w:val="0"/>
              <w:adjustRightInd w:val="0"/>
              <w:rPr>
                <w:sz w:val="20"/>
              </w:rPr>
            </w:pPr>
            <w:r w:rsidRPr="006E1332">
              <w:rPr>
                <w:sz w:val="20"/>
              </w:rPr>
              <w:t>16.4.2018</w:t>
            </w:r>
          </w:p>
        </w:tc>
      </w:tr>
      <w:tr w:rsidR="006E1332" w:rsidRPr="006E13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649BE" w:rsidRPr="006E1332" w:rsidRDefault="001649BE">
            <w:pPr>
              <w:autoSpaceDE w:val="0"/>
              <w:autoSpaceDN w:val="0"/>
              <w:adjustRightInd w:val="0"/>
              <w:rPr>
                <w:b/>
                <w:bCs/>
                <w:sz w:val="20"/>
              </w:rPr>
            </w:pPr>
            <w:r w:rsidRPr="006E1332">
              <w:rPr>
                <w:b/>
                <w:bCs/>
                <w:sz w:val="20"/>
              </w:rPr>
              <w:t>Pripravljavec/-ka mnenja</w:t>
            </w:r>
          </w:p>
          <w:p w:rsidR="001649BE" w:rsidRPr="006E1332" w:rsidRDefault="006E1332">
            <w:pPr>
              <w:autoSpaceDE w:val="0"/>
              <w:autoSpaceDN w:val="0"/>
              <w:adjustRightInd w:val="0"/>
              <w:rPr>
                <w:sz w:val="20"/>
              </w:rPr>
            </w:pPr>
            <w:r>
              <w:rPr>
                <w:sz w:val="20"/>
              </w:rPr>
              <w:t xml:space="preserve"> </w:t>
            </w:r>
            <w:r w:rsidR="001649BE" w:rsidRPr="006E1332">
              <w:rPr>
                <w:sz w:val="20"/>
              </w:rPr>
              <w:t>Datum imenovanja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649BE" w:rsidRPr="006E1332" w:rsidRDefault="001649BE">
            <w:pPr>
              <w:autoSpaceDE w:val="0"/>
              <w:autoSpaceDN w:val="0"/>
              <w:adjustRightInd w:val="0"/>
              <w:rPr>
                <w:sz w:val="20"/>
              </w:rPr>
            </w:pPr>
            <w:r w:rsidRPr="006E1332">
              <w:rPr>
                <w:sz w:val="20"/>
              </w:rPr>
              <w:t>Morten Messerschmidt</w:t>
            </w:r>
          </w:p>
          <w:p w:rsidR="001649BE" w:rsidRPr="006E1332" w:rsidRDefault="001649BE">
            <w:pPr>
              <w:autoSpaceDE w:val="0"/>
              <w:autoSpaceDN w:val="0"/>
              <w:adjustRightInd w:val="0"/>
              <w:rPr>
                <w:sz w:val="20"/>
              </w:rPr>
            </w:pPr>
            <w:r w:rsidRPr="006E1332">
              <w:rPr>
                <w:sz w:val="20"/>
              </w:rPr>
              <w:t>20.6.2018</w:t>
            </w:r>
          </w:p>
        </w:tc>
      </w:tr>
      <w:tr w:rsidR="006E1332" w:rsidRPr="006E13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649BE" w:rsidRPr="006E1332" w:rsidRDefault="001649BE">
            <w:pPr>
              <w:autoSpaceDE w:val="0"/>
              <w:autoSpaceDN w:val="0"/>
              <w:adjustRightInd w:val="0"/>
              <w:rPr>
                <w:b/>
                <w:bCs/>
                <w:sz w:val="20"/>
              </w:rPr>
            </w:pPr>
            <w:r w:rsidRPr="006E1332">
              <w:rPr>
                <w:b/>
                <w:bCs/>
                <w:sz w:val="20"/>
              </w:rPr>
              <w:t>Obravnava v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649BE" w:rsidRPr="006E1332" w:rsidRDefault="001649BE">
            <w:pPr>
              <w:autoSpaceDE w:val="0"/>
              <w:autoSpaceDN w:val="0"/>
              <w:adjustRightInd w:val="0"/>
              <w:rPr>
                <w:sz w:val="20"/>
              </w:rPr>
            </w:pPr>
            <w:r w:rsidRPr="006E1332">
              <w:rPr>
                <w:sz w:val="20"/>
              </w:rPr>
              <w:t>21.11.2018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649BE" w:rsidRPr="006E1332" w:rsidRDefault="001649BE">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649BE" w:rsidRPr="006E1332" w:rsidRDefault="001649BE">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649BE" w:rsidRPr="006E1332" w:rsidRDefault="001649BE">
            <w:pPr>
              <w:autoSpaceDE w:val="0"/>
              <w:autoSpaceDN w:val="0"/>
              <w:adjustRightInd w:val="0"/>
              <w:rPr>
                <w:rFonts w:ascii="sans-serif" w:hAnsi="sans-serif" w:cs="sans-serif"/>
              </w:rPr>
            </w:pPr>
          </w:p>
        </w:tc>
      </w:tr>
      <w:tr w:rsidR="006E1332" w:rsidRPr="006E13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649BE" w:rsidRPr="006E1332" w:rsidRDefault="001649BE">
            <w:pPr>
              <w:autoSpaceDE w:val="0"/>
              <w:autoSpaceDN w:val="0"/>
              <w:adjustRightInd w:val="0"/>
              <w:rPr>
                <w:b/>
                <w:bCs/>
                <w:sz w:val="20"/>
              </w:rPr>
            </w:pPr>
            <w:r w:rsidRPr="006E1332">
              <w:rPr>
                <w:b/>
                <w:bCs/>
                <w:sz w:val="20"/>
              </w:rPr>
              <w:t>Datum sprejetja</w:t>
            </w:r>
          </w:p>
        </w:tc>
        <w:tc>
          <w:tcPr>
            <w:tcW w:w="1530" w:type="dxa"/>
            <w:tcBorders>
              <w:top w:val="nil"/>
              <w:left w:val="nil"/>
              <w:bottom w:val="single" w:sz="8" w:space="0" w:color="000000"/>
              <w:right w:val="nil"/>
            </w:tcBorders>
            <w:tcMar>
              <w:top w:w="79" w:type="dxa"/>
              <w:left w:w="79" w:type="dxa"/>
              <w:bottom w:w="79" w:type="dxa"/>
              <w:right w:w="79" w:type="dxa"/>
            </w:tcMar>
          </w:tcPr>
          <w:p w:rsidR="001649BE" w:rsidRPr="006E1332" w:rsidRDefault="001649BE">
            <w:pPr>
              <w:autoSpaceDE w:val="0"/>
              <w:autoSpaceDN w:val="0"/>
              <w:adjustRightInd w:val="0"/>
              <w:rPr>
                <w:sz w:val="20"/>
              </w:rPr>
            </w:pPr>
            <w:r w:rsidRPr="006E1332">
              <w:rPr>
                <w:sz w:val="20"/>
              </w:rPr>
              <w:t>27.11.2018</w:t>
            </w:r>
          </w:p>
        </w:tc>
        <w:tc>
          <w:tcPr>
            <w:tcW w:w="1474" w:type="dxa"/>
            <w:tcBorders>
              <w:top w:val="nil"/>
              <w:left w:val="nil"/>
              <w:bottom w:val="single" w:sz="8" w:space="0" w:color="000000"/>
              <w:right w:val="nil"/>
            </w:tcBorders>
            <w:tcMar>
              <w:top w:w="79" w:type="dxa"/>
              <w:left w:w="79" w:type="dxa"/>
              <w:bottom w:w="79" w:type="dxa"/>
              <w:right w:w="79" w:type="dxa"/>
            </w:tcMar>
          </w:tcPr>
          <w:p w:rsidR="001649BE" w:rsidRPr="006E1332" w:rsidRDefault="001649BE">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1649BE" w:rsidRPr="006E1332" w:rsidRDefault="001649BE">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649BE" w:rsidRPr="006E1332" w:rsidRDefault="001649BE">
            <w:pPr>
              <w:autoSpaceDE w:val="0"/>
              <w:autoSpaceDN w:val="0"/>
              <w:adjustRightInd w:val="0"/>
              <w:rPr>
                <w:rFonts w:ascii="sans-serif" w:hAnsi="sans-serif" w:cs="sans-serif"/>
              </w:rPr>
            </w:pPr>
          </w:p>
        </w:tc>
      </w:tr>
      <w:tr w:rsidR="006E1332" w:rsidRPr="006E13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649BE" w:rsidRPr="006E1332" w:rsidRDefault="001649BE">
            <w:pPr>
              <w:autoSpaceDE w:val="0"/>
              <w:autoSpaceDN w:val="0"/>
              <w:adjustRightInd w:val="0"/>
              <w:rPr>
                <w:b/>
                <w:bCs/>
                <w:sz w:val="20"/>
              </w:rPr>
            </w:pPr>
            <w:r w:rsidRPr="006E1332">
              <w:rPr>
                <w:b/>
                <w:bCs/>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649BE" w:rsidRPr="006E1332" w:rsidRDefault="001649BE">
            <w:pPr>
              <w:autoSpaceDE w:val="0"/>
              <w:autoSpaceDN w:val="0"/>
              <w:adjustRightInd w:val="0"/>
              <w:rPr>
                <w:sz w:val="20"/>
              </w:rPr>
            </w:pPr>
            <w:r w:rsidRPr="006E1332">
              <w:rPr>
                <w:sz w:val="20"/>
              </w:rPr>
              <w:t>+:</w:t>
            </w:r>
          </w:p>
          <w:p w:rsidR="001649BE" w:rsidRPr="006E1332" w:rsidRDefault="001649BE">
            <w:pPr>
              <w:autoSpaceDE w:val="0"/>
              <w:autoSpaceDN w:val="0"/>
              <w:adjustRightInd w:val="0"/>
              <w:rPr>
                <w:sz w:val="20"/>
              </w:rPr>
            </w:pPr>
            <w:r w:rsidRPr="006E1332">
              <w:rPr>
                <w:sz w:val="20"/>
              </w:rPr>
              <w:t>–:</w:t>
            </w:r>
          </w:p>
          <w:p w:rsidR="001649BE" w:rsidRPr="006E1332" w:rsidRDefault="001649BE">
            <w:pPr>
              <w:autoSpaceDE w:val="0"/>
              <w:autoSpaceDN w:val="0"/>
              <w:adjustRightInd w:val="0"/>
              <w:rPr>
                <w:sz w:val="20"/>
              </w:rPr>
            </w:pPr>
            <w:r w:rsidRPr="006E1332">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649BE" w:rsidRPr="006E1332" w:rsidRDefault="001649BE">
            <w:pPr>
              <w:autoSpaceDE w:val="0"/>
              <w:autoSpaceDN w:val="0"/>
              <w:adjustRightInd w:val="0"/>
              <w:rPr>
                <w:sz w:val="20"/>
              </w:rPr>
            </w:pPr>
            <w:r w:rsidRPr="006E1332">
              <w:rPr>
                <w:sz w:val="20"/>
              </w:rPr>
              <w:t>22</w:t>
            </w:r>
          </w:p>
          <w:p w:rsidR="001649BE" w:rsidRPr="006E1332" w:rsidRDefault="001649BE">
            <w:pPr>
              <w:autoSpaceDE w:val="0"/>
              <w:autoSpaceDN w:val="0"/>
              <w:adjustRightInd w:val="0"/>
              <w:rPr>
                <w:sz w:val="20"/>
              </w:rPr>
            </w:pPr>
            <w:r w:rsidRPr="006E1332">
              <w:rPr>
                <w:sz w:val="20"/>
              </w:rPr>
              <w:t>2</w:t>
            </w:r>
          </w:p>
          <w:p w:rsidR="001649BE" w:rsidRPr="006E1332" w:rsidRDefault="001649BE">
            <w:pPr>
              <w:autoSpaceDE w:val="0"/>
              <w:autoSpaceDN w:val="0"/>
              <w:adjustRightInd w:val="0"/>
              <w:rPr>
                <w:sz w:val="20"/>
              </w:rPr>
            </w:pPr>
            <w:r w:rsidRPr="006E1332">
              <w:rPr>
                <w:sz w:val="20"/>
              </w:rPr>
              <w:t>0</w:t>
            </w:r>
          </w:p>
        </w:tc>
      </w:tr>
      <w:tr w:rsidR="006E1332" w:rsidRPr="006E13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649BE" w:rsidRPr="006E1332" w:rsidRDefault="001649BE">
            <w:pPr>
              <w:autoSpaceDE w:val="0"/>
              <w:autoSpaceDN w:val="0"/>
              <w:adjustRightInd w:val="0"/>
              <w:rPr>
                <w:b/>
                <w:bCs/>
                <w:sz w:val="20"/>
              </w:rPr>
            </w:pPr>
            <w:r w:rsidRPr="006E1332">
              <w:rPr>
                <w:b/>
                <w:bCs/>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649BE" w:rsidRPr="006E1332" w:rsidRDefault="001649BE">
            <w:pPr>
              <w:autoSpaceDE w:val="0"/>
              <w:autoSpaceDN w:val="0"/>
              <w:adjustRightInd w:val="0"/>
              <w:rPr>
                <w:sz w:val="20"/>
              </w:rPr>
            </w:pPr>
            <w:r w:rsidRPr="006E1332">
              <w:rPr>
                <w:sz w:val="20"/>
              </w:rPr>
              <w:t>Gerolf Annemans, Elmar Brok, Fabio Massimo Castaldo, Pascal Durand, Esteban González Pons, Danuta Maria Hübner, Diane James, Ramón Jáuregui Atondo, Alain Lamassoure, Jo Leinen, Morten Messerschmidt, Maite Pagazaurtundúa Ruiz, Markus Pieper, Paulo Rangel, Helmut Scholz, György Schöpflin, Barbara Spinelli, Claudia Țapardel, Josep-Maria Terricabras</w:t>
            </w:r>
          </w:p>
        </w:tc>
      </w:tr>
      <w:tr w:rsidR="006E1332" w:rsidRPr="006E13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649BE" w:rsidRPr="006E1332" w:rsidRDefault="001649BE">
            <w:pPr>
              <w:autoSpaceDE w:val="0"/>
              <w:autoSpaceDN w:val="0"/>
              <w:adjustRightInd w:val="0"/>
              <w:rPr>
                <w:b/>
                <w:bCs/>
                <w:sz w:val="20"/>
              </w:rPr>
            </w:pPr>
            <w:r w:rsidRPr="006E1332">
              <w:rPr>
                <w:b/>
                <w:bCs/>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649BE" w:rsidRPr="006E1332" w:rsidRDefault="001649BE">
            <w:pPr>
              <w:autoSpaceDE w:val="0"/>
              <w:autoSpaceDN w:val="0"/>
              <w:adjustRightInd w:val="0"/>
              <w:rPr>
                <w:sz w:val="20"/>
              </w:rPr>
            </w:pPr>
            <w:r w:rsidRPr="006E1332">
              <w:rPr>
                <w:sz w:val="20"/>
              </w:rPr>
              <w:t>Sylvia-Yvonne Kaufmann, Jasenko Selimovic, Rainer Wieland</w:t>
            </w:r>
          </w:p>
        </w:tc>
      </w:tr>
      <w:tr w:rsidR="001649BE" w:rsidRPr="006E13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649BE" w:rsidRPr="006E1332" w:rsidRDefault="001649BE">
            <w:pPr>
              <w:autoSpaceDE w:val="0"/>
              <w:autoSpaceDN w:val="0"/>
              <w:adjustRightInd w:val="0"/>
              <w:rPr>
                <w:b/>
                <w:bCs/>
                <w:sz w:val="20"/>
              </w:rPr>
            </w:pPr>
            <w:r w:rsidRPr="006E1332">
              <w:rPr>
                <w:b/>
                <w:bCs/>
                <w:sz w:val="20"/>
              </w:rPr>
              <w:t>Namestniki (člen 200(2)),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649BE" w:rsidRPr="006E1332" w:rsidRDefault="001649BE">
            <w:pPr>
              <w:autoSpaceDE w:val="0"/>
              <w:autoSpaceDN w:val="0"/>
              <w:adjustRightInd w:val="0"/>
              <w:rPr>
                <w:sz w:val="20"/>
              </w:rPr>
            </w:pPr>
            <w:r w:rsidRPr="006E1332">
              <w:rPr>
                <w:sz w:val="20"/>
              </w:rPr>
              <w:t>Wajid Khan, Constanze Krehl</w:t>
            </w:r>
          </w:p>
        </w:tc>
      </w:tr>
    </w:tbl>
    <w:p w:rsidR="001649BE" w:rsidRPr="006E1332" w:rsidRDefault="001649BE" w:rsidP="004C54D0"/>
    <w:p w:rsidR="001649BE" w:rsidRPr="006E1332" w:rsidRDefault="001649BE" w:rsidP="00C2406B">
      <w:pPr>
        <w:pStyle w:val="PageHeadingNotTOC"/>
      </w:pPr>
      <w:r w:rsidRPr="006E1332">
        <w:br w:type="page"/>
      </w:r>
      <w:r w:rsidRPr="006E1332">
        <w:lastRenderedPageBreak/>
        <w:t>POIMENSKO GLASOVANJE PRI KONČNEM GLASOVANJU</w:t>
      </w:r>
      <w:r w:rsidRPr="006E1332">
        <w:br/>
        <w:t>V ODBORU, ZAPROŠENEM ZA MNENJE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6E1332" w:rsidRPr="006E1332" w:rsidTr="003C222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649BE" w:rsidRPr="006E1332" w:rsidRDefault="001649BE" w:rsidP="003C2224">
            <w:pPr>
              <w:spacing w:before="120" w:after="120"/>
              <w:jc w:val="center"/>
              <w:rPr>
                <w:b/>
                <w:sz w:val="28"/>
                <w:szCs w:val="28"/>
              </w:rPr>
            </w:pPr>
            <w:r w:rsidRPr="006E1332">
              <w:rPr>
                <w:b/>
                <w:sz w:val="28"/>
                <w:szCs w:val="28"/>
              </w:rPr>
              <w:t>22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649BE" w:rsidRPr="006E1332" w:rsidRDefault="001649BE" w:rsidP="003C2224">
            <w:pPr>
              <w:spacing w:before="120" w:after="120"/>
              <w:jc w:val="center"/>
              <w:rPr>
                <w:b/>
                <w:sz w:val="28"/>
                <w:szCs w:val="28"/>
              </w:rPr>
            </w:pPr>
            <w:r w:rsidRPr="006E1332">
              <w:rPr>
                <w:b/>
                <w:sz w:val="28"/>
                <w:szCs w:val="28"/>
              </w:rPr>
              <w:t>+</w:t>
            </w:r>
          </w:p>
        </w:tc>
      </w:tr>
      <w:tr w:rsidR="006E1332" w:rsidRPr="006E1332" w:rsidTr="003C222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1649BE" w:rsidRPr="006E1332" w:rsidRDefault="001649BE" w:rsidP="003C2224">
            <w:pPr>
              <w:rPr>
                <w:sz w:val="16"/>
                <w:szCs w:val="22"/>
              </w:rPr>
            </w:pPr>
            <w:r w:rsidRPr="006E1332">
              <w:rPr>
                <w:sz w:val="16"/>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1649BE" w:rsidRPr="006E1332" w:rsidRDefault="001649BE" w:rsidP="003C2224">
            <w:pPr>
              <w:spacing w:before="120" w:after="120"/>
              <w:rPr>
                <w:sz w:val="16"/>
              </w:rPr>
            </w:pPr>
            <w:r w:rsidRPr="006E1332">
              <w:rPr>
                <w:sz w:val="16"/>
              </w:rPr>
              <w:t>Maite Pagazaurtundúa Ruiz, Jasenko Selimovic</w:t>
            </w:r>
          </w:p>
        </w:tc>
      </w:tr>
      <w:tr w:rsidR="006E1332" w:rsidRPr="006E1332" w:rsidTr="003C222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1649BE" w:rsidRPr="006E1332" w:rsidRDefault="001649BE" w:rsidP="003C2224">
            <w:pPr>
              <w:rPr>
                <w:sz w:val="16"/>
              </w:rPr>
            </w:pPr>
            <w:r w:rsidRPr="006E1332">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1649BE" w:rsidRPr="006E1332" w:rsidRDefault="001649BE" w:rsidP="003C2224">
            <w:pPr>
              <w:spacing w:before="120" w:after="120"/>
              <w:rPr>
                <w:sz w:val="16"/>
              </w:rPr>
            </w:pPr>
            <w:r w:rsidRPr="006E1332">
              <w:rPr>
                <w:sz w:val="16"/>
              </w:rPr>
              <w:t>Morten Messerschmidt</w:t>
            </w:r>
          </w:p>
        </w:tc>
      </w:tr>
      <w:tr w:rsidR="006E1332" w:rsidRPr="006E1332" w:rsidTr="003C222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1649BE" w:rsidRPr="006E1332" w:rsidRDefault="001649BE" w:rsidP="003C2224">
            <w:pPr>
              <w:rPr>
                <w:sz w:val="16"/>
              </w:rPr>
            </w:pPr>
            <w:r w:rsidRPr="006E1332">
              <w:rPr>
                <w:sz w:val="16"/>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1649BE" w:rsidRPr="006E1332" w:rsidRDefault="001649BE" w:rsidP="003C2224">
            <w:pPr>
              <w:spacing w:before="120" w:after="120"/>
              <w:rPr>
                <w:sz w:val="16"/>
              </w:rPr>
            </w:pPr>
            <w:r w:rsidRPr="006E1332">
              <w:rPr>
                <w:sz w:val="16"/>
              </w:rPr>
              <w:t>Gerolf Annemans</w:t>
            </w:r>
          </w:p>
        </w:tc>
      </w:tr>
      <w:tr w:rsidR="006E1332" w:rsidRPr="006E1332" w:rsidTr="003C222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1649BE" w:rsidRPr="006E1332" w:rsidRDefault="001649BE" w:rsidP="003C2224">
            <w:pPr>
              <w:rPr>
                <w:sz w:val="16"/>
              </w:rPr>
            </w:pPr>
            <w:r w:rsidRPr="006E1332">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1649BE" w:rsidRPr="006E1332" w:rsidRDefault="001649BE" w:rsidP="003C2224">
            <w:pPr>
              <w:spacing w:before="120" w:after="120"/>
              <w:rPr>
                <w:sz w:val="16"/>
              </w:rPr>
            </w:pPr>
            <w:r w:rsidRPr="006E1332">
              <w:rPr>
                <w:sz w:val="16"/>
              </w:rPr>
              <w:t>Helmut Scholz, Barbara Spinelli</w:t>
            </w:r>
          </w:p>
        </w:tc>
      </w:tr>
      <w:tr w:rsidR="006E1332" w:rsidRPr="006E1332" w:rsidTr="003C222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1649BE" w:rsidRPr="006E1332" w:rsidRDefault="001649BE" w:rsidP="003C2224">
            <w:pPr>
              <w:rPr>
                <w:sz w:val="16"/>
              </w:rPr>
            </w:pPr>
            <w:r w:rsidRPr="006E1332">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1649BE" w:rsidRPr="006E1332" w:rsidRDefault="001649BE" w:rsidP="003C2224">
            <w:pPr>
              <w:spacing w:before="120" w:after="120"/>
              <w:rPr>
                <w:sz w:val="16"/>
              </w:rPr>
            </w:pPr>
            <w:r w:rsidRPr="006E1332">
              <w:rPr>
                <w:sz w:val="16"/>
              </w:rPr>
              <w:t>Elmar Brok, Esteban González Pons, Danuta Maria Hübner, Alain Lamassoure, Markus Pieper, Paulo Rangel, György Schöpflin, Rainer Wieland</w:t>
            </w:r>
          </w:p>
        </w:tc>
      </w:tr>
      <w:tr w:rsidR="006E1332" w:rsidRPr="006E1332" w:rsidTr="003C222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1649BE" w:rsidRPr="006E1332" w:rsidRDefault="001649BE" w:rsidP="003C2224">
            <w:pPr>
              <w:rPr>
                <w:sz w:val="16"/>
              </w:rPr>
            </w:pPr>
            <w:r w:rsidRPr="006E1332">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1649BE" w:rsidRPr="006E1332" w:rsidRDefault="001649BE" w:rsidP="003C2224">
            <w:pPr>
              <w:spacing w:before="120" w:after="120"/>
              <w:rPr>
                <w:sz w:val="16"/>
              </w:rPr>
            </w:pPr>
            <w:r w:rsidRPr="006E1332">
              <w:rPr>
                <w:sz w:val="16"/>
              </w:rPr>
              <w:t>Ramón Jáuregui Atondo, Sylvia Yvonne Kaufmann, Wajid Khan, Constanze Krehl, Jo Leinen, Claudia Țapardel</w:t>
            </w:r>
          </w:p>
        </w:tc>
      </w:tr>
      <w:tr w:rsidR="006E1332" w:rsidRPr="006E1332" w:rsidTr="003C222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1649BE" w:rsidRPr="006E1332" w:rsidRDefault="001649BE" w:rsidP="003C2224">
            <w:pPr>
              <w:rPr>
                <w:sz w:val="16"/>
              </w:rPr>
            </w:pPr>
            <w:r w:rsidRPr="006E1332">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rsidR="001649BE" w:rsidRPr="006E1332" w:rsidRDefault="001649BE" w:rsidP="003C2224">
            <w:pPr>
              <w:spacing w:before="120" w:after="120"/>
              <w:rPr>
                <w:sz w:val="16"/>
              </w:rPr>
            </w:pPr>
            <w:r w:rsidRPr="006E1332">
              <w:rPr>
                <w:sz w:val="16"/>
              </w:rPr>
              <w:t>Pascal Durand, Josep Maria Terricabras</w:t>
            </w:r>
          </w:p>
        </w:tc>
      </w:tr>
    </w:tbl>
    <w:p w:rsidR="001649BE" w:rsidRPr="006E1332" w:rsidRDefault="001649BE" w:rsidP="004C54D0">
      <w:pPr>
        <w:rPr>
          <w:sz w:val="22"/>
          <w:szCs w:val="22"/>
          <w:lang w:eastAsia="en-US"/>
        </w:rPr>
      </w:pPr>
    </w:p>
    <w:p w:rsidR="001649BE" w:rsidRPr="006E1332" w:rsidRDefault="001649BE" w:rsidP="004C54D0"/>
    <w:p w:rsidR="001649BE" w:rsidRPr="006E1332" w:rsidRDefault="001649BE" w:rsidP="004C54D0">
      <w:pPr>
        <w:tabs>
          <w:tab w:val="left" w:pos="2940"/>
        </w:tabs>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6E1332" w:rsidRPr="006E1332" w:rsidTr="003C222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649BE" w:rsidRPr="006E1332" w:rsidRDefault="001649BE" w:rsidP="003C2224">
            <w:pPr>
              <w:spacing w:before="120" w:after="120"/>
              <w:jc w:val="center"/>
              <w:rPr>
                <w:b/>
                <w:sz w:val="28"/>
                <w:szCs w:val="28"/>
              </w:rPr>
            </w:pPr>
            <w:r w:rsidRPr="006E1332">
              <w:rPr>
                <w:b/>
                <w:sz w:val="28"/>
                <w:szCs w:val="28"/>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649BE" w:rsidRPr="006E1332" w:rsidRDefault="001649BE" w:rsidP="003C2224">
            <w:pPr>
              <w:spacing w:before="120" w:after="120"/>
              <w:jc w:val="center"/>
              <w:rPr>
                <w:sz w:val="28"/>
                <w:szCs w:val="28"/>
              </w:rPr>
            </w:pPr>
            <w:r w:rsidRPr="006E1332">
              <w:rPr>
                <w:b/>
                <w:sz w:val="28"/>
                <w:szCs w:val="28"/>
              </w:rPr>
              <w:t>-</w:t>
            </w:r>
          </w:p>
        </w:tc>
      </w:tr>
      <w:tr w:rsidR="006E1332" w:rsidRPr="006E1332" w:rsidTr="003C222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1649BE" w:rsidRPr="006E1332" w:rsidRDefault="001649BE" w:rsidP="003C2224">
            <w:pPr>
              <w:rPr>
                <w:sz w:val="16"/>
                <w:szCs w:val="22"/>
              </w:rPr>
            </w:pPr>
            <w:r w:rsidRPr="006E1332">
              <w:rPr>
                <w:sz w:val="16"/>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rsidR="001649BE" w:rsidRPr="006E1332" w:rsidRDefault="001649BE" w:rsidP="003C2224">
            <w:pPr>
              <w:spacing w:before="120" w:after="120"/>
              <w:rPr>
                <w:sz w:val="16"/>
              </w:rPr>
            </w:pPr>
            <w:r w:rsidRPr="006E1332">
              <w:rPr>
                <w:sz w:val="16"/>
              </w:rPr>
              <w:t>Fabio Massimo Castaldo</w:t>
            </w:r>
          </w:p>
        </w:tc>
      </w:tr>
      <w:tr w:rsidR="006E1332" w:rsidRPr="006E1332" w:rsidTr="003C222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1649BE" w:rsidRPr="006E1332" w:rsidRDefault="001649BE" w:rsidP="003C2224">
            <w:pPr>
              <w:rPr>
                <w:sz w:val="16"/>
              </w:rPr>
            </w:pPr>
            <w:r w:rsidRPr="006E1332">
              <w:rPr>
                <w:sz w:val="16"/>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rsidR="001649BE" w:rsidRPr="006E1332" w:rsidRDefault="001649BE" w:rsidP="003C2224">
            <w:pPr>
              <w:spacing w:before="120" w:after="120"/>
              <w:rPr>
                <w:sz w:val="16"/>
              </w:rPr>
            </w:pPr>
            <w:r w:rsidRPr="006E1332">
              <w:rPr>
                <w:sz w:val="16"/>
              </w:rPr>
              <w:t>Diane James</w:t>
            </w:r>
          </w:p>
        </w:tc>
      </w:tr>
    </w:tbl>
    <w:p w:rsidR="001649BE" w:rsidRPr="006E1332" w:rsidRDefault="001649BE" w:rsidP="004C54D0">
      <w:pPr>
        <w:rPr>
          <w:sz w:val="22"/>
          <w:szCs w:val="22"/>
          <w:lang w:eastAsia="en-US"/>
        </w:rPr>
      </w:pPr>
    </w:p>
    <w:p w:rsidR="001649BE" w:rsidRPr="006E1332" w:rsidRDefault="001649BE" w:rsidP="004C54D0"/>
    <w:p w:rsidR="001649BE" w:rsidRPr="006E1332" w:rsidRDefault="001649BE" w:rsidP="004C54D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6E1332" w:rsidRPr="006E1332" w:rsidTr="003C222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649BE" w:rsidRPr="006E1332" w:rsidRDefault="001649BE" w:rsidP="003C2224">
            <w:pPr>
              <w:spacing w:before="120" w:after="120"/>
              <w:jc w:val="center"/>
              <w:rPr>
                <w:b/>
                <w:sz w:val="28"/>
                <w:szCs w:val="28"/>
              </w:rPr>
            </w:pPr>
            <w:r w:rsidRPr="006E1332">
              <w:rPr>
                <w:b/>
                <w:sz w:val="28"/>
                <w:szCs w:val="28"/>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649BE" w:rsidRPr="006E1332" w:rsidRDefault="001649BE" w:rsidP="003C2224">
            <w:pPr>
              <w:spacing w:before="120" w:after="120"/>
              <w:jc w:val="center"/>
              <w:rPr>
                <w:sz w:val="28"/>
                <w:szCs w:val="28"/>
              </w:rPr>
            </w:pPr>
            <w:r w:rsidRPr="006E1332">
              <w:rPr>
                <w:b/>
                <w:sz w:val="28"/>
                <w:szCs w:val="28"/>
              </w:rPr>
              <w:t>0</w:t>
            </w:r>
          </w:p>
        </w:tc>
      </w:tr>
      <w:tr w:rsidR="006E1332" w:rsidRPr="006E1332" w:rsidTr="003C222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1649BE" w:rsidRPr="006E1332" w:rsidRDefault="001649BE" w:rsidP="003C2224">
            <w:pPr>
              <w:spacing w:before="120" w:after="120"/>
              <w:rPr>
                <w:sz w:val="16"/>
                <w:szCs w:val="22"/>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1649BE" w:rsidRPr="006E1332" w:rsidRDefault="001649BE" w:rsidP="003C2224">
            <w:pPr>
              <w:spacing w:before="120" w:after="120"/>
              <w:rPr>
                <w:sz w:val="16"/>
              </w:rPr>
            </w:pPr>
          </w:p>
        </w:tc>
      </w:tr>
    </w:tbl>
    <w:p w:rsidR="001649BE" w:rsidRPr="006E1332" w:rsidRDefault="001649BE" w:rsidP="00147FBF">
      <w:pPr>
        <w:pStyle w:val="Normal12"/>
      </w:pPr>
    </w:p>
    <w:p w:rsidR="001649BE" w:rsidRPr="006E1332" w:rsidRDefault="001649BE" w:rsidP="00B735E3">
      <w:r w:rsidRPr="006E1332">
        <w:t>Uporabljeni znaki:</w:t>
      </w:r>
    </w:p>
    <w:p w:rsidR="001649BE" w:rsidRPr="006E1332" w:rsidRDefault="001649BE" w:rsidP="00B735E3">
      <w:pPr>
        <w:pStyle w:val="NormalTabs"/>
      </w:pPr>
      <w:r w:rsidRPr="006E1332">
        <w:t>+</w:t>
      </w:r>
      <w:r w:rsidRPr="006E1332">
        <w:tab/>
        <w:t>:</w:t>
      </w:r>
      <w:r w:rsidRPr="006E1332">
        <w:tab/>
        <w:t>za</w:t>
      </w:r>
    </w:p>
    <w:p w:rsidR="001649BE" w:rsidRPr="006E1332" w:rsidRDefault="001649BE" w:rsidP="00B735E3">
      <w:pPr>
        <w:pStyle w:val="NormalTabs"/>
      </w:pPr>
      <w:r w:rsidRPr="006E1332">
        <w:t>-</w:t>
      </w:r>
      <w:r w:rsidRPr="006E1332">
        <w:tab/>
        <w:t>:</w:t>
      </w:r>
      <w:r w:rsidRPr="006E1332">
        <w:tab/>
        <w:t>proti</w:t>
      </w:r>
    </w:p>
    <w:p w:rsidR="001649BE" w:rsidRPr="006E1332" w:rsidRDefault="001649BE" w:rsidP="00B735E3">
      <w:pPr>
        <w:pStyle w:val="NormalTabs"/>
      </w:pPr>
      <w:r w:rsidRPr="006E1332">
        <w:t>0</w:t>
      </w:r>
      <w:r w:rsidRPr="006E1332">
        <w:tab/>
        <w:t>:</w:t>
      </w:r>
      <w:r w:rsidRPr="006E1332">
        <w:tab/>
        <w:t>vzdržani</w:t>
      </w:r>
    </w:p>
    <w:p w:rsidR="001649BE" w:rsidRPr="006E1332" w:rsidRDefault="001649BE" w:rsidP="00AD5932"/>
    <w:p w:rsidR="001649BE" w:rsidRPr="006E1332" w:rsidRDefault="001649BE" w:rsidP="004C54D0"/>
    <w:bookmarkEnd w:id="10"/>
    <w:p w:rsidR="00206B03" w:rsidRPr="006E1332" w:rsidRDefault="00206B03" w:rsidP="006E1332">
      <w:pPr>
        <w:pStyle w:val="PageHeading"/>
      </w:pPr>
      <w:r w:rsidRPr="006E1332">
        <w:br w:type="page"/>
      </w:r>
      <w:bookmarkStart w:id="11" w:name="ProcPageRR"/>
      <w:bookmarkStart w:id="12" w:name="_Toc534983554"/>
      <w:r w:rsidRPr="006E1332">
        <w:t>POSTOPEK V PRISTOJNEM ODBORU</w:t>
      </w:r>
      <w:bookmarkEnd w:id="12"/>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E1332" w:rsidRPr="006E13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b/>
                <w:bCs/>
                <w:sz w:val="20"/>
              </w:rPr>
            </w:pPr>
            <w:r w:rsidRPr="006E1332">
              <w:rPr>
                <w:b/>
                <w:bCs/>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sz w:val="20"/>
              </w:rPr>
            </w:pPr>
            <w:r w:rsidRPr="006E1332">
              <w:rPr>
                <w:sz w:val="20"/>
              </w:rPr>
              <w:t>Predlogi sprememb k Protokolu št. 3 o Statutu Sodišča Evropske unije</w:t>
            </w:r>
          </w:p>
        </w:tc>
      </w:tr>
      <w:tr w:rsidR="006E1332" w:rsidRPr="006E13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b/>
                <w:bCs/>
                <w:sz w:val="20"/>
              </w:rPr>
            </w:pPr>
            <w:r w:rsidRPr="006E1332">
              <w:rPr>
                <w:b/>
                <w:bCs/>
                <w:sz w:val="20"/>
              </w:rPr>
              <w:t>Referenčni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sz w:val="20"/>
              </w:rPr>
            </w:pPr>
            <w:r w:rsidRPr="006E1332">
              <w:rPr>
                <w:sz w:val="20"/>
              </w:rPr>
              <w:t>02360/2018 – C8-0132/2018 – 2018/0900(COD)</w:t>
            </w:r>
          </w:p>
        </w:tc>
      </w:tr>
      <w:tr w:rsidR="006E1332" w:rsidRPr="006E13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b/>
                <w:bCs/>
                <w:sz w:val="20"/>
              </w:rPr>
            </w:pPr>
            <w:r w:rsidRPr="006E1332">
              <w:rPr>
                <w:b/>
                <w:bCs/>
                <w:sz w:val="20"/>
              </w:rPr>
              <w:t>Pristojni odbor</w:t>
            </w:r>
          </w:p>
          <w:p w:rsidR="00206B03" w:rsidRPr="006E1332" w:rsidRDefault="006E1332">
            <w:pPr>
              <w:autoSpaceDE w:val="0"/>
              <w:autoSpaceDN w:val="0"/>
              <w:adjustRightInd w:val="0"/>
              <w:rPr>
                <w:sz w:val="20"/>
              </w:rPr>
            </w:pPr>
            <w:r>
              <w:rPr>
                <w:sz w:val="20"/>
              </w:rPr>
              <w:t xml:space="preserve"> </w:t>
            </w:r>
            <w:r w:rsidR="00206B03" w:rsidRPr="006E1332">
              <w:rPr>
                <w:sz w:val="20"/>
              </w:rPr>
              <w:t>Datum razglasitve na zasedanju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06B03" w:rsidRPr="006E1332" w:rsidRDefault="00206B03">
            <w:pPr>
              <w:autoSpaceDE w:val="0"/>
              <w:autoSpaceDN w:val="0"/>
              <w:adjustRightInd w:val="0"/>
              <w:rPr>
                <w:sz w:val="20"/>
              </w:rPr>
            </w:pPr>
            <w:r w:rsidRPr="006E1332">
              <w:rPr>
                <w:sz w:val="20"/>
              </w:rPr>
              <w:t>JURI</w:t>
            </w:r>
          </w:p>
          <w:p w:rsidR="00206B03" w:rsidRPr="006E1332" w:rsidRDefault="00206B03">
            <w:pPr>
              <w:autoSpaceDE w:val="0"/>
              <w:autoSpaceDN w:val="0"/>
              <w:adjustRightInd w:val="0"/>
              <w:rPr>
                <w:sz w:val="20"/>
              </w:rPr>
            </w:pPr>
            <w:r w:rsidRPr="006E1332">
              <w:rPr>
                <w:sz w:val="20"/>
              </w:rPr>
              <w:t>16.4.2018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6B03" w:rsidRPr="006E1332" w:rsidRDefault="00206B03">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6B03" w:rsidRPr="006E1332" w:rsidRDefault="00206B03">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rFonts w:ascii="sans-serif" w:hAnsi="sans-serif" w:cs="sans-serif"/>
                <w:szCs w:val="24"/>
              </w:rPr>
            </w:pPr>
          </w:p>
        </w:tc>
      </w:tr>
      <w:tr w:rsidR="006E1332" w:rsidRPr="006E13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b/>
                <w:bCs/>
                <w:sz w:val="20"/>
              </w:rPr>
            </w:pPr>
            <w:r w:rsidRPr="006E1332">
              <w:rPr>
                <w:b/>
                <w:bCs/>
                <w:sz w:val="20"/>
              </w:rPr>
              <w:t>Odbori, zaprošeni za mnenje</w:t>
            </w:r>
          </w:p>
          <w:p w:rsidR="00206B03" w:rsidRPr="006E1332" w:rsidRDefault="006E1332">
            <w:pPr>
              <w:autoSpaceDE w:val="0"/>
              <w:autoSpaceDN w:val="0"/>
              <w:adjustRightInd w:val="0"/>
              <w:rPr>
                <w:sz w:val="20"/>
              </w:rPr>
            </w:pPr>
            <w:r>
              <w:rPr>
                <w:sz w:val="20"/>
              </w:rPr>
              <w:t xml:space="preserve"> </w:t>
            </w:r>
            <w:r w:rsidR="00206B03" w:rsidRPr="006E1332">
              <w:rPr>
                <w:sz w:val="20"/>
              </w:rPr>
              <w:t>Datum razglasitve na zasedanju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06B03" w:rsidRPr="006E1332" w:rsidRDefault="00206B03">
            <w:pPr>
              <w:autoSpaceDE w:val="0"/>
              <w:autoSpaceDN w:val="0"/>
              <w:adjustRightInd w:val="0"/>
              <w:rPr>
                <w:sz w:val="20"/>
              </w:rPr>
            </w:pPr>
            <w:r w:rsidRPr="006E1332">
              <w:rPr>
                <w:sz w:val="20"/>
              </w:rPr>
              <w:t>AFCO</w:t>
            </w:r>
          </w:p>
          <w:p w:rsidR="00206B03" w:rsidRPr="006E1332" w:rsidRDefault="00206B03">
            <w:pPr>
              <w:autoSpaceDE w:val="0"/>
              <w:autoSpaceDN w:val="0"/>
              <w:adjustRightInd w:val="0"/>
              <w:rPr>
                <w:sz w:val="20"/>
              </w:rPr>
            </w:pPr>
            <w:r w:rsidRPr="006E1332">
              <w:rPr>
                <w:sz w:val="20"/>
              </w:rPr>
              <w:t>16.4.2018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6B03" w:rsidRPr="006E1332" w:rsidRDefault="00206B03">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6B03" w:rsidRPr="006E1332" w:rsidRDefault="00206B03">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rFonts w:ascii="sans-serif" w:hAnsi="sans-serif" w:cs="sans-serif"/>
                <w:szCs w:val="24"/>
              </w:rPr>
            </w:pPr>
          </w:p>
        </w:tc>
      </w:tr>
      <w:tr w:rsidR="006E1332" w:rsidRPr="006E13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b/>
                <w:bCs/>
                <w:sz w:val="20"/>
              </w:rPr>
            </w:pPr>
            <w:r w:rsidRPr="006E1332">
              <w:rPr>
                <w:b/>
                <w:bCs/>
                <w:sz w:val="20"/>
              </w:rPr>
              <w:t>Poročevalec/-ka</w:t>
            </w:r>
          </w:p>
          <w:p w:rsidR="00206B03" w:rsidRPr="006E1332" w:rsidRDefault="006E1332">
            <w:pPr>
              <w:autoSpaceDE w:val="0"/>
              <w:autoSpaceDN w:val="0"/>
              <w:adjustRightInd w:val="0"/>
              <w:rPr>
                <w:sz w:val="20"/>
              </w:rPr>
            </w:pPr>
            <w:r>
              <w:rPr>
                <w:sz w:val="20"/>
              </w:rPr>
              <w:t xml:space="preserve"> </w:t>
            </w:r>
            <w:r w:rsidR="00206B03" w:rsidRPr="006E1332">
              <w:rPr>
                <w:sz w:val="20"/>
              </w:rPr>
              <w:t>Datum imenovanja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06B03" w:rsidRPr="006E1332" w:rsidRDefault="00206B03">
            <w:pPr>
              <w:autoSpaceDE w:val="0"/>
              <w:autoSpaceDN w:val="0"/>
              <w:adjustRightInd w:val="0"/>
              <w:rPr>
                <w:sz w:val="20"/>
              </w:rPr>
            </w:pPr>
            <w:r w:rsidRPr="006E1332">
              <w:rPr>
                <w:sz w:val="20"/>
              </w:rPr>
              <w:t>Tiemo Wölken</w:t>
            </w:r>
          </w:p>
          <w:p w:rsidR="00206B03" w:rsidRPr="006E1332" w:rsidRDefault="00206B03">
            <w:pPr>
              <w:autoSpaceDE w:val="0"/>
              <w:autoSpaceDN w:val="0"/>
              <w:adjustRightInd w:val="0"/>
              <w:rPr>
                <w:sz w:val="20"/>
              </w:rPr>
            </w:pPr>
            <w:r w:rsidRPr="006E1332">
              <w:rPr>
                <w:sz w:val="20"/>
              </w:rPr>
              <w:t>15.5.2018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6B03" w:rsidRPr="006E1332" w:rsidRDefault="00206B03">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6B03" w:rsidRPr="006E1332" w:rsidRDefault="00206B03">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rFonts w:ascii="sans-serif" w:hAnsi="sans-serif" w:cs="sans-serif"/>
                <w:szCs w:val="24"/>
              </w:rPr>
            </w:pPr>
          </w:p>
        </w:tc>
      </w:tr>
      <w:tr w:rsidR="006E1332" w:rsidRPr="006E13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b/>
                <w:bCs/>
                <w:sz w:val="20"/>
              </w:rPr>
            </w:pPr>
            <w:r w:rsidRPr="006E1332">
              <w:rPr>
                <w:b/>
                <w:bCs/>
                <w:sz w:val="20"/>
              </w:rPr>
              <w:t>Obravnava v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06B03" w:rsidRPr="006E1332" w:rsidRDefault="00206B03">
            <w:pPr>
              <w:autoSpaceDE w:val="0"/>
              <w:autoSpaceDN w:val="0"/>
              <w:adjustRightInd w:val="0"/>
              <w:rPr>
                <w:sz w:val="20"/>
              </w:rPr>
            </w:pPr>
            <w:r w:rsidRPr="006E1332">
              <w:rPr>
                <w:sz w:val="20"/>
              </w:rPr>
              <w:t>21.6.2018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6B03" w:rsidRPr="006E1332" w:rsidRDefault="00206B03">
            <w:pPr>
              <w:autoSpaceDE w:val="0"/>
              <w:autoSpaceDN w:val="0"/>
              <w:adjustRightInd w:val="0"/>
              <w:rPr>
                <w:sz w:val="20"/>
              </w:rPr>
            </w:pPr>
            <w:r w:rsidRPr="006E1332">
              <w:rPr>
                <w:sz w:val="20"/>
              </w:rPr>
              <w:t>22.10.2018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06B03" w:rsidRPr="006E1332" w:rsidRDefault="00206B03">
            <w:pPr>
              <w:autoSpaceDE w:val="0"/>
              <w:autoSpaceDN w:val="0"/>
              <w:adjustRightInd w:val="0"/>
              <w:rPr>
                <w:sz w:val="20"/>
              </w:rPr>
            </w:pPr>
            <w:r w:rsidRPr="006E1332">
              <w:rPr>
                <w:sz w:val="20"/>
              </w:rPr>
              <w:t>20.11.2018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rFonts w:ascii="sans-serif" w:hAnsi="sans-serif" w:cs="sans-serif"/>
                <w:szCs w:val="24"/>
              </w:rPr>
            </w:pPr>
          </w:p>
        </w:tc>
      </w:tr>
      <w:tr w:rsidR="006E1332" w:rsidRPr="006E13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b/>
                <w:bCs/>
                <w:sz w:val="20"/>
              </w:rPr>
            </w:pPr>
            <w:r w:rsidRPr="006E1332">
              <w:rPr>
                <w:b/>
                <w:bCs/>
                <w:sz w:val="20"/>
              </w:rPr>
              <w:t>Datum sprejetja</w:t>
            </w:r>
          </w:p>
        </w:tc>
        <w:tc>
          <w:tcPr>
            <w:tcW w:w="1530" w:type="dxa"/>
            <w:tcBorders>
              <w:top w:val="nil"/>
              <w:left w:val="nil"/>
              <w:bottom w:val="single" w:sz="8" w:space="0" w:color="000000"/>
              <w:right w:val="nil"/>
            </w:tcBorders>
            <w:tcMar>
              <w:top w:w="79" w:type="dxa"/>
              <w:left w:w="79" w:type="dxa"/>
              <w:bottom w:w="79" w:type="dxa"/>
              <w:right w:w="79" w:type="dxa"/>
            </w:tcMar>
          </w:tcPr>
          <w:p w:rsidR="00206B03" w:rsidRPr="006E1332" w:rsidRDefault="00206B03">
            <w:pPr>
              <w:autoSpaceDE w:val="0"/>
              <w:autoSpaceDN w:val="0"/>
              <w:adjustRightInd w:val="0"/>
              <w:rPr>
                <w:sz w:val="20"/>
              </w:rPr>
            </w:pPr>
            <w:r w:rsidRPr="006E1332">
              <w:rPr>
                <w:sz w:val="20"/>
              </w:rPr>
              <w:t>6.12.2018</w:t>
            </w:r>
          </w:p>
        </w:tc>
        <w:tc>
          <w:tcPr>
            <w:tcW w:w="1474" w:type="dxa"/>
            <w:tcBorders>
              <w:top w:val="nil"/>
              <w:left w:val="nil"/>
              <w:bottom w:val="single" w:sz="8" w:space="0" w:color="000000"/>
              <w:right w:val="nil"/>
            </w:tcBorders>
            <w:tcMar>
              <w:top w:w="79" w:type="dxa"/>
              <w:left w:w="79" w:type="dxa"/>
              <w:bottom w:w="79" w:type="dxa"/>
              <w:right w:w="79" w:type="dxa"/>
            </w:tcMar>
          </w:tcPr>
          <w:p w:rsidR="00206B03" w:rsidRPr="006E1332" w:rsidRDefault="00206B03">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206B03" w:rsidRPr="006E1332" w:rsidRDefault="00206B03">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rFonts w:ascii="sans-serif" w:hAnsi="sans-serif" w:cs="sans-serif"/>
                <w:szCs w:val="24"/>
              </w:rPr>
            </w:pPr>
          </w:p>
        </w:tc>
      </w:tr>
      <w:tr w:rsidR="006E1332" w:rsidRPr="006E13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b/>
                <w:bCs/>
                <w:sz w:val="20"/>
              </w:rPr>
            </w:pPr>
            <w:r w:rsidRPr="006E1332">
              <w:rPr>
                <w:b/>
                <w:bCs/>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06B03" w:rsidRPr="006E1332" w:rsidRDefault="00206B03">
            <w:pPr>
              <w:autoSpaceDE w:val="0"/>
              <w:autoSpaceDN w:val="0"/>
              <w:adjustRightInd w:val="0"/>
              <w:rPr>
                <w:sz w:val="20"/>
              </w:rPr>
            </w:pPr>
            <w:r w:rsidRPr="006E1332">
              <w:rPr>
                <w:sz w:val="20"/>
              </w:rPr>
              <w:t>+:</w:t>
            </w:r>
          </w:p>
          <w:p w:rsidR="00206B03" w:rsidRPr="006E1332" w:rsidRDefault="00206B03">
            <w:pPr>
              <w:autoSpaceDE w:val="0"/>
              <w:autoSpaceDN w:val="0"/>
              <w:adjustRightInd w:val="0"/>
              <w:rPr>
                <w:sz w:val="20"/>
              </w:rPr>
            </w:pPr>
            <w:r w:rsidRPr="006E1332">
              <w:rPr>
                <w:sz w:val="20"/>
              </w:rPr>
              <w:t>–:</w:t>
            </w:r>
          </w:p>
          <w:p w:rsidR="00206B03" w:rsidRPr="006E1332" w:rsidRDefault="00206B03">
            <w:pPr>
              <w:autoSpaceDE w:val="0"/>
              <w:autoSpaceDN w:val="0"/>
              <w:adjustRightInd w:val="0"/>
              <w:rPr>
                <w:sz w:val="20"/>
              </w:rPr>
            </w:pPr>
            <w:r w:rsidRPr="006E1332">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sz w:val="20"/>
              </w:rPr>
            </w:pPr>
            <w:r w:rsidRPr="006E1332">
              <w:rPr>
                <w:sz w:val="20"/>
              </w:rPr>
              <w:t>20</w:t>
            </w:r>
          </w:p>
          <w:p w:rsidR="00206B03" w:rsidRPr="006E1332" w:rsidRDefault="00206B03">
            <w:pPr>
              <w:autoSpaceDE w:val="0"/>
              <w:autoSpaceDN w:val="0"/>
              <w:adjustRightInd w:val="0"/>
              <w:rPr>
                <w:sz w:val="20"/>
              </w:rPr>
            </w:pPr>
            <w:r w:rsidRPr="006E1332">
              <w:rPr>
                <w:sz w:val="20"/>
              </w:rPr>
              <w:t>1</w:t>
            </w:r>
          </w:p>
          <w:p w:rsidR="00206B03" w:rsidRPr="006E1332" w:rsidRDefault="00206B03">
            <w:pPr>
              <w:autoSpaceDE w:val="0"/>
              <w:autoSpaceDN w:val="0"/>
              <w:adjustRightInd w:val="0"/>
              <w:rPr>
                <w:sz w:val="20"/>
              </w:rPr>
            </w:pPr>
            <w:r w:rsidRPr="006E1332">
              <w:rPr>
                <w:sz w:val="20"/>
              </w:rPr>
              <w:t>1</w:t>
            </w:r>
          </w:p>
        </w:tc>
      </w:tr>
      <w:tr w:rsidR="006E1332" w:rsidRPr="006E133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b/>
                <w:bCs/>
                <w:sz w:val="20"/>
              </w:rPr>
            </w:pPr>
            <w:r w:rsidRPr="006E1332">
              <w:rPr>
                <w:b/>
                <w:bCs/>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sz w:val="20"/>
              </w:rPr>
            </w:pPr>
            <w:r w:rsidRPr="006E1332">
              <w:rPr>
                <w:sz w:val="20"/>
              </w:rPr>
              <w:t>Joëlle Bergeron, Jean-Marie Cavada, Mady Delvaux, Rosa Estaràs Ferragut, Mary Honeyball, Julia Reda, Evelyn Regner, Pavel Svoboda, József Szájer, Axel Voss</w:t>
            </w:r>
          </w:p>
        </w:tc>
      </w:tr>
      <w:tr w:rsidR="006E1332" w:rsidRPr="006E13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b/>
                <w:bCs/>
                <w:sz w:val="20"/>
              </w:rPr>
            </w:pPr>
            <w:r w:rsidRPr="006E1332">
              <w:rPr>
                <w:b/>
                <w:bCs/>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sz w:val="20"/>
              </w:rPr>
            </w:pPr>
            <w:r w:rsidRPr="006E1332">
              <w:rPr>
                <w:sz w:val="20"/>
              </w:rPr>
              <w:t>Geoffroy Didier, Pascal Durand, Angel Džambazki (Angel Dzhambazki), Ana Miranda, Jens Rohde, Virginie Rozière, Tiemo Wölken</w:t>
            </w:r>
          </w:p>
        </w:tc>
      </w:tr>
      <w:tr w:rsidR="006E1332" w:rsidRPr="006E13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b/>
                <w:bCs/>
                <w:sz w:val="20"/>
              </w:rPr>
            </w:pPr>
            <w:r w:rsidRPr="006E1332">
              <w:rPr>
                <w:b/>
                <w:bCs/>
                <w:sz w:val="20"/>
              </w:rPr>
              <w:t>Namestniki (člen 200(2)),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sz w:val="20"/>
              </w:rPr>
            </w:pPr>
            <w:r w:rsidRPr="006E1332">
              <w:rPr>
                <w:sz w:val="20"/>
              </w:rPr>
              <w:t>Lucy Anderson, Georges Bach, Kostadinka Kuneva, Jeroen Lenaers, Philippe Loiseau</w:t>
            </w:r>
          </w:p>
        </w:tc>
      </w:tr>
      <w:tr w:rsidR="00206B03" w:rsidRPr="006E133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b/>
                <w:bCs/>
                <w:sz w:val="20"/>
              </w:rPr>
            </w:pPr>
            <w:r w:rsidRPr="006E1332">
              <w:rPr>
                <w:b/>
                <w:bCs/>
                <w:sz w:val="20"/>
              </w:rPr>
              <w:t>Datum predložitve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06B03" w:rsidRPr="006E1332" w:rsidRDefault="00206B03">
            <w:pPr>
              <w:autoSpaceDE w:val="0"/>
              <w:autoSpaceDN w:val="0"/>
              <w:adjustRightInd w:val="0"/>
              <w:rPr>
                <w:sz w:val="20"/>
              </w:rPr>
            </w:pPr>
            <w:r w:rsidRPr="006E1332">
              <w:rPr>
                <w:sz w:val="20"/>
              </w:rPr>
              <w:t>7.12.2018</w:t>
            </w:r>
          </w:p>
        </w:tc>
      </w:tr>
    </w:tbl>
    <w:p w:rsidR="00206B03" w:rsidRPr="006E1332" w:rsidRDefault="00206B03" w:rsidP="00062FDF"/>
    <w:bookmarkEnd w:id="11"/>
    <w:p w:rsidR="00062FDF" w:rsidRPr="006E1332" w:rsidRDefault="00062FDF" w:rsidP="00AD5932">
      <w:pPr>
        <w:pStyle w:val="PageHeading"/>
        <w:rPr>
          <w:szCs w:val="24"/>
        </w:rPr>
      </w:pPr>
      <w:r w:rsidRPr="006E1332">
        <w:br w:type="page"/>
      </w:r>
      <w:bookmarkStart w:id="13" w:name="RollCallPageRR"/>
      <w:bookmarkStart w:id="14" w:name="_Toc534983555"/>
      <w:r w:rsidRPr="006E1332">
        <w:t>POIMENSKO GLASOVANJE PRI KONČNEM GLASOVANJU</w:t>
      </w:r>
      <w:r w:rsidRPr="006E1332">
        <w:br/>
        <w:t>V PRISTOJNEM ODBORU</w:t>
      </w:r>
      <w:bookmarkEnd w:id="1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E1332" w:rsidRPr="006E1332" w:rsidTr="0082079E">
        <w:trPr>
          <w:cantSplit/>
        </w:trPr>
        <w:tc>
          <w:tcPr>
            <w:tcW w:w="1701" w:type="dxa"/>
            <w:shd w:val="pct10" w:color="000000" w:fill="FFFFFF"/>
            <w:vAlign w:val="center"/>
          </w:tcPr>
          <w:p w:rsidR="00062FDF" w:rsidRPr="006E1332" w:rsidRDefault="00062FDF" w:rsidP="0082079E">
            <w:pPr>
              <w:spacing w:before="120" w:after="120"/>
              <w:jc w:val="center"/>
              <w:rPr>
                <w:b/>
                <w:sz w:val="20"/>
              </w:rPr>
            </w:pPr>
            <w:r w:rsidRPr="006E1332">
              <w:rPr>
                <w:b/>
                <w:sz w:val="20"/>
              </w:rPr>
              <w:t>20</w:t>
            </w:r>
          </w:p>
        </w:tc>
        <w:tc>
          <w:tcPr>
            <w:tcW w:w="7371" w:type="dxa"/>
            <w:shd w:val="pct10" w:color="000000" w:fill="FFFFFF"/>
          </w:tcPr>
          <w:p w:rsidR="00062FDF" w:rsidRPr="006E1332" w:rsidRDefault="00062FDF" w:rsidP="0082079E">
            <w:pPr>
              <w:spacing w:before="120" w:after="120"/>
              <w:jc w:val="center"/>
              <w:rPr>
                <w:rFonts w:ascii="Arial" w:hAnsi="Arial" w:cs="Arial"/>
                <w:b/>
                <w:sz w:val="28"/>
                <w:szCs w:val="28"/>
              </w:rPr>
            </w:pPr>
            <w:r w:rsidRPr="006E1332">
              <w:rPr>
                <w:rFonts w:ascii="Arial" w:hAnsi="Arial"/>
                <w:b/>
                <w:sz w:val="28"/>
                <w:szCs w:val="28"/>
              </w:rPr>
              <w:t>+</w:t>
            </w:r>
          </w:p>
        </w:tc>
      </w:tr>
      <w:tr w:rsidR="006E1332" w:rsidRPr="006E1332" w:rsidTr="0082079E">
        <w:trPr>
          <w:cantSplit/>
        </w:trPr>
        <w:tc>
          <w:tcPr>
            <w:tcW w:w="1701" w:type="dxa"/>
            <w:shd w:val="clear" w:color="auto" w:fill="FFFFFF"/>
          </w:tcPr>
          <w:p w:rsidR="00062FDF" w:rsidRPr="006E1332" w:rsidRDefault="00062FDF" w:rsidP="0082079E">
            <w:pPr>
              <w:spacing w:before="120" w:after="120"/>
              <w:rPr>
                <w:sz w:val="20"/>
              </w:rPr>
            </w:pPr>
            <w:r w:rsidRPr="006E1332">
              <w:rPr>
                <w:sz w:val="20"/>
              </w:rPr>
              <w:t>ALDE</w:t>
            </w:r>
          </w:p>
        </w:tc>
        <w:tc>
          <w:tcPr>
            <w:tcW w:w="7371" w:type="dxa"/>
            <w:shd w:val="clear" w:color="auto" w:fill="FFFFFF"/>
          </w:tcPr>
          <w:p w:rsidR="00062FDF" w:rsidRPr="006E1332" w:rsidRDefault="00062FDF" w:rsidP="0082079E">
            <w:pPr>
              <w:spacing w:before="120" w:after="120"/>
              <w:rPr>
                <w:sz w:val="20"/>
              </w:rPr>
            </w:pPr>
            <w:r w:rsidRPr="006E1332">
              <w:rPr>
                <w:sz w:val="20"/>
              </w:rPr>
              <w:t>Jean-Marie Cavada, Jens Rohde</w:t>
            </w:r>
          </w:p>
        </w:tc>
      </w:tr>
      <w:tr w:rsidR="006E1332" w:rsidRPr="006E1332" w:rsidTr="0082079E">
        <w:trPr>
          <w:cantSplit/>
        </w:trPr>
        <w:tc>
          <w:tcPr>
            <w:tcW w:w="1701" w:type="dxa"/>
            <w:shd w:val="clear" w:color="auto" w:fill="FFFFFF"/>
          </w:tcPr>
          <w:p w:rsidR="00062FDF" w:rsidRPr="006E1332" w:rsidRDefault="00062FDF" w:rsidP="0082079E">
            <w:pPr>
              <w:spacing w:before="120" w:after="120"/>
              <w:rPr>
                <w:sz w:val="20"/>
              </w:rPr>
            </w:pPr>
            <w:r w:rsidRPr="006E1332">
              <w:rPr>
                <w:sz w:val="20"/>
              </w:rPr>
              <w:t>EFDD</w:t>
            </w:r>
          </w:p>
        </w:tc>
        <w:tc>
          <w:tcPr>
            <w:tcW w:w="7371" w:type="dxa"/>
            <w:shd w:val="clear" w:color="auto" w:fill="FFFFFF"/>
          </w:tcPr>
          <w:p w:rsidR="00062FDF" w:rsidRPr="006E1332" w:rsidRDefault="00062FDF" w:rsidP="0082079E">
            <w:pPr>
              <w:spacing w:before="120" w:after="120"/>
              <w:rPr>
                <w:sz w:val="20"/>
              </w:rPr>
            </w:pPr>
            <w:r w:rsidRPr="006E1332">
              <w:rPr>
                <w:sz w:val="20"/>
              </w:rPr>
              <w:t>Joëlle Bergeron</w:t>
            </w:r>
          </w:p>
        </w:tc>
      </w:tr>
      <w:tr w:rsidR="006E1332" w:rsidRPr="006E1332" w:rsidTr="0082079E">
        <w:trPr>
          <w:cantSplit/>
        </w:trPr>
        <w:tc>
          <w:tcPr>
            <w:tcW w:w="1701" w:type="dxa"/>
            <w:shd w:val="clear" w:color="auto" w:fill="FFFFFF"/>
          </w:tcPr>
          <w:p w:rsidR="00062FDF" w:rsidRPr="006E1332" w:rsidRDefault="00062FDF" w:rsidP="0082079E">
            <w:pPr>
              <w:spacing w:before="120" w:after="120"/>
              <w:rPr>
                <w:sz w:val="20"/>
              </w:rPr>
            </w:pPr>
            <w:r w:rsidRPr="006E1332">
              <w:rPr>
                <w:sz w:val="20"/>
              </w:rPr>
              <w:t>ENF</w:t>
            </w:r>
          </w:p>
        </w:tc>
        <w:tc>
          <w:tcPr>
            <w:tcW w:w="7371" w:type="dxa"/>
            <w:shd w:val="clear" w:color="auto" w:fill="FFFFFF"/>
          </w:tcPr>
          <w:p w:rsidR="00062FDF" w:rsidRPr="006E1332" w:rsidRDefault="00062FDF" w:rsidP="0082079E">
            <w:pPr>
              <w:spacing w:before="120" w:after="120"/>
              <w:rPr>
                <w:sz w:val="20"/>
              </w:rPr>
            </w:pPr>
            <w:r w:rsidRPr="006E1332">
              <w:rPr>
                <w:sz w:val="20"/>
              </w:rPr>
              <w:t>Philippe Loiseau</w:t>
            </w:r>
          </w:p>
        </w:tc>
      </w:tr>
      <w:tr w:rsidR="006E1332" w:rsidRPr="006E1332" w:rsidTr="0082079E">
        <w:trPr>
          <w:cantSplit/>
        </w:trPr>
        <w:tc>
          <w:tcPr>
            <w:tcW w:w="1701" w:type="dxa"/>
            <w:shd w:val="clear" w:color="auto" w:fill="FFFFFF"/>
          </w:tcPr>
          <w:p w:rsidR="00062FDF" w:rsidRPr="006E1332" w:rsidRDefault="00062FDF" w:rsidP="0082079E">
            <w:pPr>
              <w:spacing w:before="120" w:after="120"/>
              <w:rPr>
                <w:sz w:val="20"/>
              </w:rPr>
            </w:pPr>
            <w:r w:rsidRPr="006E1332">
              <w:rPr>
                <w:sz w:val="20"/>
              </w:rPr>
              <w:t>PPE</w:t>
            </w:r>
          </w:p>
        </w:tc>
        <w:tc>
          <w:tcPr>
            <w:tcW w:w="7371" w:type="dxa"/>
            <w:shd w:val="clear" w:color="auto" w:fill="FFFFFF"/>
          </w:tcPr>
          <w:p w:rsidR="00062FDF" w:rsidRPr="006E1332" w:rsidRDefault="00062FDF" w:rsidP="0082079E">
            <w:pPr>
              <w:spacing w:before="120" w:after="120"/>
              <w:rPr>
                <w:sz w:val="20"/>
              </w:rPr>
            </w:pPr>
            <w:r w:rsidRPr="006E1332">
              <w:rPr>
                <w:sz w:val="20"/>
              </w:rPr>
              <w:t>Georges Bach, Geoffroy Didier, Rosa Estaràs Ferragut, Jeroen Lenaers, Pavel Svoboda, József Szájer, Axel Voss</w:t>
            </w:r>
          </w:p>
        </w:tc>
      </w:tr>
      <w:tr w:rsidR="006E1332" w:rsidRPr="006E1332" w:rsidTr="0082079E">
        <w:trPr>
          <w:cantSplit/>
        </w:trPr>
        <w:tc>
          <w:tcPr>
            <w:tcW w:w="1701" w:type="dxa"/>
            <w:shd w:val="clear" w:color="auto" w:fill="FFFFFF"/>
          </w:tcPr>
          <w:p w:rsidR="00062FDF" w:rsidRPr="006E1332" w:rsidRDefault="00062FDF" w:rsidP="0082079E">
            <w:pPr>
              <w:spacing w:before="120" w:after="120"/>
              <w:rPr>
                <w:sz w:val="20"/>
              </w:rPr>
            </w:pPr>
            <w:r w:rsidRPr="006E1332">
              <w:rPr>
                <w:sz w:val="20"/>
              </w:rPr>
              <w:t>S&amp;D</w:t>
            </w:r>
          </w:p>
        </w:tc>
        <w:tc>
          <w:tcPr>
            <w:tcW w:w="7371" w:type="dxa"/>
            <w:shd w:val="clear" w:color="auto" w:fill="FFFFFF"/>
          </w:tcPr>
          <w:p w:rsidR="00062FDF" w:rsidRPr="006E1332" w:rsidRDefault="00062FDF" w:rsidP="0082079E">
            <w:pPr>
              <w:spacing w:before="120" w:after="120"/>
              <w:rPr>
                <w:sz w:val="20"/>
              </w:rPr>
            </w:pPr>
            <w:r w:rsidRPr="006E1332">
              <w:rPr>
                <w:sz w:val="20"/>
              </w:rPr>
              <w:t>Lucy Anderson, Mady Delvaux, Mary Honeyball, Evelyn Regner, Virginie Rozière, Tiemo Wölken</w:t>
            </w:r>
          </w:p>
        </w:tc>
      </w:tr>
      <w:tr w:rsidR="006E1332" w:rsidRPr="006E1332" w:rsidTr="0082079E">
        <w:trPr>
          <w:cantSplit/>
        </w:trPr>
        <w:tc>
          <w:tcPr>
            <w:tcW w:w="1701" w:type="dxa"/>
            <w:shd w:val="clear" w:color="auto" w:fill="FFFFFF"/>
          </w:tcPr>
          <w:p w:rsidR="00062FDF" w:rsidRPr="006E1332" w:rsidRDefault="00062FDF" w:rsidP="0082079E">
            <w:pPr>
              <w:spacing w:before="120" w:after="120"/>
              <w:rPr>
                <w:sz w:val="20"/>
              </w:rPr>
            </w:pPr>
            <w:r w:rsidRPr="006E1332">
              <w:rPr>
                <w:sz w:val="20"/>
              </w:rPr>
              <w:t>VERTS/ALE</w:t>
            </w:r>
          </w:p>
        </w:tc>
        <w:tc>
          <w:tcPr>
            <w:tcW w:w="7371" w:type="dxa"/>
            <w:shd w:val="clear" w:color="auto" w:fill="FFFFFF"/>
          </w:tcPr>
          <w:p w:rsidR="00062FDF" w:rsidRPr="006E1332" w:rsidRDefault="00062FDF" w:rsidP="0082079E">
            <w:pPr>
              <w:spacing w:before="120" w:after="120"/>
              <w:rPr>
                <w:sz w:val="20"/>
              </w:rPr>
            </w:pPr>
            <w:r w:rsidRPr="006E1332">
              <w:rPr>
                <w:sz w:val="20"/>
              </w:rPr>
              <w:t>Pascal Durand, Ana Miranda, Julia Reda</w:t>
            </w:r>
          </w:p>
        </w:tc>
      </w:tr>
    </w:tbl>
    <w:p w:rsidR="00062FDF" w:rsidRPr="006E1332" w:rsidRDefault="00062FDF" w:rsidP="00062FD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E1332" w:rsidRPr="006E1332" w:rsidTr="0082079E">
        <w:trPr>
          <w:cantSplit/>
        </w:trPr>
        <w:tc>
          <w:tcPr>
            <w:tcW w:w="1701" w:type="dxa"/>
            <w:shd w:val="pct10" w:color="000000" w:fill="FFFFFF"/>
            <w:vAlign w:val="center"/>
          </w:tcPr>
          <w:p w:rsidR="00062FDF" w:rsidRPr="006E1332" w:rsidRDefault="00062FDF" w:rsidP="0082079E">
            <w:pPr>
              <w:spacing w:before="120" w:after="120"/>
              <w:jc w:val="center"/>
              <w:rPr>
                <w:b/>
                <w:sz w:val="20"/>
              </w:rPr>
            </w:pPr>
            <w:r w:rsidRPr="006E1332">
              <w:rPr>
                <w:b/>
                <w:sz w:val="20"/>
              </w:rPr>
              <w:t>1</w:t>
            </w:r>
          </w:p>
        </w:tc>
        <w:tc>
          <w:tcPr>
            <w:tcW w:w="7371" w:type="dxa"/>
            <w:shd w:val="pct10" w:color="000000" w:fill="FFFFFF"/>
          </w:tcPr>
          <w:p w:rsidR="00062FDF" w:rsidRPr="006E1332" w:rsidRDefault="00062FDF" w:rsidP="0082079E">
            <w:pPr>
              <w:spacing w:before="120" w:after="120"/>
              <w:jc w:val="center"/>
              <w:rPr>
                <w:sz w:val="28"/>
                <w:szCs w:val="28"/>
              </w:rPr>
            </w:pPr>
            <w:r w:rsidRPr="006E1332">
              <w:rPr>
                <w:rFonts w:ascii="Arial" w:hAnsi="Arial"/>
                <w:b/>
                <w:sz w:val="28"/>
                <w:szCs w:val="28"/>
              </w:rPr>
              <w:t>-</w:t>
            </w:r>
          </w:p>
        </w:tc>
      </w:tr>
      <w:tr w:rsidR="006E1332" w:rsidRPr="006E1332" w:rsidTr="0082079E">
        <w:trPr>
          <w:cantSplit/>
        </w:trPr>
        <w:tc>
          <w:tcPr>
            <w:tcW w:w="1701" w:type="dxa"/>
            <w:shd w:val="clear" w:color="auto" w:fill="FFFFFF"/>
          </w:tcPr>
          <w:p w:rsidR="00062FDF" w:rsidRPr="006E1332" w:rsidRDefault="00062FDF" w:rsidP="0082079E">
            <w:pPr>
              <w:spacing w:before="120" w:after="120"/>
              <w:rPr>
                <w:sz w:val="20"/>
              </w:rPr>
            </w:pPr>
            <w:r w:rsidRPr="006E1332">
              <w:rPr>
                <w:sz w:val="20"/>
              </w:rPr>
              <w:t>GUE/NGL</w:t>
            </w:r>
          </w:p>
        </w:tc>
        <w:tc>
          <w:tcPr>
            <w:tcW w:w="7371" w:type="dxa"/>
            <w:shd w:val="clear" w:color="auto" w:fill="FFFFFF"/>
          </w:tcPr>
          <w:p w:rsidR="00062FDF" w:rsidRPr="006E1332" w:rsidRDefault="00062FDF" w:rsidP="0082079E">
            <w:pPr>
              <w:spacing w:before="120" w:after="120"/>
              <w:rPr>
                <w:sz w:val="20"/>
              </w:rPr>
            </w:pPr>
            <w:r w:rsidRPr="006E1332">
              <w:rPr>
                <w:sz w:val="20"/>
              </w:rPr>
              <w:t>Kostadinka Kuneva</w:t>
            </w:r>
          </w:p>
        </w:tc>
      </w:tr>
    </w:tbl>
    <w:p w:rsidR="00062FDF" w:rsidRPr="006E1332" w:rsidRDefault="00062FDF" w:rsidP="00062FD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E1332" w:rsidRPr="006E1332" w:rsidTr="0082079E">
        <w:trPr>
          <w:cantSplit/>
        </w:trPr>
        <w:tc>
          <w:tcPr>
            <w:tcW w:w="1701" w:type="dxa"/>
            <w:shd w:val="pct10" w:color="000000" w:fill="FFFFFF"/>
            <w:vAlign w:val="center"/>
          </w:tcPr>
          <w:p w:rsidR="00062FDF" w:rsidRPr="006E1332" w:rsidRDefault="00062FDF" w:rsidP="0082079E">
            <w:pPr>
              <w:spacing w:before="120" w:after="120"/>
              <w:jc w:val="center"/>
              <w:rPr>
                <w:b/>
                <w:sz w:val="20"/>
              </w:rPr>
            </w:pPr>
            <w:r w:rsidRPr="006E1332">
              <w:rPr>
                <w:b/>
                <w:sz w:val="20"/>
              </w:rPr>
              <w:t>1</w:t>
            </w:r>
          </w:p>
        </w:tc>
        <w:tc>
          <w:tcPr>
            <w:tcW w:w="7371" w:type="dxa"/>
            <w:shd w:val="pct10" w:color="000000" w:fill="FFFFFF"/>
          </w:tcPr>
          <w:p w:rsidR="00062FDF" w:rsidRPr="006E1332" w:rsidRDefault="00062FDF" w:rsidP="0082079E">
            <w:pPr>
              <w:spacing w:before="120" w:after="120"/>
              <w:jc w:val="center"/>
              <w:rPr>
                <w:sz w:val="28"/>
                <w:szCs w:val="28"/>
              </w:rPr>
            </w:pPr>
            <w:r w:rsidRPr="006E1332">
              <w:rPr>
                <w:rFonts w:ascii="Arial" w:hAnsi="Arial"/>
                <w:b/>
                <w:sz w:val="28"/>
                <w:szCs w:val="28"/>
              </w:rPr>
              <w:t>0</w:t>
            </w:r>
          </w:p>
        </w:tc>
      </w:tr>
      <w:tr w:rsidR="006E1332" w:rsidRPr="006E1332" w:rsidTr="0082079E">
        <w:trPr>
          <w:cantSplit/>
        </w:trPr>
        <w:tc>
          <w:tcPr>
            <w:tcW w:w="1701" w:type="dxa"/>
            <w:shd w:val="clear" w:color="auto" w:fill="FFFFFF"/>
          </w:tcPr>
          <w:p w:rsidR="00062FDF" w:rsidRPr="006E1332" w:rsidRDefault="00062FDF" w:rsidP="0082079E">
            <w:pPr>
              <w:spacing w:before="120" w:after="120"/>
              <w:rPr>
                <w:sz w:val="20"/>
              </w:rPr>
            </w:pPr>
            <w:r w:rsidRPr="006E1332">
              <w:rPr>
                <w:sz w:val="20"/>
              </w:rPr>
              <w:t>ECR</w:t>
            </w:r>
          </w:p>
        </w:tc>
        <w:tc>
          <w:tcPr>
            <w:tcW w:w="7371" w:type="dxa"/>
            <w:shd w:val="clear" w:color="auto" w:fill="FFFFFF"/>
          </w:tcPr>
          <w:p w:rsidR="00062FDF" w:rsidRPr="006E1332" w:rsidRDefault="00062FDF" w:rsidP="0082079E">
            <w:pPr>
              <w:spacing w:before="120" w:after="120"/>
              <w:rPr>
                <w:sz w:val="20"/>
              </w:rPr>
            </w:pPr>
            <w:r w:rsidRPr="006E1332">
              <w:rPr>
                <w:sz w:val="20"/>
              </w:rPr>
              <w:t>Angel Džambazki (Angel Dzhambazki)</w:t>
            </w:r>
          </w:p>
        </w:tc>
      </w:tr>
    </w:tbl>
    <w:p w:rsidR="00062FDF" w:rsidRPr="006E1332" w:rsidRDefault="00062FDF" w:rsidP="00147FBF">
      <w:pPr>
        <w:pStyle w:val="Normal12"/>
      </w:pPr>
    </w:p>
    <w:p w:rsidR="00062FDF" w:rsidRPr="006E1332" w:rsidRDefault="00062FDF" w:rsidP="00B735E3">
      <w:r w:rsidRPr="006E1332">
        <w:t>Uporabljeni znaki:</w:t>
      </w:r>
    </w:p>
    <w:p w:rsidR="00062FDF" w:rsidRPr="006E1332" w:rsidRDefault="00062FDF" w:rsidP="00B735E3">
      <w:pPr>
        <w:pStyle w:val="NormalTabs"/>
      </w:pPr>
      <w:r w:rsidRPr="006E1332">
        <w:t>+</w:t>
      </w:r>
      <w:r w:rsidRPr="006E1332">
        <w:tab/>
        <w:t>:</w:t>
      </w:r>
      <w:r w:rsidRPr="006E1332">
        <w:tab/>
        <w:t>za</w:t>
      </w:r>
    </w:p>
    <w:p w:rsidR="00062FDF" w:rsidRPr="006E1332" w:rsidRDefault="00062FDF" w:rsidP="00B735E3">
      <w:pPr>
        <w:pStyle w:val="NormalTabs"/>
      </w:pPr>
      <w:r w:rsidRPr="006E1332">
        <w:t>-</w:t>
      </w:r>
      <w:r w:rsidRPr="006E1332">
        <w:tab/>
        <w:t>:</w:t>
      </w:r>
      <w:r w:rsidRPr="006E1332">
        <w:tab/>
        <w:t>proti</w:t>
      </w:r>
    </w:p>
    <w:p w:rsidR="00062FDF" w:rsidRPr="006E1332" w:rsidRDefault="00062FDF" w:rsidP="00B735E3">
      <w:pPr>
        <w:pStyle w:val="NormalTabs"/>
      </w:pPr>
      <w:r w:rsidRPr="006E1332">
        <w:t>0</w:t>
      </w:r>
      <w:r w:rsidRPr="006E1332">
        <w:tab/>
        <w:t>:</w:t>
      </w:r>
      <w:r w:rsidRPr="006E1332">
        <w:tab/>
        <w:t>vzdržani</w:t>
      </w:r>
    </w:p>
    <w:p w:rsidR="00062FDF" w:rsidRPr="006E1332" w:rsidRDefault="00062FDF" w:rsidP="00AD5932"/>
    <w:bookmarkEnd w:id="13"/>
    <w:p w:rsidR="002669B6" w:rsidRPr="006E1332" w:rsidRDefault="002669B6" w:rsidP="00062FDF"/>
    <w:sectPr w:rsidR="002669B6" w:rsidRPr="006E1332" w:rsidSect="008E301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DB5" w:rsidRPr="008E3014" w:rsidRDefault="00203DB5">
      <w:r w:rsidRPr="008E3014">
        <w:separator/>
      </w:r>
    </w:p>
  </w:endnote>
  <w:endnote w:type="continuationSeparator" w:id="0">
    <w:p w:rsidR="00203DB5" w:rsidRPr="008E3014" w:rsidRDefault="00203DB5">
      <w:r w:rsidRPr="008E30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B03" w:rsidRDefault="00206B03" w:rsidP="00206B03">
    <w:pPr>
      <w:pStyle w:val="Footer"/>
    </w:pPr>
    <w:r>
      <w:t>PE</w:t>
    </w:r>
    <w:r w:rsidRPr="006E1332">
      <w:rPr>
        <w:rStyle w:val="HideTWBExt"/>
      </w:rPr>
      <w:t>&lt;NoPE&gt;</w:t>
    </w:r>
    <w:r>
      <w:t>628.708</w:t>
    </w:r>
    <w:r w:rsidRPr="006E1332">
      <w:rPr>
        <w:rStyle w:val="HideTWBExt"/>
      </w:rPr>
      <w:t>&lt;/NoPE&gt;&lt;Version&gt;</w:t>
    </w:r>
    <w:r>
      <w:t>v02-00</w:t>
    </w:r>
    <w:r w:rsidRPr="006E1332">
      <w:rPr>
        <w:rStyle w:val="HideTWBExt"/>
      </w:rPr>
      <w:t>&lt;/Version&gt;</w:t>
    </w:r>
    <w:r>
      <w:tab/>
    </w:r>
    <w:r>
      <w:fldChar w:fldCharType="begin"/>
    </w:r>
    <w:r>
      <w:instrText xml:space="preserve"> PAGE  \* MERGEFORMAT </w:instrText>
    </w:r>
    <w:r>
      <w:fldChar w:fldCharType="separate"/>
    </w:r>
    <w:r w:rsidR="006E1332">
      <w:rPr>
        <w:noProof/>
      </w:rPr>
      <w:t>4</w:t>
    </w:r>
    <w:r>
      <w:fldChar w:fldCharType="end"/>
    </w:r>
    <w:r>
      <w:t>/</w:t>
    </w:r>
    <w:r w:rsidR="00B269EF">
      <w:rPr>
        <w:noProof/>
      </w:rPr>
      <w:fldChar w:fldCharType="begin"/>
    </w:r>
    <w:r w:rsidR="00B269EF">
      <w:rPr>
        <w:noProof/>
      </w:rPr>
      <w:instrText xml:space="preserve"> NUMPAGES  \* MERGEFORMAT </w:instrText>
    </w:r>
    <w:r w:rsidR="00B269EF">
      <w:rPr>
        <w:noProof/>
      </w:rPr>
      <w:fldChar w:fldCharType="separate"/>
    </w:r>
    <w:r w:rsidR="006E1332">
      <w:rPr>
        <w:noProof/>
      </w:rPr>
      <w:t>16</w:t>
    </w:r>
    <w:r w:rsidR="00B269EF">
      <w:rPr>
        <w:noProof/>
      </w:rPr>
      <w:fldChar w:fldCharType="end"/>
    </w:r>
    <w:r>
      <w:tab/>
    </w:r>
    <w:r w:rsidRPr="006E1332">
      <w:rPr>
        <w:rStyle w:val="HideTWBExt"/>
      </w:rPr>
      <w:t>&lt;PathFdR&gt;</w:t>
    </w:r>
    <w:r>
      <w:t>RR\1171581SL.docx</w:t>
    </w:r>
    <w:r w:rsidRPr="006E1332">
      <w:rPr>
        <w:rStyle w:val="HideTWBExt"/>
      </w:rPr>
      <w:t>&lt;/PathFdR&gt;</w:t>
    </w:r>
  </w:p>
  <w:p w:rsidR="00F74B09" w:rsidRPr="008E3014" w:rsidRDefault="00206B03" w:rsidP="00206B03">
    <w:pPr>
      <w:pStyle w:val="Footer2"/>
    </w:pPr>
    <w: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B03" w:rsidRDefault="00206B03" w:rsidP="00206B03">
    <w:pPr>
      <w:pStyle w:val="Footer"/>
    </w:pPr>
    <w:r w:rsidRPr="006E1332">
      <w:rPr>
        <w:rStyle w:val="HideTWBExt"/>
      </w:rPr>
      <w:t>&lt;PathFdR&gt;</w:t>
    </w:r>
    <w:r>
      <w:t>RR\1171581SL.docx</w:t>
    </w:r>
    <w:r w:rsidRPr="006E1332">
      <w:rPr>
        <w:rStyle w:val="HideTWBExt"/>
      </w:rPr>
      <w:t>&lt;/PathFdR&gt;</w:t>
    </w:r>
    <w:r>
      <w:tab/>
    </w:r>
    <w:r>
      <w:fldChar w:fldCharType="begin"/>
    </w:r>
    <w:r>
      <w:instrText xml:space="preserve"> PAGE  \* MERGEFORMAT </w:instrText>
    </w:r>
    <w:r>
      <w:fldChar w:fldCharType="separate"/>
    </w:r>
    <w:r w:rsidR="006E1332">
      <w:rPr>
        <w:noProof/>
      </w:rPr>
      <w:t>3</w:t>
    </w:r>
    <w:r>
      <w:fldChar w:fldCharType="end"/>
    </w:r>
    <w:r>
      <w:t>/</w:t>
    </w:r>
    <w:r w:rsidR="00B269EF">
      <w:rPr>
        <w:noProof/>
      </w:rPr>
      <w:fldChar w:fldCharType="begin"/>
    </w:r>
    <w:r w:rsidR="00B269EF">
      <w:rPr>
        <w:noProof/>
      </w:rPr>
      <w:instrText xml:space="preserve"> NUMPAGES  \* MERGEFORMAT </w:instrText>
    </w:r>
    <w:r w:rsidR="00B269EF">
      <w:rPr>
        <w:noProof/>
      </w:rPr>
      <w:fldChar w:fldCharType="separate"/>
    </w:r>
    <w:r w:rsidR="006E1332">
      <w:rPr>
        <w:noProof/>
      </w:rPr>
      <w:t>16</w:t>
    </w:r>
    <w:r w:rsidR="00B269EF">
      <w:rPr>
        <w:noProof/>
      </w:rPr>
      <w:fldChar w:fldCharType="end"/>
    </w:r>
    <w:r>
      <w:tab/>
      <w:t>PE</w:t>
    </w:r>
    <w:r w:rsidRPr="006E1332">
      <w:rPr>
        <w:rStyle w:val="HideTWBExt"/>
      </w:rPr>
      <w:t>&lt;NoPE&gt;</w:t>
    </w:r>
    <w:r>
      <w:t>628.708</w:t>
    </w:r>
    <w:r w:rsidRPr="006E1332">
      <w:rPr>
        <w:rStyle w:val="HideTWBExt"/>
      </w:rPr>
      <w:t>&lt;/NoPE&gt;&lt;Version&gt;</w:t>
    </w:r>
    <w:r>
      <w:t>v02-00</w:t>
    </w:r>
    <w:r w:rsidRPr="006E1332">
      <w:rPr>
        <w:rStyle w:val="HideTWBExt"/>
      </w:rPr>
      <w:t>&lt;/Version&gt;</w:t>
    </w:r>
  </w:p>
  <w:p w:rsidR="00F74B09" w:rsidRPr="008E3014" w:rsidRDefault="00206B03" w:rsidP="00206B03">
    <w:pPr>
      <w:pStyle w:val="Footer2"/>
    </w:pPr>
    <w:r>
      <w:tab/>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B03" w:rsidRDefault="00206B03" w:rsidP="00206B03">
    <w:pPr>
      <w:pStyle w:val="Footer"/>
    </w:pPr>
    <w:r w:rsidRPr="006E1332">
      <w:rPr>
        <w:rStyle w:val="HideTWBExt"/>
      </w:rPr>
      <w:t>&lt;PathFdR&gt;</w:t>
    </w:r>
    <w:r>
      <w:t>RR\1171581SL.docx</w:t>
    </w:r>
    <w:r w:rsidRPr="006E1332">
      <w:rPr>
        <w:rStyle w:val="HideTWBExt"/>
      </w:rPr>
      <w:t>&lt;/PathFdR&gt;</w:t>
    </w:r>
    <w:r>
      <w:tab/>
    </w:r>
    <w:r>
      <w:tab/>
      <w:t>PE</w:t>
    </w:r>
    <w:r w:rsidRPr="006E1332">
      <w:rPr>
        <w:rStyle w:val="HideTWBExt"/>
      </w:rPr>
      <w:t>&lt;NoPE&gt;</w:t>
    </w:r>
    <w:r>
      <w:t>628.708</w:t>
    </w:r>
    <w:r w:rsidRPr="006E1332">
      <w:rPr>
        <w:rStyle w:val="HideTWBExt"/>
      </w:rPr>
      <w:t>&lt;/NoPE&gt;&lt;Version&gt;</w:t>
    </w:r>
    <w:r>
      <w:t>v02-00</w:t>
    </w:r>
    <w:r w:rsidRPr="006E1332">
      <w:rPr>
        <w:rStyle w:val="HideTWBExt"/>
      </w:rPr>
      <w:t>&lt;/Version&gt;</w:t>
    </w:r>
  </w:p>
  <w:p w:rsidR="00F74B09" w:rsidRPr="008E3014" w:rsidRDefault="00206B03" w:rsidP="00206B03">
    <w:pPr>
      <w:pStyle w:val="Footer2"/>
      <w:tabs>
        <w:tab w:val="center" w:pos="4535"/>
      </w:tabs>
    </w:pPr>
    <w:r>
      <w:t>SL</w:t>
    </w:r>
    <w:r>
      <w:tab/>
    </w:r>
    <w:r w:rsidRPr="00206B03">
      <w:rPr>
        <w:b w:val="0"/>
        <w:i/>
        <w:color w:val="C0C0C0"/>
        <w:sz w:val="22"/>
      </w:rPr>
      <w:t>Združena v raznolikosti</w:t>
    </w:r>
    <w:r>
      <w:tab/>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DB5" w:rsidRPr="008E3014" w:rsidRDefault="00203DB5">
      <w:r w:rsidRPr="008E3014">
        <w:separator/>
      </w:r>
    </w:p>
  </w:footnote>
  <w:footnote w:type="continuationSeparator" w:id="0">
    <w:p w:rsidR="00203DB5" w:rsidRPr="008E3014" w:rsidRDefault="00203DB5">
      <w:r w:rsidRPr="008E301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9BE" w:rsidRDefault="00164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9BE" w:rsidRDefault="001649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9BE" w:rsidRDefault="00164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JMNU" w:val="1"/>
    <w:docVar w:name="COMKEY" w:val="JURI"/>
    <w:docVar w:name="DOCMNU" w:val=" 1"/>
    <w:docVar w:name="DOCREFMNU" w:val=" 3"/>
    <w:docVar w:name="EPSTATMNU" w:val=" 2"/>
    <w:docVar w:name="INSTITUTIONSMNU" w:val=" 2"/>
    <w:docVar w:name="JURI1MNU" w:val=" 2"/>
    <w:docVar w:name="JURI2MNU" w:val=" 2"/>
    <w:docVar w:name="LastEditedSection" w:val=" 1"/>
    <w:docVar w:name="OTHERSTATMNU" w:val=" 2"/>
    <w:docVar w:name="PARLIAMENTSMNU" w:val=" 2"/>
    <w:docVar w:name="RepeatBlock-Amend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743996 HideTWBExt;}{\*\cs16 \additive \v\cf15 \spriority0 \styrsid11743996 HideTWBInt;}{\s17\ql \li0\ri0\sa120\nowidctlpar\wrapdefault\aspalpha\aspnum\faauto\adjustright\rin0\lin0\itap0 _x000d__x000a_\rtlch\fcs1 \af0\afs20\alang1025 \ltrch\fcs0 \fs24\lang1060\langfe2057\cgrid\langnp1060\langfenp2057 \sbasedon0 \snext17 \slink18 \spriority0 \styrsid11743996 Normal6;}{\*\cs18 \additive \fs24\lang1060\langfe0\langnp1060 _x000d__x000a_\slink17 \slocked \spriority0 \styrsid11743996 Normal6 Char;}{\s19\ql \li0\ri0\nowidctlpar\wrapdefault\aspalpha\aspnum\faauto\adjustright\rin0\lin0\itap0 \rtlch\fcs1 \af0\afs20\alang1025 \ltrch\fcs0 _x000d__x000a_\b\fs24\lang1060\langfe2057\cgrid\langnp1060\langfenp2057 \sbasedon0 \snext19 \slink20 \spriority0 \styrsid11743996 NormalBold;}{\*\cs20 \additive \b\fs24\lang1060\langfe0\langnp1060 \slink19 \slocked \spriority0 \styrsid11743996 NormalBold Char;}{_x000d__x000a_\s21\ql \li0\ri0\sb240\nowidctlpar\wrapdefault\aspalpha\aspnum\faauto\adjustright\rin0\lin0\itap0 \rtlch\fcs1 \af0\afs20\alang1025 \ltrch\fcs0 \i\fs24\lang1060\langfe2057\cgrid\langnp1060\langfenp2057 \sbasedon0 \snext21 \spriority0 \styrsid11743996 _x000d__x000a_Normal12Italic;}{\s22\qc \li0\ri0\sb240\nowidctlpar\wrapdefault\aspalpha\aspnum\faauto\adjustright\rin0\lin0\itap0 \rtlch\fcs1 \af0\afs20\alang1025 \ltrch\fcs0 \i\fs24\lang1060\langfe2057\cgrid\langnp1060\langfenp2057 _x000d__x000a_\sbasedon0 \snext22 \spriority0 \styrsid11743996 CrossRef;}{\s23\qc \li0\ri0\sb240\keepn\nowidctlpar\wrapdefault\aspalpha\aspnum\faauto\adjustright\rin0\lin0\itap0 \rtlch\fcs1 \af0\afs20\alang1025 \ltrch\fcs0 _x000d__x000a_\i\fs24\lang1060\langfe2057\cgrid\langnp1060\langfenp2057 \sbasedon0 \snext0 \spriority0 \styrsid11743996 JustificationTitle;}{\s24\qc \li0\ri0\sa240\nowidctlpar\wrapdefault\aspalpha\aspnum\faauto\adjustright\rin0\lin0\itap0 \rtlch\fcs1 _x000d__x000a_\af0\afs20\alang1025 \ltrch\fcs0 \i\fs24\lang1060\langfe2057\cgrid\langnp1060\langfenp2057 \sbasedon0 \snext24 \spriority0 \styrsid1174399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0\langfe2057\cgrid\langnp1060\langfenp2057 \sbasedon0 \snext25 \spriority0 \styrsid11743996 AMNumberTabs;}{\s26\ql \li0\ri0\sb240\nowidctlpar\wrapdefault\aspalpha\aspnum\faauto\adjustright\rin0\lin0\itap0 \rtlch\fcs1 _x000d__x000a_\af0\afs20\alang1025 \ltrch\fcs0 \b\fs24\lang1060\langfe2057\cgrid\langnp1060\langfenp2057 \sbasedon0 \snext26 \spriority0 \styrsid11743996 NormalBold12b;}}{\*\rsidtbl \rsid24658\rsid735077\rsid2892074\rsid4666813\rsid6641733\rsid9636012\rsid11215221_x000d__x000a_\rsid11743996\rsid12154954\rsid12270816\rsid14424199\rsid15204470\rsid15285974\rsid15950462\rsid16324206\rsid16662270}{\mmathPr\mmathFont34\mbrkBin0\mbrkBinSub0\msmallFrac0\mdispDef1\mlMargin0\mrMargin0\mdefJc1\mwrapIndent1440\mintLim0\mnaryLim1}{\info_x000d__x000a_{\author KERIN Suzana}{\operator KERIN Suzana}{\creatim\yr2018\mo12\dy13\hr15\min54}{\revtim\yr2018\mo12\dy13\hr15\min54}{\version1}{\edmins0}{\nofpages1}{\nofwords51}{\nofchars601}{\*\company European Parliament}{\nofcharsws606}{\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11743996\utinl \fet0{\*\wgrffmtfilter 013f}\ilfomacatclnup0{\*\template C:\\Users\\skerin\\AppData\\Local\\Temp\\Blank1.dot}{\*\ftnsep \ltrpar \pard\plain \ltrpar_x000d__x000a_\ql \li0\ri0\widctlpar\wrapdefault\aspalpha\aspnum\faauto\adjustright\rin0\lin0\itap0 \rtlch\fcs1 \af0\afs20\alang1025 \ltrch\fcs0 \fs24\lang2057\langfe2057\cgrid\langnp2057\langfenp2057 {\rtlch\fcs1 \af0 \ltrch\fcs0 \insrsid12270816 \chftnsep _x000d__x000a_\par }}{\*\ftnsepc \ltrpar \pard\plain \ltrpar\ql \li0\ri0\widctlpar\wrapdefault\aspalpha\aspnum\faauto\adjustright\rin0\lin0\itap0 \rtlch\fcs1 \af0\afs20\alang1025 \ltrch\fcs0 \fs24\lang2057\langfe2057\cgrid\langnp2057\langfenp2057 {\rtlch\fcs1 \af0 _x000d__x000a_\ltrch\fcs0 \insrsid12270816 \chftnsepc _x000d__x000a_\par }}{\*\aftnsep \ltrpar \pard\plain \ltrpar\ql \li0\ri0\widctlpar\wrapdefault\aspalpha\aspnum\faauto\adjustright\rin0\lin0\itap0 \rtlch\fcs1 \af0\afs20\alang1025 \ltrch\fcs0 \fs24\lang2057\langfe2057\cgrid\langnp2057\langfenp2057 {\rtlch\fcs1 \af0 _x000d__x000a_\ltrch\fcs0 \insrsid12270816 \chftnsep _x000d__x000a_\par }}{\*\aftnsepc \ltrpar \pard\plain \ltrpar\ql \li0\ri0\widctlpar\wrapdefault\aspalpha\aspnum\faauto\adjustright\rin0\lin0\itap0 \rtlch\fcs1 \af0\afs20\alang1025 \ltrch\fcs0 \fs24\lang2057\langfe2057\cgrid\langnp2057\langfenp2057 {\rtlch\fcs1 \af0 _x000d__x000a_\ltrch\fcs0 \insrsid1227081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1743996 \rtlch\fcs1 \af0\afs20\alang1025 \ltrch\fcs0 \b\fs24\lang1060\langfe2057\cgrid\langnp1060\langfenp2057 {\rtlch\fcs1 \af0 \ltrch\fcs0 \cs15\b0\v\f1\fs20\cf9\insrsid11743996\charrsid2112949 {\*\bkmkstart restart}&lt;Amend&gt;}{_x000d__x000a_\rtlch\fcs1 \af0 \ltrch\fcs0 \insrsid11743996\charrsid2112949 Predlog spremembe\tab \tab }{\rtlch\fcs1 \af0 \ltrch\fcs0 \cs15\b0\v\f1\fs20\cf9\insrsid11743996\charrsid2112949 &lt;NumAm&gt;}{\rtlch\fcs1 \af0 \ltrch\fcs0 \insrsid11743996\charrsid2112949 #}{_x000d__x000a_\rtlch\fcs1 \af0 \ltrch\fcs0 \cs16\v\cf15\insrsid11743996\charrsid2112949 ENMIENDA@NRAM@}{\rtlch\fcs1 \af0 \ltrch\fcs0 \insrsid11743996\charrsid2112949 #}{\rtlch\fcs1 \af0 \ltrch\fcs0 \cs15\b0\v\f1\fs20\cf9\insrsid11743996\charrsid2112949 &lt;/NumAm&gt;}{_x000d__x000a_\rtlch\fcs1 \af0 \ltrch\fcs0 \insrsid11743996\charrsid2112949 _x000d__x000a_\par }\pard\plain \ltrpar\s26\ql \li0\ri0\sb240\keepn\nowidctlpar\wrapdefault\aspalpha\aspnum\faauto\adjustright\rin0\lin0\itap0\pararsid11743996 \rtlch\fcs1 \af0\afs20\alang1025 \ltrch\fcs0 \b\fs24\lang1060\langfe2057\cgrid\langnp1060\langfenp2057 {_x000d__x000a_\rtlch\fcs1 \af0 \ltrch\fcs0 \cs15\b0\v\f1\fs20\cf9\insrsid11743996\charrsid2112949 &lt;DocAmend&gt;}{\rtlch\fcs1 \af0 \ltrch\fcs0 \insrsid11743996\charrsid2112949 Osnutek #}{\rtlch\fcs1 \af0 \ltrch\fcs0 \cs16\v\cf15\insrsid11743996\charrsid2112949 _x000d__x000a_MNU[DOC1][DOC2][DOC3]@DOCMSG@DOCMNU}{\rtlch\fcs1 \af0 \ltrch\fcs0 \insrsid11743996\charrsid2112949 ##}{\rtlch\fcs1 \af0 \ltrch\fcs0 \cs16\v\cf15\insrsid11743996\charrsid2112949 MNU[AMACTYES][NOTAPP]@CHOICE@AMACTMNU}{\rtlch\fcs1 \af0 \ltrch\fcs0 _x000d__x000a_\insrsid11743996\charrsid2112949 #}{\rtlch\fcs1 \af0 \ltrch\fcs0 \cs15\b0\v\f1\fs20\cf9\insrsid11743996\charrsid2112949 &lt;/DocAmend&gt;}{\rtlch\fcs1 \af0 \ltrch\fcs0 \insrsid11743996\charrsid2112949 _x000d__x000a_\par }\pard\plain \ltrpar\s19\ql \li0\ri0\keepn\nowidctlpar\wrapdefault\aspalpha\aspnum\faauto\adjustright\rin0\lin0\itap0\pararsid11743996 \rtlch\fcs1 \af0\afs20\alang1025 \ltrch\fcs0 \b\fs24\lang1060\langfe2057\cgrid\langnp1060\langfenp2057 {\rtlch\fcs1 _x000d__x000a_\af0 \ltrch\fcs0 \cs15\b0\v\f1\fs20\cf9\insrsid11743996\charrsid2112949 &lt;Article&gt;}{\rtlch\fcs1 \af0 \ltrch\fcs0 \insrsid11743996\charrsid2112949 #}{\rtlch\fcs1 \af0 \ltrch\fcs0 \cs16\v\cf15\insrsid11743996\charrsid2112949 _x000d__x000a_MNU[AMACTPARTYES][AMACTPARTNO]@CHOICE@AMACTMNU}{\rtlch\fcs1 \af0 \ltrch\fcs0 \insrsid11743996\charrsid2112949 #}{\rtlch\fcs1 \af0 \ltrch\fcs0 \cs15\b0\v\f1\fs20\cf9\insrsid11743996\charrsid2112949 &lt;/Article&gt;}{\rtlch\fcs1 \af0 \ltrch\fcs0 _x000d__x000a_\insrsid11743996\charrsid2112949 _x000d__x000a_\par }\pard\plain \ltrpar\ql \li0\ri0\keepn\widctlpar\wrapdefault\aspalpha\aspnum\faauto\adjustright\rin0\lin0\itap0\pararsid11743996 \rtlch\fcs1 \af0\afs20\alang1025 \ltrch\fcs0 \fs24\lang2057\langfe2057\cgrid\langnp2057\langfenp2057 {\rtlch\fcs1 \af0 _x000d__x000a_\ltrch\fcs0 \cs15\v\f1\fs20\cf9\lang1060\langfe2057\langnp1060\insrsid11743996\charrsid2112949 &lt;DocAmend2&gt;&lt;OptDel&gt;}{\rtlch\fcs1 \af0 \ltrch\fcs0 \lang1060\langfe2057\langnp1060\insrsid11743996\charrsid2112949 #}{\rtlch\fcs1 \af0 \ltrch\fcs0 _x000d__x000a_\cs16\v\cf15\lang1060\langfe2057\langnp1060\insrsid11743996\charrsid2112949 MNU[OPTNRACTYES][NOTAPP]@CHOICE@AMACTMNU}{\rtlch\fcs1 \af0 \ltrch\fcs0 \lang1060\langfe2057\langnp1060\insrsid11743996\charrsid2112949 #}{\rtlch\fcs1 \af0 \ltrch\fcs0 _x000d__x000a_\cs15\v\f1\fs20\cf9\lang1060\langfe2057\langnp1060\insrsid11743996\charrsid2112949 &lt;/OptDel&gt;&lt;/DocAmend2&gt;}{\rtlch\fcs1 \af0 \ltrch\fcs0 \lang1060\langfe2057\langnp1060\insrsid11743996\charrsid2112949 _x000d__x000a_\par }\pard \ltrpar\ql \li0\ri0\widctlpar\wrapdefault\aspalpha\aspnum\faauto\adjustright\rin0\lin0\itap0\pararsid11743996 {\rtlch\fcs1 \af0 \ltrch\fcs0 \cs15\v\f1\fs20\cf9\lang1060\langfe2057\langnp1060\insrsid11743996\charrsid2112949 &lt;Article2&gt;&lt;OptDel&gt;}{_x000d__x000a_\rtlch\fcs1 \af0 \ltrch\fcs0 \lang1060\langfe2057\langnp1060\insrsid11743996\charrsid2112949 #}{\rtlch\fcs1 \af0 \ltrch\fcs0 \cs16\v\cf15\lang1060\langfe2057\langnp1060\insrsid11743996\charrsid2112949 MNU[OPTACTPARTYES][NOTAPP]@CHOICE@AMACTMNU}{_x000d__x000a_\rtlch\fcs1 \af0 \ltrch\fcs0 \lang1060\langfe2057\langnp1060\insrsid11743996\charrsid2112949 #}{\rtlch\fcs1 \af0 \ltrch\fcs0 \cs15\v\f1\fs20\cf9\lang1060\langfe2057\langnp1060\insrsid11743996\charrsid2112949 &lt;/OptDel&gt;&lt;/Article2&gt;}{\rtlch\fcs1 \af0 _x000d__x000a_\ltrch\fcs0 \lang1060\langfe2057\langnp1060\insrsid11743996\charrsid2112949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60\langfe2057\langnp1060\insrsid11743996\charrsid2112949 \cell }\pard \ltrpar\ql \li0\ri0\widctlpar\intbl\wrapdefault\aspalpha\aspnum\faauto\adjustright\rin0\lin0 {\rtlch\fcs1 \af0 \ltrch\fcs0 _x000d__x000a_\lang1060\langfe2057\langnp1060\insrsid11743996\charrsid2112949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60\langfe2057\cgrid\langnp1060\langfenp2057 {\rtlch\fcs1 \af0 \ltrch\fcs0 _x000d__x000a_\insrsid11743996\charrsid2112949 #}{\rtlch\fcs1 \af0 \ltrch\fcs0 \cs16\v\cf15\insrsid11743996\charrsid2112949 MNU[OPTLEFTAMACT][LEFTPROP]@CHOICE@AMACTMNU}{\rtlch\fcs1 \af0 \ltrch\fcs0 \insrsid11743996\charrsid2112949 #\cell Predlog spremembe\cell _x000d__x000a_}\pard\plain \ltrpar\ql \li0\ri0\widctlpar\intbl\wrapdefault\aspalpha\aspnum\faauto\adjustright\rin0\lin0 \rtlch\fcs1 \af0\afs20\alang1025 \ltrch\fcs0 \fs24\lang2057\langfe2057\cgrid\langnp2057\langfenp2057 {\rtlch\fcs1 \af0 \ltrch\fcs0 _x000d__x000a_\lang1060\langfe2057\langnp1060\insrsid11743996\charrsid2112949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2517430 \rtlch\fcs1 \af0\afs20\alang1025 \ltrch\fcs0 _x000d__x000a_\fs24\lang1060\langfe2057\cgrid\langnp1060\langfenp2057 {\rtlch\fcs1 \af0 \ltrch\fcs0 \insrsid11743996\charrsid2112949 #}{\rtlch\fcs1 \af0 \ltrch\fcs0 \cs16\v\cf15\insrsid11743996\charrsid2112949 TEXTMSG}{\rtlch\fcs1 \af0 \ltrch\fcs0 _x000d__x000a_\insrsid11743996\charrsid2112949 #\cell #}{\rtlch\fcs1 \af0 \ltrch\fcs0 \cs16\v\cf15\insrsid11743996\charrsid2112949 TEXTMSG}{\rtlch\fcs1 \af0 \ltrch\fcs0 \insrsid11743996\charrsid2112949 #}{\rtlch\fcs1 \af0\afs24 \ltrch\fcs0 _x000d__x000a_\insrsid11743996\charrsid2112949 \cell }\pard\plain \ltrpar\ql \li0\ri0\widctlpar\intbl\wrapdefault\aspalpha\aspnum\faauto\adjustright\rin0\lin0 \rtlch\fcs1 \af0\afs20\alang1025 \ltrch\fcs0 \fs24\lang2057\langfe2057\cgrid\langnp2057\langfenp2057 {_x000d__x000a_\rtlch\fcs1 \af0 \ltrch\fcs0 \lang1060\langfe2057\langnp1060\insrsid11743996\charrsid2112949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1743996 \rtlch\fcs1 \af0\afs20\alang1025 \ltrch\fcs0 \i\fs24\lang1060\langfe2057\cgrid\langnp1060\langfenp2057 {\rtlch\fcs1 \af0 \ltrch\fcs0 _x000d__x000a_\cs15\i0\v\f1\fs20\cf9\insrsid11743996\charrsid2112949 &lt;OptDel&gt;}{\rtlch\fcs1 \af0 \ltrch\fcs0 \insrsid11743996\charrsid2112949 #}{\rtlch\fcs1 \af0 \ltrch\fcs0 \cs16\v\cf15\insrsid11743996\charrsid2112949 MNU[CROSSREFNO][CROSSREFYES]@CHOICE@}{\rtlch\fcs1 _x000d__x000a_\af0 \ltrch\fcs0 \insrsid11743996\charrsid2112949 #}{\rtlch\fcs1 \af0 \ltrch\fcs0 \cs15\i0\v\f1\fs20\cf9\insrsid11743996\charrsid2112949 &lt;/OptDel&gt;}{\rtlch\fcs1 \af0 \ltrch\fcs0 \insrsid11743996\charrsid2112949 _x000d__x000a_\par }\pard\plain \ltrpar\s23\qc \li0\ri0\sb240\keepn\nowidctlpar\wrapdefault\aspalpha\aspnum\faauto\adjustright\rin0\lin0\itap0\pararsid11743996 \rtlch\fcs1 \af0\afs20\alang1025 \ltrch\fcs0 \i\fs24\lang1060\langfe2057\cgrid\langnp1060\langfenp2057 {_x000d__x000a_\rtlch\fcs1 \af0 \ltrch\fcs0 \cs15\i0\v\f1\fs20\cf9\insrsid11743996\charrsid2112949 &lt;TitreJust&gt;}{\rtlch\fcs1 \af0 \ltrch\fcs0 \insrsid11743996\charrsid2112949 Obrazlo\'9eitev}{\rtlch\fcs1 \af0 \ltrch\fcs0 _x000d__x000a_\cs15\i0\v\f1\fs20\cf9\insrsid11743996\charrsid2112949 &lt;/TitreJust&gt;}{\rtlch\fcs1 \af0 \ltrch\fcs0 \insrsid11743996\charrsid2112949 _x000d__x000a_\par }\pard\plain \ltrpar\s21\ql \li0\ri0\sb240\nowidctlpar\wrapdefault\aspalpha\aspnum\faauto\adjustright\rin0\lin0\itap0\pararsid11743996 \rtlch\fcs1 \af0\afs20\alang1025 \ltrch\fcs0 \i\fs24\lang1060\langfe2057\cgrid\langnp1060\langfenp2057 {\rtlch\fcs1 _x000d__x000a_\af0 \ltrch\fcs0 \cs15\i0\v\f1\fs20\cf9\insrsid11743996\charrsid2112949 &lt;OptDelPrev&gt;}{\rtlch\fcs1 \af0 \ltrch\fcs0 \insrsid11743996\charrsid2112949 #}{\rtlch\fcs1 \af0 \ltrch\fcs0 \cs16\v\cf15\insrsid11743996\charrsid2112949 _x000d__x000a_MNU[TEXTJUSTYES][TEXTJUSTNO]@CHOICE@}{\rtlch\fcs1 \af0 \ltrch\fcs0 \insrsid11743996\charrsid2112949 #}{\rtlch\fcs1 \af0 \ltrch\fcs0 \cs15\i0\v\f1\fs20\cf9\insrsid11743996\charrsid2112949 &lt;/OptDelPrev&gt;}{\rtlch\fcs1 \af0 \ltrch\fcs0 _x000d__x000a_\insrsid11743996\charrsid2112949 _x000d__x000a_\par }\pard\plain \ltrpar\ql \li0\ri0\widctlpar\wrapdefault\aspalpha\aspnum\faauto\adjustright\rin0\lin0\itap0\pararsid11743996 \rtlch\fcs1 \af0\afs20\alang1025 \ltrch\fcs0 \fs24\lang2057\langfe2057\cgrid\langnp2057\langfenp2057 {\rtlch\fcs1 \af0 \ltrch\fcs0 _x000d__x000a_\cs15\v\f1\fs20\cf9\lang1060\langfe2057\langnp1060\insrsid11743996\charrsid2112949 &lt;/Amend&gt;}{\rtlch\fcs1 \af0 \ltrch\fcs0 \insrsid11743996\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50_x000d__x000a_d3c7f39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171363 HideTWBExt;}{\s16\ql \li0\ri0\sa120\nowidctlpar\wrapdefault\aspalpha\aspnum\faauto\adjustright\rin0\lin0\itap0 \rtlch\fcs1 \af0\afs20\alang1025 \ltrch\fcs0 _x000d__x000a_\fs24\lang2057\langfe2057\cgrid\langnp2057\langfenp2057 \sbasedon0 \snext16 \slink17 \spriority0 \styrsid15171363 Normal6;}{\*\cs17 \additive \fs24 \slink16 \slocked \spriority0 \styrsid15171363 Normal6 Char;}{_x000d__x000a_\s18\ql \li0\ri0\nowidctlpar\wrapdefault\aspalpha\aspnum\faauto\adjustright\rin0\lin0\itap0 \rtlch\fcs1 \af0\afs20\alang1025 \ltrch\fcs0 \b\fs24\lang2057\langfe2057\cgrid\langnp2057\langfenp2057 \sbasedon0 \snext18 \slink19 \spriority0 \styrsid15171363 _x000d__x000a_NormalBold;}{\*\cs19 \additive \b\fs24 \slink18 \slocked \spriority0 \styrsid15171363 NormalBold Char;}{\s20\ql \li0\ri0\sb240\nowidctlpar\wrapdefault\aspalpha\aspnum\faauto\adjustright\rin0\lin0\itap0 \rtlch\fcs1 \af0\afs20\alang1025 \ltrch\fcs0 _x000d__x000a_\i\fs24\lang2057\langfe2057\cgrid\langnp2057\langfenp2057 \sbasedon0 \snext20 \spriority0 \styrsid15171363 Normal12Italic;}{\s21\qc \li0\ri0\sb240\nowidctlpar\wrapdefault\aspalpha\aspnum\faauto\adjustright\rin0\lin0\itap0 \rtlch\fcs1 \af0\afs20\alang1025 _x000d__x000a_\ltrch\fcs0 \i\fs24\lang2057\langfe2057\cgrid\langnp2057\langfenp2057 \sbasedon0 \snext21 \spriority0 \styrsid15171363 CrossRef;}{\s22\qc \li0\ri0\sb240\keepn\nowidctlpar\wrapdefault\aspalpha\aspnum\faauto\adjustright\rin0\lin0\itap0 \rtlch\fcs1 _x000d__x000a_\af0\afs20\alang1025 \ltrch\fcs0 \i\fs24\lang2057\langfe2057\cgrid\langnp2057\langfenp2057 \sbasedon0 \snext0 \spriority0 \styrsid15171363 JustificationTitle;}{_x000d__x000a_\s23\qc \li0\ri0\sa240\nowidctlpar\wrapdefault\aspalpha\aspnum\faauto\adjustright\rin0\lin0\itap0 \rtlch\fcs1 \af0\afs20\alang1025 \ltrch\fcs0 \i\fs24\lang2057\langfe2057\cgrid\langnp2057\langfenp2057 \sbasedon0 \snext23 \spriority0 \styrsid15171363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5171363 AMNumberTabs;}{_x000d__x000a_\s25\ql \li0\ri0\sb240\nowidctlpar\wrapdefault\aspalpha\aspnum\faauto\adjustright\rin0\lin0\itap0 \rtlch\fcs1 \af0\afs20\alang1025 \ltrch\fcs0 \b\fs24\lang2057\langfe2057\cgrid\langnp2057\langfenp2057 \sbasedon0 \snext25 \spriority0 \styrsid15171363 _x000d__x000a_NormalBold12b;}}{\*\rsidtbl \rsid24658\rsid735077\rsid2892074\rsid4666813\rsid6641733\rsid9636012\rsid11215221\rsid11690710\rsid12154954\rsid14424199\rsid15171363\rsid15204470\rsid15285974\rsid15950462\rsid16324206\rsid16662270}{\mmathPr\mmathFont34_x000d__x000a_\mbrkBin0\mbrkBinSub0\msmallFrac0\mdispDef1\mlMargin0\mrMargin0\mdefJc1\mwrapIndent1440\mintLim0\mnaryLim1}{\info{\author KERIN Suzana}{\operator KERIN Suzana}{\creatim\yr2018\mo12\dy13\hr15\min54}{\revtim\yr2018\mo12\dy13\hr15\min54}{\version1}{\edmins0}_x000d__x000a_{\nofpages1}{\nofwords29}{\nofchars338}{\*\company European Parliament}{\nofcharsws341}{\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15171363\utinl \fet0{\*\wgrffmtfilter 013f}\ilfomacatclnup0{\*\template C:\\Users\\skerin\\AppData\\Local\\Temp\\Blank1.dot}{\*\ftnsep \ltrpar \pard\plain \ltrpar_x000d__x000a_\ql \li0\ri0\widctlpar\wrapdefault\aspalpha\aspnum\faauto\adjustright\rin0\lin0\itap0 \rtlch\fcs1 \af0\afs20\alang1025 \ltrch\fcs0 \fs24\lang2057\langfe2057\cgrid\langnp2057\langfenp2057 {\rtlch\fcs1 \af0 \ltrch\fcs0 \insrsid11690710 \chftnsep _x000d__x000a_\par }}{\*\ftnsepc \ltrpar \pard\plain \ltrpar\ql \li0\ri0\widctlpar\wrapdefault\aspalpha\aspnum\faauto\adjustright\rin0\lin0\itap0 \rtlch\fcs1 \af0\afs20\alang1025 \ltrch\fcs0 \fs24\lang2057\langfe2057\cgrid\langnp2057\langfenp2057 {\rtlch\fcs1 \af0 _x000d__x000a_\ltrch\fcs0 \insrsid11690710 \chftnsepc _x000d__x000a_\par }}{\*\aftnsep \ltrpar \pard\plain \ltrpar\ql \li0\ri0\widctlpar\wrapdefault\aspalpha\aspnum\faauto\adjustright\rin0\lin0\itap0 \rtlch\fcs1 \af0\afs20\alang1025 \ltrch\fcs0 \fs24\lang2057\langfe2057\cgrid\langnp2057\langfenp2057 {\rtlch\fcs1 \af0 _x000d__x000a_\ltrch\fcs0 \insrsid11690710 \chftnsep _x000d__x000a_\par }}{\*\aftnsepc \ltrpar \pard\plain \ltrpar\ql \li0\ri0\widctlpar\wrapdefault\aspalpha\aspnum\faauto\adjustright\rin0\lin0\itap0 \rtlch\fcs1 \af0\afs20\alang1025 \ltrch\fcs0 \fs24\lang2057\langfe2057\cgrid\langnp2057\langfenp2057 {\rtlch\fcs1 \af0 _x000d__x000a_\ltrch\fcs0 \insrsid1169071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5171363 \rtlch\fcs1 \af0\afs20\alang1025 \ltrch\fcs0 \b\fs24\lang2057\langfe2057\cgrid\langnp2057\langfenp2057 {\rtlch\fcs1 \af0 \ltrch\fcs0 \cs15\b0\v\f1\fs20\cf9\insrsid15171363\charrsid4593153 {\*\bkmkstart restart}&lt;Amend&gt;}{_x000d__x000a_\rtlch\fcs1 \af0 \ltrch\fcs0 \insrsid15171363\charrsid4593153 [ZAMENDMENT]\tab \tab }{\rtlch\fcs1 \af0 \ltrch\fcs0 \cs15\b0\v\f1\fs20\cf9\insrsid15171363\charrsid4593153 &lt;NumAm&gt;}{\rtlch\fcs1 \af0 \ltrch\fcs0 \insrsid15171363\charrsid4593153 [ZNRAM]}{_x000d__x000a_\rtlch\fcs1 \af0 \ltrch\fcs0 \cs15\b0\v\f1\fs20\cf9\insrsid15171363\charrsid4593153 &lt;/NumAm&gt;}{\rtlch\fcs1 \af0 \ltrch\fcs0 \insrsid15171363\charrsid4593153 _x000d__x000a_\par }\pard\plain \ltrpar\s25\ql \li0\ri0\sb240\keepn\nowidctlpar\wrapdefault\aspalpha\aspnum\faauto\adjustright\rin0\lin0\itap0\pararsid15171363 \rtlch\fcs1 \af0\afs20\alang1025 \ltrch\fcs0 \b\fs24\lang2057\langfe2057\cgrid\langnp2057\langfenp2057 {_x000d__x000a_\rtlch\fcs1 \af0 \ltrch\fcs0 \cs15\b0\v\f1\fs20\cf9\insrsid15171363\charrsid4593153 &lt;DocAmend&gt;}{\rtlch\fcs1 \af0 \ltrch\fcs0 \insrsid15171363\charrsid4593153 [ZPROPOSAL][ZAMACT]}{\rtlch\fcs1 \af0 \ltrch\fcs0 _x000d__x000a_\cs15\b0\v\f1\fs20\cf9\insrsid15171363\charrsid4593153 &lt;/DocAmend&gt;}{\rtlch\fcs1 \af0 \ltrch\fcs0 \insrsid15171363\charrsid4593153 _x000d__x000a_\par }\pard\plain \ltrpar\s18\ql \li0\ri0\keepn\nowidctlpar\wrapdefault\aspalpha\aspnum\faauto\adjustright\rin0\lin0\itap0\pararsid15171363 \rtlch\fcs1 \af0\afs20\alang1025 \ltrch\fcs0 \b\fs24\lang2057\langfe2057\cgrid\langnp2057\langfenp2057 {\rtlch\fcs1 _x000d__x000a_\af0 \ltrch\fcs0 \cs15\b0\v\f1\fs20\cf9\insrsid15171363\charrsid4593153 &lt;Article&gt;}{\rtlch\fcs1 \af0 \ltrch\fcs0 \insrsid15171363\charrsid4593153 [ZAMPART]}{\rtlch\fcs1 \af0 \ltrch\fcs0 \cs15\b0\v\f1\fs20\cf9\insrsid15171363\charrsid4593153 &lt;/Article&gt;}{_x000d__x000a_\rtlch\fcs1 \af0 \ltrch\fcs0 \insrsid15171363\charrsid4593153 _x000d__x000a_\par }\pard\plain \ltrpar\ql \li0\ri0\keepn\widctlpar\wrapdefault\aspalpha\aspnum\faauto\adjustright\rin0\lin0\itap0\pararsid15171363 \rtlch\fcs1 \af0\afs20\alang1025 \ltrch\fcs0 \fs24\lang2057\langfe2057\cgrid\langnp2057\langfenp2057 {\rtlch\fcs1 \af0 _x000d__x000a_\ltrch\fcs0 \cs15\v\f1\fs20\cf9\insrsid15171363\charrsid4593153 &lt;DocAmend2&gt;&lt;OptDel&gt;}{\rtlch\fcs1 \af0 \ltrch\fcs0 \insrsid15171363\charrsid4593153 [ZNRACT]}{\rtlch\fcs1 \af0 \ltrch\fcs0 \cs15\v\f1\fs20\cf9\insrsid15171363\charrsid4593153 _x000d__x000a_&lt;/OptDel&gt;&lt;/DocAmend2&gt;}{\rtlch\fcs1 \af0 \ltrch\fcs0 \insrsid15171363\charrsid4593153 _x000d__x000a_\par }\pard \ltrpar\ql \li0\ri0\widctlpar\wrapdefault\aspalpha\aspnum\faauto\adjustright\rin0\lin0\itap0\pararsid15171363 {\rtlch\fcs1 \af0 \ltrch\fcs0 \cs15\v\f1\fs20\cf9\insrsid15171363\charrsid4593153 &lt;Article2&gt;&lt;OptDel&gt;}{\rtlch\fcs1 \af0 \ltrch\fcs0 _x000d__x000a_\insrsid15171363\charrsid4593153 [ZACTPART]}{\rtlch\fcs1 \af0 \ltrch\fcs0 \cs15\v\f1\fs20\cf9\insrsid15171363\charrsid4593153 &lt;/OptDel&gt;&lt;/Article2&gt;}{\rtlch\fcs1 \af0 \ltrch\fcs0 \insrsid15171363\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5171363\charrsid4593153 \cell }\pard \ltrpar\ql \li0\ri0\widctlpar\intbl\wrapdefault\aspalpha\aspnum\faauto\adjustright\rin0\lin0 {\rtlch\fcs1 \af0 \ltrch\fcs0 \insrsid15171363\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15171363\charrsid4593153 [ZLEFT]\cell [ZRIGHT]\cell }\pard\plain \ltrpar\ql \li0\ri0\widctlpar\intbl\wrapdefault\aspalpha\aspnum\faauto\adjustright\rin0\lin0 \rtlch\fcs1 \af0\afs20\alang1025 \ltrch\fcs0 _x000d__x000a_\fs24\lang2057\langfe2057\cgrid\langnp2057\langfenp2057 {\rtlch\fcs1 \af0 \ltrch\fcs0 \insrsid15171363\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5171363\charrsid4593153 [ZTEXTL]\cell [ZTEXTR]}{\rtlch\fcs1 \af0\afs24 \ltrch\fcs0 \insrsid15171363\charrsid4593153 \cell }\pard\plain \ltrpar\ql \li0\ri0\widctlpar\intbl\wrapdefault\aspalpha\aspnum\faauto\adjustright\rin0\lin0 \rtlch\fcs1 _x000d__x000a_\af0\afs20\alang1025 \ltrch\fcs0 \fs24\lang2057\langfe2057\cgrid\langnp2057\langfenp2057 {\rtlch\fcs1 \af0 \ltrch\fcs0 \insrsid15171363\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5171363 \rtlch\fcs1 \af0\afs20\alang1025 \ltrch\fcs0 \i\fs24\lang2057\langfe2057\cgrid\langnp2057\langfenp2057 {\rtlch\fcs1 \af0 \ltrch\fcs0 _x000d__x000a_\cs15\i0\v\f1\fs20\cf9\insrsid15171363\charrsid4593153 &lt;OptDel&gt;}{\rtlch\fcs1 \af0 \ltrch\fcs0 \insrsid15171363\charrsid4593153 [ZCROSSREF]}{\rtlch\fcs1 \af0 \ltrch\fcs0 \cs15\i0\v\f1\fs20\cf9\insrsid15171363\charrsid4593153 &lt;/OptDel&gt;}{\rtlch\fcs1 \af0 _x000d__x000a_\ltrch\fcs0 \insrsid15171363\charrsid4593153 _x000d__x000a_\par }\pard\plain \ltrpar\s22\qc \li0\ri0\sb240\keepn\nowidctlpar\wrapdefault\aspalpha\aspnum\faauto\adjustright\rin0\lin0\itap0\pararsid15171363 \rtlch\fcs1 \af0\afs20\alang1025 \ltrch\fcs0 \i\fs24\lang2057\langfe2057\cgrid\langnp2057\langfenp2057 {_x000d__x000a_\rtlch\fcs1 \af0 \ltrch\fcs0 \cs15\i0\v\f1\fs20\cf9\insrsid15171363\charrsid4593153 &lt;TitreJust&gt;}{\rtlch\fcs1 \af0 \ltrch\fcs0 \insrsid15171363\charrsid4593153 [ZJUSTIFICATION]}{\rtlch\fcs1 \af0 \ltrch\fcs0 _x000d__x000a_\cs15\i0\v\f1\fs20\cf9\insrsid15171363\charrsid4593153 &lt;/TitreJust&gt;}{\rtlch\fcs1 \af0 \ltrch\fcs0 \insrsid15171363\charrsid4593153 _x000d__x000a_\par }\pard\plain \ltrpar\s20\ql \li0\ri0\sb240\nowidctlpar\wrapdefault\aspalpha\aspnum\faauto\adjustright\rin0\lin0\itap0\pararsid15171363 \rtlch\fcs1 \af0\afs20\alang1025 \ltrch\fcs0 \i\fs24\lang2057\langfe2057\cgrid\langnp2057\langfenp2057 {\rtlch\fcs1 _x000d__x000a_\af0 \ltrch\fcs0 \cs15\i0\v\f1\fs20\cf9\insrsid15171363\charrsid4593153 &lt;OptDelPrev&gt;}{\rtlch\fcs1 \af0 \ltrch\fcs0 \insrsid15171363\charrsid4593153 [ZTEXTJUST]}{\rtlch\fcs1 \af0 \ltrch\fcs0 \cs15\i0\v\f1\fs20\cf9\insrsid15171363\charrsid4593153 _x000d__x000a_&lt;/OptDelPrev&gt;}{\rtlch\fcs1 \af0 \ltrch\fcs0 \insrsid15171363\charrsid4593153 _x000d__x000a_\par }\pard\plain \ltrpar\ql \li0\ri0\widctlpar\wrapdefault\aspalpha\aspnum\faauto\adjustright\rin0\lin0\itap0\pararsid15171363 \rtlch\fcs1 \af0\afs20\alang1025 \ltrch\fcs0 \fs24\lang2057\langfe2057\cgrid\langnp2057\langfenp2057 {\rtlch\fcs1 \af0 \ltrch\fcs0 _x000d__x000a_\cs15\v\f1\fs20\cf9\insrsid15171363\charrsid4593153 &lt;/Amend&gt;}{\rtlch\fcs1 \af0 \ltrch\fcs0 \insrsid15171363\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3e_x000d__x000a_19c9f39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Other"/>
    <w:docVar w:name="strSubDir" w:val="1171"/>
    <w:docVar w:name="TXTAUTHOR" w:val="Steven Woolfe"/>
    <w:docVar w:name="TXTLANGUE" w:val="SL"/>
    <w:docVar w:name="TXTLANGUEMIN" w:val="sl"/>
    <w:docVar w:name="TXTNRC" w:val="0132/2018"/>
    <w:docVar w:name="TXTNRCOD" w:val="2018/0900"/>
    <w:docVar w:name="TXTNRCOJ" w:val="02360/2018"/>
    <w:docVar w:name="TXTNRPE" w:val="628.708"/>
    <w:docVar w:name="TXTPEorAP" w:val="PE"/>
    <w:docVar w:name="TXTROUTE" w:val="RR\1171581SL.docx"/>
    <w:docVar w:name="TXTTITLE" w:val="o spremembi Protokola št. 3 o Statutu Sodišča Evropske unije"/>
    <w:docVar w:name="TXTVERSION" w:val="02-00"/>
  </w:docVars>
  <w:rsids>
    <w:rsidRoot w:val="00203DB5"/>
    <w:rsid w:val="00062FDF"/>
    <w:rsid w:val="00084E89"/>
    <w:rsid w:val="0009203D"/>
    <w:rsid w:val="000F1096"/>
    <w:rsid w:val="00142215"/>
    <w:rsid w:val="00147729"/>
    <w:rsid w:val="001649BE"/>
    <w:rsid w:val="001766EA"/>
    <w:rsid w:val="001C5592"/>
    <w:rsid w:val="001C5B44"/>
    <w:rsid w:val="001E1D9F"/>
    <w:rsid w:val="00203DB5"/>
    <w:rsid w:val="00206B03"/>
    <w:rsid w:val="00212B84"/>
    <w:rsid w:val="002343D3"/>
    <w:rsid w:val="002346B0"/>
    <w:rsid w:val="002669B6"/>
    <w:rsid w:val="00290BED"/>
    <w:rsid w:val="002C0CC7"/>
    <w:rsid w:val="002F17A6"/>
    <w:rsid w:val="002F40BB"/>
    <w:rsid w:val="002F4E07"/>
    <w:rsid w:val="00320082"/>
    <w:rsid w:val="003869D9"/>
    <w:rsid w:val="003966B7"/>
    <w:rsid w:val="003A729C"/>
    <w:rsid w:val="003C37CF"/>
    <w:rsid w:val="00461601"/>
    <w:rsid w:val="004C0915"/>
    <w:rsid w:val="004C461F"/>
    <w:rsid w:val="004D424E"/>
    <w:rsid w:val="00521F46"/>
    <w:rsid w:val="00570A6A"/>
    <w:rsid w:val="00586E50"/>
    <w:rsid w:val="005D0335"/>
    <w:rsid w:val="005D7EE8"/>
    <w:rsid w:val="005F7CCC"/>
    <w:rsid w:val="006E1332"/>
    <w:rsid w:val="00742C8A"/>
    <w:rsid w:val="007662DB"/>
    <w:rsid w:val="00790427"/>
    <w:rsid w:val="007932B3"/>
    <w:rsid w:val="00793EA9"/>
    <w:rsid w:val="007A6A69"/>
    <w:rsid w:val="007F58E7"/>
    <w:rsid w:val="008633CC"/>
    <w:rsid w:val="00865190"/>
    <w:rsid w:val="008719B9"/>
    <w:rsid w:val="008A2F61"/>
    <w:rsid w:val="008A7FB8"/>
    <w:rsid w:val="008E3014"/>
    <w:rsid w:val="009022B8"/>
    <w:rsid w:val="00915A89"/>
    <w:rsid w:val="00917CC4"/>
    <w:rsid w:val="009537BC"/>
    <w:rsid w:val="009F6C2F"/>
    <w:rsid w:val="00A05384"/>
    <w:rsid w:val="00A22533"/>
    <w:rsid w:val="00A34FD3"/>
    <w:rsid w:val="00A36929"/>
    <w:rsid w:val="00AA35B0"/>
    <w:rsid w:val="00AD18C8"/>
    <w:rsid w:val="00AF0416"/>
    <w:rsid w:val="00B23B72"/>
    <w:rsid w:val="00B269EF"/>
    <w:rsid w:val="00B42702"/>
    <w:rsid w:val="00B92B1D"/>
    <w:rsid w:val="00B95702"/>
    <w:rsid w:val="00BB26B0"/>
    <w:rsid w:val="00C52C11"/>
    <w:rsid w:val="00CD1C7B"/>
    <w:rsid w:val="00CE6BDA"/>
    <w:rsid w:val="00CF60C8"/>
    <w:rsid w:val="00D50FBF"/>
    <w:rsid w:val="00DA6ED0"/>
    <w:rsid w:val="00E130B8"/>
    <w:rsid w:val="00E171B6"/>
    <w:rsid w:val="00E525D2"/>
    <w:rsid w:val="00E67E37"/>
    <w:rsid w:val="00E71BFD"/>
    <w:rsid w:val="00EB1753"/>
    <w:rsid w:val="00EB6CFF"/>
    <w:rsid w:val="00F02C15"/>
    <w:rsid w:val="00F6762F"/>
    <w:rsid w:val="00F74B09"/>
    <w:rsid w:val="00F904AE"/>
    <w:rsid w:val="00FB2260"/>
    <w:rsid w:val="00FB52FE"/>
    <w:rsid w:val="00FC7160"/>
    <w:rsid w:val="00FF4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6499008"/>
  <w15:chartTrackingRefBased/>
  <w15:docId w15:val="{C6FD93B1-BDDA-417D-A0B5-DAE8B58F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customStyle="1" w:styleId="Lgendesigne">
    <w:name w:val="Légende signe"/>
    <w:basedOn w:val="Normal"/>
    <w:rsid w:val="00915A89"/>
    <w:pPr>
      <w:tabs>
        <w:tab w:val="right" w:pos="454"/>
        <w:tab w:val="left" w:pos="737"/>
      </w:tabs>
      <w:ind w:left="737" w:hanging="737"/>
    </w:pPr>
    <w:rPr>
      <w:sz w:val="18"/>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sl-SI"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sl-SI"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7662DB"/>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CE6BDA"/>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7662DB"/>
    <w:pPr>
      <w:spacing w:after="80"/>
    </w:pPr>
    <w:rPr>
      <w:rFonts w:ascii="Arial" w:hAnsi="Arial" w:cs="Arial"/>
      <w:sz w:val="20"/>
      <w:szCs w:val="22"/>
    </w:rPr>
  </w:style>
  <w:style w:type="paragraph" w:customStyle="1" w:styleId="EPLogo">
    <w:name w:val="EPLogo"/>
    <w:basedOn w:val="Normal"/>
    <w:qFormat/>
    <w:rsid w:val="007662DB"/>
    <w:pPr>
      <w:jc w:val="right"/>
    </w:pPr>
  </w:style>
  <w:style w:type="paragraph" w:customStyle="1" w:styleId="Lgendestandard">
    <w:name w:val="Légende standard"/>
    <w:basedOn w:val="Lgendesigne"/>
    <w:rsid w:val="00915A89"/>
    <w:pPr>
      <w:ind w:left="0" w:firstLine="0"/>
    </w:pPr>
  </w:style>
  <w:style w:type="paragraph" w:customStyle="1" w:styleId="Lgendetitre">
    <w:name w:val="Légende titre"/>
    <w:basedOn w:val="Normal"/>
    <w:rsid w:val="00915A89"/>
    <w:pPr>
      <w:spacing w:before="240" w:after="240"/>
    </w:pPr>
    <w:rPr>
      <w:b/>
      <w:i/>
    </w:rPr>
  </w:style>
  <w:style w:type="paragraph" w:styleId="NormalWeb">
    <w:name w:val="Normal (Web)"/>
    <w:basedOn w:val="Normal"/>
    <w:uiPriority w:val="99"/>
    <w:unhideWhenUsed/>
    <w:rsid w:val="00915A89"/>
    <w:pPr>
      <w:widowControl/>
      <w:spacing w:before="100" w:beforeAutospacing="1" w:after="100" w:afterAutospacing="1"/>
    </w:pPr>
    <w:rPr>
      <w:rFonts w:eastAsia="Calibri"/>
      <w:szCs w:val="24"/>
    </w:rPr>
  </w:style>
  <w:style w:type="paragraph" w:customStyle="1" w:styleId="NormalTabs">
    <w:name w:val="NormalTabs"/>
    <w:basedOn w:val="Normal"/>
    <w:qFormat/>
    <w:rsid w:val="00062FDF"/>
    <w:pPr>
      <w:tabs>
        <w:tab w:val="center" w:pos="284"/>
        <w:tab w:val="left" w:pos="426"/>
      </w:tabs>
    </w:pPr>
    <w:rPr>
      <w:snapToGrid w:val="0"/>
      <w:lang w:eastAsia="en-US"/>
    </w:rPr>
  </w:style>
  <w:style w:type="paragraph" w:customStyle="1" w:styleId="PageHeadingNotTOC">
    <w:name w:val="PageHeadingNotTOC"/>
    <w:basedOn w:val="Normal"/>
    <w:rsid w:val="001649BE"/>
    <w:pPr>
      <w:keepNext/>
      <w:spacing w:before="240" w:after="240"/>
      <w:jc w:val="center"/>
    </w:pPr>
    <w:rPr>
      <w:rFonts w:ascii="Arial" w:hAnsi="Arial"/>
      <w:b/>
    </w:rPr>
  </w:style>
  <w:style w:type="paragraph" w:customStyle="1" w:styleId="ConclusionsPA">
    <w:name w:val="ConclusionsPA"/>
    <w:basedOn w:val="Normal12"/>
    <w:rsid w:val="001649BE"/>
    <w:pPr>
      <w:spacing w:before="480"/>
      <w:jc w:val="center"/>
    </w:pPr>
    <w:rPr>
      <w:rFonts w:ascii="Arial" w:hAnsi="Arial"/>
      <w:b/>
      <w:cap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4D6E-4679-4EF4-9E27-7ED6E41F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2714</Words>
  <Characters>16503</Characters>
  <Application>Microsoft Office Word</Application>
  <DocSecurity>0</DocSecurity>
  <Lines>717</Lines>
  <Paragraphs>362</Paragraphs>
  <ScaleCrop>false</ScaleCrop>
  <HeadingPairs>
    <vt:vector size="2" baseType="variant">
      <vt:variant>
        <vt:lpstr>Title</vt:lpstr>
      </vt:variant>
      <vt:variant>
        <vt:i4>1</vt:i4>
      </vt:variant>
    </vt:vector>
  </HeadingPairs>
  <TitlesOfParts>
    <vt:vector size="1" baseType="lpstr">
      <vt:lpstr>PR_COD_1amOther</vt:lpstr>
    </vt:vector>
  </TitlesOfParts>
  <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PR_COD_1amOther</dc:title>
  <dc:subject/>
  <dc:creator>GROSELJ Tadej</dc:creator>
  <cp:keywords/>
  <dc:description/>
  <cp:lastModifiedBy>POTOCNIK Lea</cp:lastModifiedBy>
  <cp:revision>2</cp:revision>
  <cp:lastPrinted>2004-11-04T09:41:00Z</cp:lastPrinted>
  <dcterms:created xsi:type="dcterms:W3CDTF">2019-01-11T14:23:00Z</dcterms:created>
  <dcterms:modified xsi:type="dcterms:W3CDTF">2019-01-11T14:23:00Z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1171581</vt:lpwstr>
  </property>
  <property fmtid="{D5CDD505-2E9C-101B-9397-08002B2CF9AE}" pid="5" name="&lt;Type&gt;">
    <vt:lpwstr>RR</vt:lpwstr>
  </property>
  <property fmtid="{D5CDD505-2E9C-101B-9397-08002B2CF9AE}" pid="6" name="&lt;ModelCod&gt;">
    <vt:lpwstr>\\eiciLUXpr1\pdocep$\DocEP\DOCS\General\PR\PR_Leg\COD\COD_1st\PR_COD_1amOther.dot(30/06/2017 07:37:06)</vt:lpwstr>
  </property>
  <property fmtid="{D5CDD505-2E9C-101B-9397-08002B2CF9AE}" pid="7" name="&lt;ModelTra&gt;">
    <vt:lpwstr>\\eiciLUXpr1\pdocep$\DocEP\TRANSFIL\SL\PR_COD_1amOther.SL(26/09/2017 14:24:48)</vt:lpwstr>
  </property>
  <property fmtid="{D5CDD505-2E9C-101B-9397-08002B2CF9AE}" pid="8" name="&lt;Model&gt;">
    <vt:lpwstr>PR_COD_1amOther</vt:lpwstr>
  </property>
  <property fmtid="{D5CDD505-2E9C-101B-9397-08002B2CF9AE}" pid="9" name="FooterPath">
    <vt:lpwstr>RR\1171581SL.docx</vt:lpwstr>
  </property>
  <property fmtid="{D5CDD505-2E9C-101B-9397-08002B2CF9AE}" pid="10" name="PE number">
    <vt:lpwstr>628.708</vt:lpwstr>
  </property>
  <property fmtid="{D5CDD505-2E9C-101B-9397-08002B2CF9AE}" pid="11" name="SubscribeElise">
    <vt:lpwstr/>
  </property>
  <property fmtid="{D5CDD505-2E9C-101B-9397-08002B2CF9AE}" pid="12" name="Bookout">
    <vt:lpwstr>OK - 2019/01/11 15:23</vt:lpwstr>
  </property>
  <property fmtid="{D5CDD505-2E9C-101B-9397-08002B2CF9AE}" pid="13" name="SDLStudio">
    <vt:lpwstr/>
  </property>
  <property fmtid="{D5CDD505-2E9C-101B-9397-08002B2CF9AE}" pid="14" name="&lt;Extension&gt;">
    <vt:lpwstr>SL</vt:lpwstr>
  </property>
</Properties>
</file>