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97" w:rsidRDefault="000A4497" w:rsidP="000A4497">
      <w:pPr>
        <w:tabs>
          <w:tab w:val="right" w:pos="9184"/>
        </w:tabs>
      </w:pPr>
    </w:p>
    <w:p w:rsidR="000A4497" w:rsidRDefault="000A4497" w:rsidP="000A4497">
      <w:pPr>
        <w:tabs>
          <w:tab w:val="right" w:pos="9184"/>
        </w:tabs>
      </w:pPr>
    </w:p>
    <w:p w:rsidR="000A4497" w:rsidRDefault="000A4497" w:rsidP="000A4497">
      <w:pPr>
        <w:tabs>
          <w:tab w:val="right" w:pos="9184"/>
        </w:tabs>
      </w:pPr>
    </w:p>
    <w:p w:rsidR="000A4497" w:rsidRDefault="000A4497" w:rsidP="000A4497">
      <w:pPr>
        <w:tabs>
          <w:tab w:val="right" w:pos="9184"/>
        </w:tabs>
      </w:pPr>
    </w:p>
    <w:p w:rsidR="000A4497" w:rsidRDefault="000A4497" w:rsidP="000A4497">
      <w:pPr>
        <w:tabs>
          <w:tab w:val="right" w:pos="9184"/>
        </w:tabs>
      </w:pPr>
      <w:r w:rsidRPr="000A4497">
        <w:rPr>
          <w:rStyle w:val="HideTWBExt"/>
        </w:rPr>
        <w:t>&lt;Date&gt;</w:t>
      </w:r>
      <w:r>
        <w:t>19.3.2019</w:t>
      </w:r>
      <w:r w:rsidRPr="000A4497">
        <w:rPr>
          <w:rStyle w:val="HideTWBExt"/>
        </w:rPr>
        <w:t>&lt;/Date&gt;</w:t>
      </w:r>
      <w:r>
        <w:tab/>
        <w:t xml:space="preserve">A8-0447/ </w:t>
      </w:r>
      <w:r w:rsidRPr="000A4497">
        <w:rPr>
          <w:rStyle w:val="HideTWBExt"/>
        </w:rPr>
        <w:t>&lt;NumOfAM&gt;</w:t>
      </w:r>
      <w:r>
        <w:t>001-108</w:t>
      </w:r>
      <w:bookmarkStart w:id="0" w:name="_GoBack"/>
      <w:bookmarkEnd w:id="0"/>
      <w:r w:rsidRPr="000A4497">
        <w:rPr>
          <w:rStyle w:val="HideTWBExt"/>
        </w:rPr>
        <w:t>&lt;/NumOfAM&gt;</w:t>
      </w:r>
    </w:p>
    <w:p w:rsidR="000A4497" w:rsidRDefault="000A4497" w:rsidP="000A4497">
      <w:pPr>
        <w:tabs>
          <w:tab w:val="right" w:pos="9184"/>
        </w:tabs>
      </w:pPr>
    </w:p>
    <w:p w:rsidR="000A4497" w:rsidRDefault="000A4497" w:rsidP="000A4497">
      <w:pPr>
        <w:tabs>
          <w:tab w:val="right" w:pos="9184"/>
        </w:tabs>
      </w:pPr>
    </w:p>
    <w:p w:rsidR="000A4497" w:rsidRDefault="000A4497" w:rsidP="000A4497">
      <w:pPr>
        <w:tabs>
          <w:tab w:val="right" w:pos="9184"/>
        </w:tabs>
      </w:pPr>
      <w:r>
        <w:rPr>
          <w:b/>
        </w:rPr>
        <w:t xml:space="preserve">MÓDOSÍTÁSOK 001-108 </w:t>
      </w:r>
    </w:p>
    <w:p w:rsidR="000A4497" w:rsidRDefault="000A4497" w:rsidP="000A4497">
      <w:pPr>
        <w:tabs>
          <w:tab w:val="right" w:pos="9184"/>
        </w:tabs>
      </w:pPr>
      <w:r>
        <w:t xml:space="preserve">előterjesztette: </w:t>
      </w:r>
      <w:r w:rsidRPr="000A4497">
        <w:rPr>
          <w:rStyle w:val="HideTWBExt"/>
        </w:rPr>
        <w:t>&lt;Committee&gt;</w:t>
      </w:r>
      <w:r>
        <w:t>Jogi Bizottság</w:t>
      </w:r>
      <w:r w:rsidRPr="000A4497">
        <w:rPr>
          <w:rStyle w:val="HideTWBExt"/>
        </w:rPr>
        <w:t>&lt;/Committee&gt;</w:t>
      </w:r>
    </w:p>
    <w:p w:rsidR="000A4497" w:rsidRDefault="000A4497" w:rsidP="000A4497">
      <w:pPr>
        <w:tabs>
          <w:tab w:val="right" w:pos="9184"/>
        </w:tabs>
      </w:pPr>
    </w:p>
    <w:p w:rsidR="000A4497" w:rsidRDefault="000A4497" w:rsidP="000A4497">
      <w:pPr>
        <w:tabs>
          <w:tab w:val="right" w:pos="9184"/>
        </w:tabs>
        <w:rPr>
          <w:b/>
        </w:rPr>
      </w:pPr>
      <w:r>
        <w:rPr>
          <w:b/>
        </w:rPr>
        <w:t>Jelentés</w:t>
      </w:r>
    </w:p>
    <w:p w:rsidR="000A4497" w:rsidRDefault="000A4497" w:rsidP="000A4497">
      <w:pPr>
        <w:tabs>
          <w:tab w:val="right" w:pos="9184"/>
        </w:tabs>
        <w:rPr>
          <w:b/>
        </w:rPr>
      </w:pPr>
      <w:r w:rsidRPr="000A4497">
        <w:rPr>
          <w:rStyle w:val="HideTWBExt"/>
        </w:rPr>
        <w:t>&lt;Chairman&gt;</w:t>
      </w:r>
      <w:r>
        <w:rPr>
          <w:b/>
        </w:rPr>
        <w:t>Geoffroy Didier</w:t>
      </w:r>
      <w:r w:rsidRPr="000A4497">
        <w:rPr>
          <w:rStyle w:val="HideTWBExt"/>
        </w:rPr>
        <w:t>&lt;/Chairman&gt;</w:t>
      </w:r>
      <w:r>
        <w:rPr>
          <w:b/>
        </w:rPr>
        <w:tab/>
      </w:r>
      <w:r w:rsidRPr="000A4497">
        <w:rPr>
          <w:rStyle w:val="HideTWBExt"/>
        </w:rPr>
        <w:t>&lt;A5Nr&gt;</w:t>
      </w:r>
      <w:r>
        <w:rPr>
          <w:b/>
        </w:rPr>
        <w:t>A8-0447/2018</w:t>
      </w:r>
      <w:r w:rsidRPr="000A4497">
        <w:rPr>
          <w:rStyle w:val="HideTWBExt"/>
        </w:rPr>
        <w:t>&lt;/A5Nr&gt;</w:t>
      </w:r>
    </w:p>
    <w:p w:rsidR="000A4497" w:rsidRDefault="000A4497" w:rsidP="000A4497">
      <w:pPr>
        <w:tabs>
          <w:tab w:val="right" w:pos="9184"/>
        </w:tabs>
      </w:pPr>
      <w:r w:rsidRPr="000A4497">
        <w:rPr>
          <w:rStyle w:val="HideTWBExt"/>
        </w:rPr>
        <w:t>&lt;ShortTitel&gt;</w:t>
      </w:r>
      <w:r>
        <w:t>A fogyasztók kollektív érdekeinek védelmére irányuló képviseleti eljárások</w:t>
      </w:r>
      <w:r w:rsidRPr="000A4497">
        <w:rPr>
          <w:rStyle w:val="HideTWBExt"/>
        </w:rPr>
        <w:t>&lt;/ShortTitel&gt;</w:t>
      </w:r>
    </w:p>
    <w:p w:rsidR="000A4497" w:rsidRDefault="000A4497" w:rsidP="000A4497">
      <w:pPr>
        <w:tabs>
          <w:tab w:val="right" w:pos="9184"/>
        </w:tabs>
      </w:pPr>
    </w:p>
    <w:p w:rsidR="000A4497" w:rsidRDefault="000A4497" w:rsidP="000A4497">
      <w:pPr>
        <w:tabs>
          <w:tab w:val="right" w:pos="9184"/>
        </w:tabs>
      </w:pPr>
      <w:r w:rsidRPr="000A4497">
        <w:rPr>
          <w:rStyle w:val="HideTWBExt"/>
        </w:rPr>
        <w:t>&lt;Procedure&gt;</w:t>
      </w:r>
      <w:r>
        <w:t>Irányelvi javaslat</w:t>
      </w:r>
      <w:r w:rsidRPr="000A4497">
        <w:rPr>
          <w:rStyle w:val="HideTWBExt"/>
        </w:rPr>
        <w:t>&lt;/Procedure&gt;</w:t>
      </w:r>
      <w:r>
        <w:t xml:space="preserve"> </w:t>
      </w:r>
      <w:r w:rsidRPr="000A4497">
        <w:rPr>
          <w:rStyle w:val="HideTWBExt"/>
        </w:rPr>
        <w:t>&lt;ReferenceNo&gt;</w:t>
      </w:r>
      <w:r>
        <w:t>(COM(2018)0184 – C8-0149/2018 – 2018/0089(COD))</w:t>
      </w:r>
      <w:r w:rsidRPr="000A4497">
        <w:rPr>
          <w:rStyle w:val="HideTWBExt"/>
        </w:rPr>
        <w:t>&lt;/ReferenceNo&gt;</w:t>
      </w:r>
    </w:p>
    <w:p w:rsidR="000A4497" w:rsidRDefault="000A4497" w:rsidP="000A4497">
      <w:pPr>
        <w:tabs>
          <w:tab w:val="right" w:pos="9184"/>
        </w:tabs>
      </w:pPr>
    </w:p>
    <w:p w:rsidR="000A4497" w:rsidRDefault="000A4497" w:rsidP="000A4497">
      <w:pPr>
        <w:tabs>
          <w:tab w:val="right" w:pos="9184"/>
        </w:tabs>
      </w:pPr>
    </w:p>
    <w:p w:rsidR="000A4497" w:rsidRDefault="000A4497" w:rsidP="000A4497">
      <w:pPr>
        <w:tabs>
          <w:tab w:val="right" w:pos="9184"/>
        </w:tabs>
      </w:pPr>
    </w:p>
    <w:p w:rsidR="000A4497" w:rsidRDefault="000A4497" w:rsidP="000A4497">
      <w:pPr>
        <w:tabs>
          <w:tab w:val="right" w:pos="9184"/>
        </w:tabs>
        <w:jc w:val="center"/>
      </w:pPr>
      <w:r>
        <w:t>_____________________________________________________________</w:t>
      </w:r>
    </w:p>
    <w:p w:rsidR="000A4497" w:rsidRDefault="000A4497" w:rsidP="000A4497">
      <w:pPr>
        <w:tabs>
          <w:tab w:val="right" w:pos="9184"/>
        </w:tabs>
        <w:jc w:val="center"/>
      </w:pPr>
    </w:p>
    <w:p w:rsidR="00FD386D" w:rsidRPr="000A4497" w:rsidRDefault="00FD386D" w:rsidP="000A4497">
      <w:pPr>
        <w:pStyle w:val="AMNumberTabs"/>
      </w:pPr>
      <w:r w:rsidRPr="000A4497">
        <w:t>Módosítás</w:t>
      </w:r>
      <w:r w:rsidRPr="000A4497">
        <w:tab/>
      </w:r>
      <w:r w:rsidRPr="000A4497">
        <w:tab/>
        <w:t>1</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(1)</w:t>
            </w:r>
            <w:r w:rsidRPr="000A4497">
              <w:tab/>
              <w:t>Ezen irányelv célja, hogy lehetővé tegye a fogyasztók kollektív érdekeit képviselő feljogosított egységek számára, hogy az uniós jog rendelkezéseinek megsértése esetén a jogsértés megszüntetésére irányuló képviseleti eljárásban jogorvoslatért folyamodjanak. A feljogosított egységeknek képesnek kell lenniük arra, hogy a jogsértés megszüntetését vagy megtiltását, a jogsértés megtörténtének megállapítását és jogorvoslatot kérjenek, mint például a nemzeti jogszabályok szerint rendelkezésre álló kártérítést, kijavítást</w:t>
            </w:r>
            <w:r w:rsidRPr="000A4497">
              <w:rPr>
                <w:b/>
                <w:i/>
              </w:rPr>
              <w:t xml:space="preserve"> vagy árcsökkentést</w:t>
            </w:r>
            <w:r w:rsidRPr="000A4497">
              <w:t>.</w:t>
            </w:r>
          </w:p>
        </w:tc>
        <w:tc>
          <w:tcPr>
            <w:tcW w:w="4876" w:type="dxa"/>
          </w:tcPr>
          <w:p w:rsidR="00FD386D" w:rsidRPr="000A4497" w:rsidRDefault="00FD386D" w:rsidP="002D21D3">
            <w:pPr>
              <w:pStyle w:val="Normal6"/>
            </w:pPr>
            <w:r w:rsidRPr="000A4497">
              <w:t>(1)</w:t>
            </w:r>
            <w:r w:rsidRPr="000A4497">
              <w:tab/>
              <w:t xml:space="preserve">Ezen irányelv célja, hogy lehetővé tegye a fogyasztók kollektív érdekeit képviselő feljogosított </w:t>
            </w:r>
            <w:r w:rsidRPr="000A4497">
              <w:rPr>
                <w:b/>
                <w:i/>
              </w:rPr>
              <w:t xml:space="preserve">képviseleti </w:t>
            </w:r>
            <w:r w:rsidRPr="000A4497">
              <w:t>egységek számára, hogy az uniós jog rendelkezéseinek megsértése esetén a jogsértés megszüntetésére irányuló képviseleti eljárásban jogorvoslatért folyamodjanak. A feljogosított</w:t>
            </w:r>
            <w:r w:rsidRPr="000A4497">
              <w:rPr>
                <w:b/>
                <w:i/>
              </w:rPr>
              <w:t xml:space="preserve"> képviseleti</w:t>
            </w:r>
            <w:r w:rsidRPr="000A4497">
              <w:t xml:space="preserve"> egységeknek képesnek kell lenniük arra, hogy a jogsértés megszüntetését vagy megtiltását, a jogsértés megtörténtének megállapítását és jogorvoslatot kérjenek, mint például a nemzeti jogszabályok szerint rendelkezésre álló kártérítést, </w:t>
            </w:r>
            <w:r w:rsidRPr="000A4497">
              <w:rPr>
                <w:b/>
                <w:i/>
              </w:rPr>
              <w:t xml:space="preserve">a kifizetett ár visszatérítését, </w:t>
            </w:r>
            <w:r w:rsidRPr="000A4497">
              <w:t>kijavítást</w:t>
            </w:r>
            <w:r w:rsidRPr="000A4497">
              <w:rPr>
                <w:b/>
                <w:i/>
              </w:rPr>
              <w:t>, cserét, visszavonást, illetve a szerződés felbontását</w:t>
            </w:r>
            <w:r w:rsidRPr="000A4497">
              <w:t>.</w:t>
            </w:r>
          </w:p>
        </w:tc>
      </w:tr>
    </w:tbl>
    <w:p w:rsidR="00FD386D" w:rsidRPr="000A4497" w:rsidRDefault="00FD386D" w:rsidP="00FD386D">
      <w:pPr>
        <w:pStyle w:val="AMNumberTabs"/>
        <w:keepNext/>
      </w:pPr>
      <w:r w:rsidRPr="000A4497">
        <w:t>Módosítás</w:t>
      </w:r>
      <w:r w:rsidRPr="000A4497">
        <w:tab/>
      </w:r>
      <w:r w:rsidRPr="000A4497">
        <w:tab/>
        <w:t>2</w:t>
      </w:r>
    </w:p>
    <w:p w:rsidR="00FD386D" w:rsidRPr="000A4497" w:rsidRDefault="00FD386D" w:rsidP="00FD386D"/>
    <w:p w:rsidR="00FD386D" w:rsidRPr="000A4497" w:rsidRDefault="00FD386D" w:rsidP="00FD386D">
      <w:pPr>
        <w:pStyle w:val="NormalBold"/>
        <w:keepNext/>
      </w:pPr>
      <w:r w:rsidRPr="000A4497">
        <w:lastRenderedPageBreak/>
        <w:t>Irányelvre irányuló javaslat</w:t>
      </w:r>
    </w:p>
    <w:p w:rsidR="00FD386D" w:rsidRPr="000A4497" w:rsidRDefault="00FD386D" w:rsidP="00FD386D">
      <w:pPr>
        <w:pStyle w:val="NormalBold"/>
      </w:pPr>
      <w:r w:rsidRPr="000A4497">
        <w:t>2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(2)</w:t>
            </w:r>
            <w:r w:rsidRPr="000A4497">
              <w:tab/>
              <w:t>A 2009/22/EK európai parlamenti és tanácsi irányelv</w:t>
            </w:r>
            <w:r w:rsidRPr="000A4497">
              <w:rPr>
                <w:vertAlign w:val="superscript"/>
              </w:rPr>
              <w:t>29</w:t>
            </w:r>
            <w:r w:rsidRPr="000A4497">
              <w:t xml:space="preserve"> lehetővé tette a feljogosított egységek számára, hogy olyan képviseleti eljárásokat indítsanak, amelyek elsősorban a fogyasztók kollektív érdekeit sértő uniós jogsértések leállítására és megtiltására irányulnak. Az irányelv azonban nem foglalkozott kellő mértékben a fogyasztóvédelmi jog érvényesítésével kapcsolatos kihívásokkal. A jogellenes gyakorlatok elrettentő hatásának növelése és a fogyasztói károk csökkentése érdekében meg kell erősíteni a fogyasztók kollektív érdekeinek védelmét szolgáló mechanizmust. Tekintettel a nagyszámú változásra, az egyértelműség érdekében helyénvaló a 2009/22/EK irányelv felváltása.</w:t>
            </w:r>
          </w:p>
        </w:tc>
        <w:tc>
          <w:tcPr>
            <w:tcW w:w="4876" w:type="dxa"/>
            <w:hideMark/>
          </w:tcPr>
          <w:p w:rsidR="00FD386D" w:rsidRPr="000A4497" w:rsidRDefault="00FD386D" w:rsidP="002D21D3">
            <w:pPr>
              <w:pStyle w:val="Normal6"/>
              <w:rPr>
                <w:szCs w:val="24"/>
              </w:rPr>
            </w:pPr>
            <w:r w:rsidRPr="000A4497">
              <w:t>(2)</w:t>
            </w:r>
            <w:r w:rsidRPr="000A4497">
              <w:tab/>
              <w:t>A 2009/22/EK európai parlamenti és tanácsi irányelv</w:t>
            </w:r>
            <w:r w:rsidRPr="000A4497">
              <w:rPr>
                <w:vertAlign w:val="superscript"/>
              </w:rPr>
              <w:t>29</w:t>
            </w:r>
            <w:r w:rsidRPr="000A4497">
              <w:t xml:space="preserve"> lehetővé tette a feljogosított </w:t>
            </w:r>
            <w:r w:rsidRPr="000A4497">
              <w:rPr>
                <w:b/>
                <w:i/>
              </w:rPr>
              <w:t xml:space="preserve">képviseleti </w:t>
            </w:r>
            <w:r w:rsidRPr="000A4497">
              <w:t>egységek számára, hogy olyan képviseleti eljárásokat indítsanak, amelyek elsősorban a fogyasztók kollektív érdekeit sértő uniós jogsértések leállítására és megtiltására irányulnak. Az irányelv azonban nem foglalkozott kellő mértékben a fogyasztóvédelmi jog érvényesítésével kapcsolatos kihívásokkal. A jogellenes gyakorlatok elrettentő hatásának növelése</w:t>
            </w:r>
            <w:r w:rsidRPr="000A4497">
              <w:rPr>
                <w:b/>
                <w:i/>
              </w:rPr>
              <w:t>, a helyes és felelős üzleti gyakorlatok ösztönzése</w:t>
            </w:r>
            <w:r w:rsidRPr="000A4497">
              <w:t xml:space="preserve"> és a fogyasztói károk csökkentése érdekében meg kell erősíteni a fogyasztók kollektív érdekeinek védelmét szolgáló mechanizmust. Tekintettel a nagyszámú változásra, az egyértelműség érdekében helyénvaló a 2009/22/EK irányelv felváltása. </w:t>
            </w:r>
            <w:r w:rsidRPr="000A4497">
              <w:rPr>
                <w:b/>
                <w:i/>
              </w:rPr>
              <w:t>Nagy szükség van az EUMSZ 114. cikkén alapuló uniós beavatkozásra annak érdekében, hogy biztosítani lehessen mind az igazságszolgáltatáshoz való jogot, mind pedig az igazságszolgáltatás megfelelőségét, mivel ez csökkenteni fogja az egyéni eljárásokkal járó költségeket és terhet.</w:t>
            </w:r>
          </w:p>
        </w:tc>
      </w:tr>
      <w:tr w:rsidR="00FD386D" w:rsidRPr="000A4497" w:rsidTr="002D21D3">
        <w:trPr>
          <w:jc w:val="center"/>
        </w:trPr>
        <w:tc>
          <w:tcPr>
            <w:tcW w:w="4876" w:type="dxa"/>
            <w:hideMark/>
          </w:tcPr>
          <w:p w:rsidR="00FD386D" w:rsidRPr="000A4497" w:rsidRDefault="00FD386D" w:rsidP="002D21D3">
            <w:pPr>
              <w:pStyle w:val="Normal6"/>
            </w:pPr>
            <w:r w:rsidRPr="000A4497">
              <w:t>__________________</w:t>
            </w:r>
          </w:p>
        </w:tc>
        <w:tc>
          <w:tcPr>
            <w:tcW w:w="4876" w:type="dxa"/>
            <w:hideMark/>
          </w:tcPr>
          <w:p w:rsidR="00FD386D" w:rsidRPr="000A4497" w:rsidRDefault="00FD386D" w:rsidP="002D21D3">
            <w:pPr>
              <w:pStyle w:val="Normal6"/>
              <w:rPr>
                <w:szCs w:val="24"/>
              </w:rPr>
            </w:pPr>
            <w:r w:rsidRPr="000A4497">
              <w:t>__________________</w:t>
            </w:r>
          </w:p>
        </w:tc>
      </w:tr>
      <w:tr w:rsidR="00FD386D" w:rsidRPr="000A4497" w:rsidTr="002D21D3">
        <w:trPr>
          <w:jc w:val="center"/>
        </w:trPr>
        <w:tc>
          <w:tcPr>
            <w:tcW w:w="4876" w:type="dxa"/>
            <w:hideMark/>
          </w:tcPr>
          <w:p w:rsidR="00FD386D" w:rsidRPr="000A4497" w:rsidRDefault="00FD386D" w:rsidP="002D21D3">
            <w:pPr>
              <w:pStyle w:val="Normal6"/>
            </w:pPr>
            <w:r w:rsidRPr="000A4497">
              <w:rPr>
                <w:vertAlign w:val="superscript"/>
              </w:rPr>
              <w:t>29</w:t>
            </w:r>
            <w:r w:rsidRPr="000A4497">
              <w:t xml:space="preserve"> HL L 110/30., 2009.5.1.</w:t>
            </w:r>
          </w:p>
        </w:tc>
        <w:tc>
          <w:tcPr>
            <w:tcW w:w="4876" w:type="dxa"/>
            <w:hideMark/>
          </w:tcPr>
          <w:p w:rsidR="00FD386D" w:rsidRPr="000A4497" w:rsidRDefault="00FD386D" w:rsidP="002D21D3">
            <w:pPr>
              <w:pStyle w:val="Normal6"/>
              <w:rPr>
                <w:szCs w:val="24"/>
              </w:rPr>
            </w:pPr>
            <w:r w:rsidRPr="000A4497">
              <w:rPr>
                <w:vertAlign w:val="superscript"/>
              </w:rPr>
              <w:t>29</w:t>
            </w:r>
            <w:r w:rsidRPr="000A4497">
              <w:t xml:space="preserve"> HL L 110/30., 2009.5.1.</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3</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3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(3)</w:t>
            </w:r>
            <w:r w:rsidRPr="000A4497">
              <w:tab/>
              <w:t xml:space="preserve">A képviseleti eljárásnak hatékony és eredményes módon kell biztosítania </w:t>
            </w:r>
            <w:r w:rsidRPr="000A4497">
              <w:rPr>
                <w:b/>
                <w:i/>
              </w:rPr>
              <w:t>a fogyasztók</w:t>
            </w:r>
            <w:r w:rsidRPr="000A4497">
              <w:t xml:space="preserve"> kollektív érdekeinek védelmét. Lehetővé kell tennie a feljogosított egységek számára, hogy fellépjenek az </w:t>
            </w:r>
            <w:r w:rsidRPr="000A4497">
              <w:lastRenderedPageBreak/>
              <w:t>uniós jog vonatkozó rendelkezéseinek való megfelelés biztosítása, valamint a fogyasztók egyéni eljárások során jelentkező akadályok – mint például a jogaikkal és a rendelkezésre álló eljárási mechanizmusokkal kapcsolatos bizonytalanság, a cselekvéstől való pszichológiai vonakodás, valamint az egyéni eljárások várható költségeinek és hasznainak negatív egyensúlya – leküzdése érdekében.</w:t>
            </w:r>
          </w:p>
        </w:tc>
        <w:tc>
          <w:tcPr>
            <w:tcW w:w="4876" w:type="dxa"/>
          </w:tcPr>
          <w:p w:rsidR="00FD386D" w:rsidRPr="000A4497" w:rsidRDefault="00FD386D" w:rsidP="002D21D3">
            <w:pPr>
              <w:pStyle w:val="Normal6"/>
            </w:pPr>
            <w:r w:rsidRPr="000A4497">
              <w:lastRenderedPageBreak/>
              <w:t>(3)</w:t>
            </w:r>
            <w:r w:rsidRPr="000A4497">
              <w:tab/>
              <w:t xml:space="preserve">A képviseleti eljárásnak hatékony és eredményes módon kell biztosítania </w:t>
            </w:r>
            <w:r w:rsidRPr="000A4497">
              <w:rPr>
                <w:b/>
                <w:i/>
              </w:rPr>
              <w:t>valamennyi fogyasztó</w:t>
            </w:r>
            <w:r w:rsidRPr="000A4497">
              <w:t xml:space="preserve"> kollektív érdekeinek védelmét</w:t>
            </w:r>
            <w:r w:rsidRPr="000A4497">
              <w:rPr>
                <w:b/>
                <w:i/>
              </w:rPr>
              <w:t xml:space="preserve"> mind a belső, mind pedig a határokon átnyúló jogsértésekkel </w:t>
            </w:r>
            <w:r w:rsidRPr="000A4497">
              <w:rPr>
                <w:b/>
                <w:i/>
              </w:rPr>
              <w:lastRenderedPageBreak/>
              <w:t>szemben</w:t>
            </w:r>
            <w:r w:rsidRPr="000A4497">
              <w:t>. Lehetővé kell tennie a feljogosított</w:t>
            </w:r>
            <w:r w:rsidRPr="000A4497">
              <w:rPr>
                <w:b/>
                <w:i/>
              </w:rPr>
              <w:t xml:space="preserve"> képviseleti</w:t>
            </w:r>
            <w:r w:rsidRPr="000A4497">
              <w:t xml:space="preserve"> egységek számára, hogy fellépjenek az uniós jog vonatkozó rendelkezéseinek való megfelelés biztosítása, valamint a fogyasztók egyéni eljárások során jelentkező akadályok – mint például a jogaikkal és a rendelkezésre álló eljárási mechanizmusokkal kapcsolatos bizonytalanság, a </w:t>
            </w:r>
            <w:r w:rsidRPr="000A4497">
              <w:rPr>
                <w:b/>
                <w:i/>
              </w:rPr>
              <w:t xml:space="preserve">sikertelen követelésekkel kapcsolatos korábbi tapasztalatok, a túl hosszadalmas eljárások, a </w:t>
            </w:r>
            <w:r w:rsidRPr="000A4497">
              <w:t>cselekvéstől való pszichológiai vonakodás, valamint az egyéni eljárások várható költségeinek és hasznainak negatív egyensúlya – leküzdése érdekében</w:t>
            </w:r>
            <w:r w:rsidRPr="000A4497">
              <w:rPr>
                <w:b/>
                <w:i/>
              </w:rPr>
              <w:t>, növelve ezzel a jogbiztonságot mind a felperesek, mind az alperesek, mind pedig a jogrend számára</w:t>
            </w:r>
            <w:r w:rsidRPr="000A4497">
              <w: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(4)</w:t>
            </w:r>
            <w:r w:rsidRPr="000A4497">
              <w:tab/>
              <w:t xml:space="preserve">Fontos biztosítani az igazságszolgáltatáshoz való hozzáférés és a visszaélésszerű pereskedés – ami indokolatlanul akadályozhatja a vállalkozások azon képességét, hogy az egységes piacon működjenek – elleni eljárási biztosítékok közötti szükséges egyensúlyt. A képviseleti eljárásokkal való visszaélések megelőzése érdekében el kell kerülni az olyan elemeket, mint például a büntető kártérítés, valamint a sérelmet szenvedett fogyasztók nevében történő eljárás indítására vonatkozó korlátozások hiánya, továbbá a különböző eljárási részletekre – például a feljogosított szervezetek kijelölésére, pénzeszközeinek eredetére és a képviseleti tevékenység támogatásához szükséges információk jellegére – vonatkozóan egyértelmű szabályokat kell megállapítani. </w:t>
            </w:r>
            <w:r w:rsidRPr="000A4497">
              <w:rPr>
                <w:b/>
                <w:i/>
              </w:rPr>
              <w:t xml:space="preserve">Ez </w:t>
            </w:r>
            <w:r w:rsidRPr="000A4497">
              <w:t xml:space="preserve">az </w:t>
            </w:r>
            <w:r w:rsidRPr="000A4497">
              <w:rPr>
                <w:b/>
                <w:i/>
              </w:rPr>
              <w:t>irányelv</w:t>
            </w:r>
            <w:r w:rsidRPr="000A4497">
              <w:t xml:space="preserve"> nem </w:t>
            </w:r>
            <w:r w:rsidRPr="000A4497">
              <w:rPr>
                <w:b/>
                <w:i/>
              </w:rPr>
              <w:t>érinti az eljárási</w:t>
            </w:r>
            <w:r w:rsidRPr="000A4497">
              <w:t xml:space="preserve"> költségek </w:t>
            </w:r>
            <w:r w:rsidRPr="000A4497">
              <w:rPr>
                <w:b/>
                <w:i/>
              </w:rPr>
              <w:t xml:space="preserve">elosztására vonatkozó nemzeti </w:t>
            </w:r>
            <w:r w:rsidRPr="000A4497">
              <w:rPr>
                <w:b/>
                <w:i/>
              </w:rPr>
              <w:lastRenderedPageBreak/>
              <w:t>szabályokat</w:t>
            </w:r>
            <w:r w:rsidRPr="000A4497">
              <w:t>.</w:t>
            </w:r>
          </w:p>
        </w:tc>
        <w:tc>
          <w:tcPr>
            <w:tcW w:w="4876" w:type="dxa"/>
            <w:hideMark/>
          </w:tcPr>
          <w:p w:rsidR="00FD386D" w:rsidRPr="000A4497" w:rsidRDefault="00FD386D" w:rsidP="002D21D3">
            <w:pPr>
              <w:pStyle w:val="Normal6"/>
              <w:rPr>
                <w:szCs w:val="24"/>
              </w:rPr>
            </w:pPr>
            <w:r w:rsidRPr="000A4497">
              <w:lastRenderedPageBreak/>
              <w:t>(4)</w:t>
            </w:r>
            <w:r w:rsidRPr="000A4497">
              <w:tab/>
              <w:t xml:space="preserve">Fontos biztosítani az igazságszolgáltatáshoz való hozzáférés és a visszaélésszerű pereskedés – ami indokolatlanul akadályozhatja a vállalkozások azon képességét, hogy az egységes piacon működjenek – elleni eljárási biztosítékok közötti szükséges egyensúlyt. A képviseleti eljárásokkal való visszaélések megelőzése érdekében el kell kerülni az olyan elemeket, mint például a büntető kártérítés, valamint a sérelmet szenvedett fogyasztók nevében történő eljárás indítására vonatkozó korlátozások hiánya, továbbá a különböző eljárási részletekre – például a feljogosított </w:t>
            </w:r>
            <w:r w:rsidRPr="000A4497">
              <w:rPr>
                <w:b/>
                <w:i/>
              </w:rPr>
              <w:t xml:space="preserve">képviseleti </w:t>
            </w:r>
            <w:r w:rsidRPr="000A4497">
              <w:t xml:space="preserve">szervezetek kijelölésére, pénzeszközeinek eredetére és a képviseleti tevékenység támogatásához szükséges információk jellegére – vonatkozóan egyértelmű szabályokat kell megállapítani. </w:t>
            </w:r>
            <w:r w:rsidRPr="000A4497">
              <w:rPr>
                <w:b/>
                <w:i/>
              </w:rPr>
              <w:t>Az eljárás költségeit a pervesztes fél viseli. A bíróság vagy az eljáró hivatal azonban</w:t>
            </w:r>
            <w:r w:rsidRPr="000A4497">
              <w:t xml:space="preserve"> </w:t>
            </w:r>
            <w:r w:rsidRPr="000A4497">
              <w:lastRenderedPageBreak/>
              <w:t xml:space="preserve">nem </w:t>
            </w:r>
            <w:r w:rsidRPr="000A4497">
              <w:rPr>
                <w:b/>
                <w:i/>
              </w:rPr>
              <w:t>kötelezheti a pervesztes felet a</w:t>
            </w:r>
            <w:r w:rsidRPr="000A4497">
              <w:t xml:space="preserve"> költségek </w:t>
            </w:r>
            <w:r w:rsidRPr="000A4497">
              <w:rPr>
                <w:b/>
                <w:i/>
              </w:rPr>
              <w:t>megfizetésére, amennyiben azok indokolatlanul merültek fel, vagy a követeléshez képest aránytalanok voltak</w:t>
            </w:r>
            <w:r w:rsidRPr="000A4497">
              <w:t xml:space="preserve">. </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(6)</w:t>
            </w:r>
            <w:r w:rsidRPr="000A4497">
              <w:tab/>
              <w:t xml:space="preserve">Ennek az irányelvnek számos területet kell lefednie, mint az adatvédelem, a pénzügyi szolgáltatások, az utazás és a turizmus, az energia, a távközlés és </w:t>
            </w:r>
            <w:r w:rsidRPr="000A4497">
              <w:rPr>
                <w:b/>
                <w:i/>
              </w:rPr>
              <w:t>a környezetvédelem</w:t>
            </w:r>
            <w:r w:rsidRPr="000A4497">
              <w:t>. Ki kell terjednie az uniós jog azon rendelkezéseinek megsértésére, amelyek védik a fogyasztók érdekeit, függetlenül attól, hogy fogyasztóként vagy utazóként, felhasználóként, vásárlóként, lakossági befektetőként, lakossági ügyfelekként vagy más módon említik őket a vonatkozó uniós jogban. Az uniós jog - amelynek formája és terjedelme gyorsan fejlődik - megsértésére adott megfelelő válasz biztosítása érdekében minden olyan alkalommal, amikor a fogyasztók kollektív érdekeinek védelme szempontjából releváns új uniós jogi aktust fogadnak el, meg kell fontolni, hogy módosítani kell-e a jelen irányelv mellékletét annak érdekében, hogy annak hatálya kiterjedjen az új jogi aktusra.</w:t>
            </w:r>
          </w:p>
        </w:tc>
        <w:tc>
          <w:tcPr>
            <w:tcW w:w="4876" w:type="dxa"/>
            <w:hideMark/>
          </w:tcPr>
          <w:p w:rsidR="00FD386D" w:rsidRPr="000A4497" w:rsidRDefault="00FD386D" w:rsidP="002D21D3">
            <w:pPr>
              <w:pStyle w:val="Normal6"/>
              <w:rPr>
                <w:szCs w:val="24"/>
              </w:rPr>
            </w:pPr>
            <w:r w:rsidRPr="000A4497">
              <w:t>(6)</w:t>
            </w:r>
            <w:r w:rsidRPr="000A4497">
              <w:tab/>
              <w:t>Ennek az irányelvnek számos területet kell lefednie, mint az adatvédelem, a pénzügyi szolgáltatások, az utazás és a turizmus, az energia, a távközlés</w:t>
            </w:r>
            <w:r w:rsidRPr="000A4497">
              <w:rPr>
                <w:b/>
                <w:i/>
              </w:rPr>
              <w:t>, a környezetvédelem</w:t>
            </w:r>
            <w:r w:rsidRPr="000A4497">
              <w:t xml:space="preserve"> és </w:t>
            </w:r>
            <w:r w:rsidRPr="000A4497">
              <w:rPr>
                <w:b/>
                <w:i/>
              </w:rPr>
              <w:t>az egészség</w:t>
            </w:r>
            <w:r w:rsidRPr="000A4497">
              <w:t>. Ki kell terjednie az uniós jog azon rendelkezéseinek megsértésére, amelyek védik a fogyasztók</w:t>
            </w:r>
            <w:r w:rsidRPr="000A4497">
              <w:rPr>
                <w:b/>
                <w:i/>
              </w:rPr>
              <w:t xml:space="preserve"> kollektív</w:t>
            </w:r>
            <w:r w:rsidRPr="000A4497">
              <w:t xml:space="preserve"> érdekeit, függetlenül attól, hogy fogyasztóként vagy utazóként, felhasználóként, vásárlóként, lakossági befektetőként, lakossági ügyfelekként vagy más módon említik őket a vonatkozó uniós jogban</w:t>
            </w:r>
            <w:r w:rsidRPr="000A4497">
              <w:rPr>
                <w:b/>
                <w:i/>
              </w:rPr>
              <w:t>, valamint az általános adatvédelmi rendelet értelmében vett érintettek kollektív érdekeire.</w:t>
            </w:r>
            <w:r w:rsidRPr="000A4497">
              <w:t xml:space="preserve"> Az uniós jog - amelynek formája és terjedelme gyorsan fejlődik - megsértésére adott megfelelő válasz biztosítása érdekében minden olyan alkalommal, amikor a fogyasztók kollektív érdekeinek védelme szempontjából releváns új uniós jogi aktust fogadnak el, meg kell fontolni, hogy módosítani kell-e a jelen irányelv mellékletét annak érdekében, hogy annak hatálya kiterjedjen az új jogi aktusra.</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(6a)</w:t>
            </w:r>
            <w:r w:rsidRPr="000A4497">
              <w:rPr>
                <w:b/>
                <w:i/>
              </w:rPr>
              <w:tab/>
              <w:t xml:space="preserve">Ez az irányelv az I. mellékletben </w:t>
            </w:r>
            <w:r w:rsidRPr="000A4497">
              <w:rPr>
                <w:b/>
                <w:i/>
              </w:rPr>
              <w:lastRenderedPageBreak/>
              <w:t>felsorolt uniós jogi aktusok rendelkezései szerinti, a fogyasztókra széles körű hatást gyakorló jogsértések miatt indított képviseleti eljárásokra alkalmazandó. Két fogyasztó érintettsége esetén már széles körű hatásról beszélhetünk.</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7</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9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(9)</w:t>
            </w:r>
            <w:r w:rsidRPr="000A4497">
              <w:tab/>
              <w:t>Ez az irányelv nem határozhat meg a joghatóságra, a határozatok elismerésére és végrehajtására, illetve az alkalmazandó jogra vonatkozó nemzetközi magánjogi szabályokat. A meglévő uniós jogi eszközök kiterjednek az ezen irányelvben meghatározott képviseleti eljárásokra.</w:t>
            </w:r>
          </w:p>
        </w:tc>
        <w:tc>
          <w:tcPr>
            <w:tcW w:w="4876" w:type="dxa"/>
          </w:tcPr>
          <w:p w:rsidR="00FD386D" w:rsidRPr="000A4497" w:rsidRDefault="00FD386D" w:rsidP="002D21D3">
            <w:pPr>
              <w:pStyle w:val="Normal6"/>
            </w:pPr>
            <w:r w:rsidRPr="000A4497">
              <w:t>(9)</w:t>
            </w:r>
            <w:r w:rsidRPr="000A4497">
              <w:tab/>
              <w:t>Ez az irányelv nem határozhat meg a joghatóságra, a határozatok elismerésére és végrehajtására, illetve az alkalmazandó jogra vonatkozó nemzetközi magánjogi szabályokat. A meglévő uniós jogi eszközök kiterjednek az ezen irányelvben meghatározott képviseleti eljárásokra</w:t>
            </w:r>
            <w:r w:rsidRPr="000A4497">
              <w:rPr>
                <w:b/>
                <w:i/>
              </w:rPr>
              <w:t>, megakadályozva a legkedvezőbb igazságszolgáltatási fórum kiválasztásának terjedését.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9 a preambulumbekezdés (új)</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tcPr>
          <w:p w:rsidR="00FD386D" w:rsidRPr="000A4497" w:rsidRDefault="00FD386D" w:rsidP="002D21D3">
            <w:pPr>
              <w:pStyle w:val="ColumnHeading"/>
              <w:keepNext/>
            </w:pPr>
            <w:r w:rsidRPr="000A4497">
              <w:t>A Bizottság által javasolt szöveg</w:t>
            </w:r>
          </w:p>
        </w:tc>
        <w:tc>
          <w:tcPr>
            <w:tcW w:w="4876" w:type="dxa"/>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rPr>
                <w:szCs w:val="24"/>
              </w:rPr>
            </w:pPr>
            <w:r w:rsidRPr="000A4497">
              <w:rPr>
                <w:b/>
                <w:i/>
              </w:rPr>
              <w:t>(9a)</w:t>
            </w:r>
            <w:r w:rsidRPr="000A4497">
              <w:rPr>
                <w:b/>
                <w:i/>
              </w:rPr>
              <w:tab/>
              <w:t xml:space="preserve">Ez az irányelv nem érinti a nemzetközi magánjog határokon átnyúló esetekben való alkalmazására vonatkozó uniós szabályokat. Az ezen irányelvben meghatározott képviseleti keresetekre a polgári és kereskedelmi ügyekben a joghatóságról, valamint a határozatok elismeréséről és végrehajtásáról szóló, 2012. december 12-i 1215/2012/EU európai parlamenti és tanácsi rendelet (átdolgozás, Brüsszel I.), a szerződéses kötelezettségekre alkalmazandó jogról szóló 593/2008/EK európai parlamenti és tanácsi rendelet (Róma I.) és a szerződésen kívüli kötelmi viszonyokra </w:t>
            </w:r>
            <w:r w:rsidRPr="000A4497">
              <w:rPr>
                <w:b/>
                <w:i/>
              </w:rPr>
              <w:lastRenderedPageBreak/>
              <w:t>alkalmazandó jogról szóló, 2007. július 11-i 864/2007/EK európai parlamenti és tanácsi rendelet (Róma II.) alkalmazandó.</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9</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10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(10)</w:t>
            </w:r>
            <w:r w:rsidRPr="000A4497">
              <w:tab/>
              <w:t xml:space="preserve">Mivel csak a feljogosított egységek indíthatnak képviseleti eljárásokat annak biztosítása érdekében, hogy a fogyasztók kollektív érdekei megfelelően képviselve legyenek, meg kell felelniük az ezen irányelvben megállapított feltételeknek. Különösen a tagállamok jogának megfelelően kell őket létrehozni, </w:t>
            </w:r>
            <w:r w:rsidRPr="000A4497">
              <w:rPr>
                <w:b/>
                <w:i/>
              </w:rPr>
              <w:t>amely előírhat</w:t>
            </w:r>
            <w:r w:rsidRPr="000A4497">
              <w:t xml:space="preserve"> követelményeket </w:t>
            </w:r>
            <w:r w:rsidRPr="000A4497">
              <w:rPr>
                <w:b/>
                <w:i/>
              </w:rPr>
              <w:t>például a tagok száma és az állandóság foka tekintetében, illetve</w:t>
            </w:r>
            <w:r w:rsidRPr="000A4497">
              <w:t xml:space="preserve"> a szervezeti </w:t>
            </w:r>
            <w:r w:rsidRPr="000A4497">
              <w:rPr>
                <w:b/>
                <w:i/>
              </w:rPr>
              <w:t>felépítésükre</w:t>
            </w:r>
            <w:r w:rsidRPr="000A4497">
              <w:t xml:space="preserve"> fontos jellemzőire </w:t>
            </w:r>
            <w:r w:rsidRPr="000A4497">
              <w:rPr>
                <w:b/>
                <w:i/>
              </w:rPr>
              <w:t>-</w:t>
            </w:r>
            <w:r w:rsidRPr="000A4497">
              <w:t xml:space="preserve"> mint amilyenek az alapító okirat, az irányítási struktúra, a célkitűzések és a munkamódszerek </w:t>
            </w:r>
            <w:r w:rsidRPr="000A4497">
              <w:rPr>
                <w:b/>
                <w:i/>
              </w:rPr>
              <w:t>-</w:t>
            </w:r>
            <w:r w:rsidRPr="000A4497">
              <w:t xml:space="preserve"> vonatkozó átláthatósági követelményeket </w:t>
            </w:r>
            <w:r w:rsidRPr="000A4497">
              <w:rPr>
                <w:b/>
                <w:i/>
              </w:rPr>
              <w:t>állapíthat meg</w:t>
            </w:r>
            <w:r w:rsidRPr="000A4497">
              <w:t xml:space="preserve">. Emellett a feljogosított egységeknek nem lehet haszonszerzési célja, és jogos érdekük kell hogy fűződjön a vonatkozó uniós jognak való megfelelés biztosításához. </w:t>
            </w:r>
            <w:r w:rsidRPr="000A4497">
              <w:rPr>
                <w:b/>
                <w:i/>
              </w:rPr>
              <w:t>E követelményeket egyaránt alkalmazni</w:t>
            </w:r>
            <w:r w:rsidRPr="000A4497">
              <w:t xml:space="preserve"> kell </w:t>
            </w:r>
            <w:r w:rsidRPr="000A4497">
              <w:rPr>
                <w:b/>
                <w:i/>
              </w:rPr>
              <w:t>az előzetesen kijelölt és</w:t>
            </w:r>
            <w:r w:rsidRPr="000A4497">
              <w:t xml:space="preserve"> az </w:t>
            </w:r>
            <w:r w:rsidRPr="000A4497">
              <w:rPr>
                <w:b/>
                <w:i/>
              </w:rPr>
              <w:t>ad hoc feljogosított egységekre, amelyeket egy-egy konkrét kereset céljából hoztak létre</w:t>
            </w:r>
            <w:r w:rsidRPr="000A4497">
              <w:t>.</w:t>
            </w:r>
          </w:p>
        </w:tc>
        <w:tc>
          <w:tcPr>
            <w:tcW w:w="4876" w:type="dxa"/>
            <w:hideMark/>
          </w:tcPr>
          <w:p w:rsidR="00FD386D" w:rsidRPr="000A4497" w:rsidRDefault="00FD386D" w:rsidP="002D21D3">
            <w:pPr>
              <w:pStyle w:val="Normal6"/>
              <w:rPr>
                <w:szCs w:val="24"/>
              </w:rPr>
            </w:pPr>
            <w:r w:rsidRPr="000A4497">
              <w:t>(10)</w:t>
            </w:r>
            <w:r w:rsidRPr="000A4497">
              <w:tab/>
              <w:t xml:space="preserve">Mivel csak a feljogosított </w:t>
            </w:r>
            <w:r w:rsidRPr="000A4497">
              <w:rPr>
                <w:b/>
                <w:i/>
              </w:rPr>
              <w:t xml:space="preserve">képviseleti </w:t>
            </w:r>
            <w:r w:rsidRPr="000A4497">
              <w:t xml:space="preserve">egységek indíthatnak képviseleti eljárásokat annak biztosítása érdekében, hogy a fogyasztók kollektív érdekei megfelelően képviselve legyenek, meg kell felelniük az ezen irányelvben megállapított feltételeknek. Különösen a tagállamok jogának megfelelően kell őket létrehozni, </w:t>
            </w:r>
            <w:r w:rsidRPr="000A4497">
              <w:rPr>
                <w:b/>
                <w:i/>
              </w:rPr>
              <w:t>amelynek</w:t>
            </w:r>
            <w:r w:rsidRPr="000A4497">
              <w:t xml:space="preserve"> követelményeket </w:t>
            </w:r>
            <w:r w:rsidRPr="000A4497">
              <w:rPr>
                <w:b/>
                <w:i/>
              </w:rPr>
              <w:t>kell előírnia például</w:t>
            </w:r>
            <w:r w:rsidRPr="000A4497">
              <w:t xml:space="preserve"> a szervezeti </w:t>
            </w:r>
            <w:r w:rsidRPr="000A4497">
              <w:rPr>
                <w:b/>
                <w:i/>
              </w:rPr>
              <w:t>felépítésük</w:t>
            </w:r>
            <w:r w:rsidRPr="000A4497">
              <w:t xml:space="preserve"> fontos jellemzőire </w:t>
            </w:r>
            <w:r w:rsidRPr="000A4497">
              <w:rPr>
                <w:b/>
                <w:i/>
              </w:rPr>
              <w:t>–</w:t>
            </w:r>
            <w:r w:rsidRPr="000A4497">
              <w:t xml:space="preserve"> mint amilyenek az alapító okirat, az irányítási struktúra, a célkitűzések és a munkamódszerek </w:t>
            </w:r>
            <w:r w:rsidRPr="000A4497">
              <w:rPr>
                <w:b/>
                <w:i/>
              </w:rPr>
              <w:t>–-</w:t>
            </w:r>
            <w:r w:rsidRPr="000A4497">
              <w:t xml:space="preserve"> vonatkozó átláthatósági követelményeket </w:t>
            </w:r>
            <w:r w:rsidRPr="000A4497">
              <w:rPr>
                <w:b/>
                <w:i/>
              </w:rPr>
              <w:t>illetően</w:t>
            </w:r>
            <w:r w:rsidRPr="000A4497">
              <w:t xml:space="preserve">. Emellett a feljogosított egységeknek nem lehet haszonszerzési célja, és jogos érdekük kell hogy fűződjön a vonatkozó uniós jognak való megfelelés biztosításához. </w:t>
            </w:r>
            <w:r w:rsidRPr="000A4497">
              <w:rPr>
                <w:b/>
                <w:i/>
              </w:rPr>
              <w:t>A feljogosított képviseleti egységeknek továbbá – egyebek mellett pénzügyi szempontból is – függetlennek</w:t>
            </w:r>
            <w:r w:rsidRPr="000A4497">
              <w:t xml:space="preserve"> kell </w:t>
            </w:r>
            <w:r w:rsidRPr="000A4497">
              <w:rPr>
                <w:b/>
                <w:i/>
              </w:rPr>
              <w:t>lenniük a piaci szereplőktől. A feljogosított képviseleti egységeknek eljárásokat kell kidolgozniuk</w:t>
            </w:r>
            <w:r w:rsidRPr="000A4497">
              <w:t xml:space="preserve"> az </w:t>
            </w:r>
            <w:r w:rsidRPr="000A4497">
              <w:rPr>
                <w:b/>
                <w:i/>
              </w:rPr>
              <w:t>összeférhetetlenségek megakadályozására. A tagállamok nem vezethetnek be az ezen irányelvben megállapított kritériumoknál szigorúbb feltételeket</w:t>
            </w:r>
            <w:r w:rsidRPr="000A4497">
              <w:t>.</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15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lastRenderedPageBreak/>
              <w:t>(15)</w:t>
            </w:r>
            <w:r w:rsidRPr="000A4497">
              <w:tab/>
              <w:t xml:space="preserve">Az ezen irányelv szerinti képviseleti eljárást kezdeményező feljogosított egységnek az eljárásban részt vevő félnek kell lennie. A jogsértés által érintett fogyasztók számára megfelelő </w:t>
            </w:r>
            <w:r w:rsidRPr="000A4497">
              <w:rPr>
                <w:b/>
                <w:i/>
              </w:rPr>
              <w:t>lehetőséget</w:t>
            </w:r>
            <w:r w:rsidRPr="000A4497">
              <w:t xml:space="preserve"> kell biztosítani </w:t>
            </w:r>
            <w:r w:rsidRPr="000A4497">
              <w:rPr>
                <w:b/>
                <w:i/>
              </w:rPr>
              <w:t xml:space="preserve">arra, hogy </w:t>
            </w:r>
            <w:r w:rsidRPr="000A4497">
              <w:t xml:space="preserve">a képviseleti eljárás megfelelő </w:t>
            </w:r>
            <w:r w:rsidRPr="000A4497">
              <w:rPr>
                <w:b/>
                <w:i/>
              </w:rPr>
              <w:t>eredményeiből részesüljenek</w:t>
            </w:r>
            <w:r w:rsidRPr="000A4497">
              <w:t>. Az ezen irányelv alapján kibocsátott tiltó határozatok nem érintik a hatályuk alá tartozó gyakorlat által megkárosított fogyasztók által indított egyéni eljárásokat.</w:t>
            </w:r>
          </w:p>
        </w:tc>
        <w:tc>
          <w:tcPr>
            <w:tcW w:w="4876" w:type="dxa"/>
          </w:tcPr>
          <w:p w:rsidR="00FD386D" w:rsidRPr="000A4497" w:rsidRDefault="00FD386D" w:rsidP="002D21D3">
            <w:pPr>
              <w:pStyle w:val="Normal6"/>
            </w:pPr>
            <w:r w:rsidRPr="000A4497">
              <w:t>(15)</w:t>
            </w:r>
            <w:r w:rsidRPr="000A4497">
              <w:tab/>
              <w:t xml:space="preserve">Az ezen irányelv szerinti képviseleti eljárást kezdeményező feljogosított egységnek az eljárásban részt vevő félnek kell lennie. A jogsértés által érintett fogyasztók számára megfelelő </w:t>
            </w:r>
            <w:r w:rsidRPr="000A4497">
              <w:rPr>
                <w:b/>
                <w:i/>
              </w:rPr>
              <w:t>tájékoztatást</w:t>
            </w:r>
            <w:r w:rsidRPr="000A4497">
              <w:t xml:space="preserve"> kell biztosítani a képviseleti eljárás </w:t>
            </w:r>
            <w:r w:rsidRPr="000A4497">
              <w:rPr>
                <w:b/>
                <w:i/>
              </w:rPr>
              <w:t>kimeneteléről és arról, hogy az számukra mennyiben lehet hasznos.</w:t>
            </w:r>
            <w:r w:rsidRPr="000A4497">
              <w:t xml:space="preserve"> Az ezen irányelv alapján kibocsátott tiltó határozatok nem érintik a hatályuk alá tartozó gyakorlat által megkárosított fogyasztók által indított egyéni eljárásokat.</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11</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16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(16)</w:t>
            </w:r>
            <w:r w:rsidRPr="000A4497">
              <w:tab/>
              <w:t>A feljogosított egységek számára lehetővé kell tenni, hogy a jogsértés tartós hatásainak megszüntetésére irányuló intézkedésekért folyamodjanak. Ezen intézkedéseknek - adott esetben és a nemzeti jogszabályok biztosította lehetőségeken belül - olyan jogorvoslati határozat formáját kell ölteniük, amely kötelezi a kereskedőt többek között kártérítésre, javításra, cserére, árcsökkentésre, a szerződés megszüntetésére vagy a kifizetett ár visszatérítésére.</w:t>
            </w:r>
          </w:p>
        </w:tc>
        <w:tc>
          <w:tcPr>
            <w:tcW w:w="4876" w:type="dxa"/>
          </w:tcPr>
          <w:p w:rsidR="00FD386D" w:rsidRPr="000A4497" w:rsidRDefault="00FD386D" w:rsidP="002D21D3">
            <w:pPr>
              <w:pStyle w:val="Normal6"/>
            </w:pPr>
            <w:r w:rsidRPr="000A4497">
              <w:t>(16)</w:t>
            </w:r>
            <w:r w:rsidRPr="000A4497">
              <w:tab/>
              <w:t xml:space="preserve">A feljogosított </w:t>
            </w:r>
            <w:r w:rsidRPr="000A4497">
              <w:rPr>
                <w:b/>
                <w:i/>
              </w:rPr>
              <w:t xml:space="preserve">képviseleti </w:t>
            </w:r>
            <w:r w:rsidRPr="000A4497">
              <w:t>egységek számára lehetővé kell tenni, hogy a jogsértés tartós hatásainak megszüntetésére irányuló intézkedésekért folyamodjanak. Ezen intézkedéseknek - adott esetben és a nemzeti jogszabályok biztosította lehetőségeken belül - olyan jogorvoslati határozat formáját kell ölteniük, amely kötelezi a kereskedőt többek között kártérítésre, javításra, cserére</w:t>
            </w:r>
            <w:r w:rsidRPr="000A4497">
              <w:rPr>
                <w:b/>
                <w:i/>
              </w:rPr>
              <w:t>, visszavonásra</w:t>
            </w:r>
            <w:r w:rsidRPr="000A4497">
              <w:t>, árcsökkentésre, a szerződés megszüntetésére vagy a kifizetett ár visszatérítésére.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12</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18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(18)</w:t>
            </w:r>
            <w:r w:rsidRPr="000A4497">
              <w:tab/>
              <w:t xml:space="preserve">A </w:t>
            </w:r>
            <w:r w:rsidRPr="000A4497">
              <w:rPr>
                <w:b/>
                <w:i/>
              </w:rPr>
              <w:t>tagállamok előírhatják</w:t>
            </w:r>
            <w:r w:rsidRPr="000A4497">
              <w:t xml:space="preserve">, hogy a feljogosított egységek nyújtsanak elegendő információt a jogorvoslatra irányuló képviseleti eljárás alátámasztására, beleértve a jogsértés által érintett fogyasztói csoport körülírását, valamint a </w:t>
            </w:r>
            <w:r w:rsidRPr="000A4497">
              <w:lastRenderedPageBreak/>
              <w:t>képviseleti eljárásban megoldandó ténybeli és jogi kérdéseket. A feljogosított egység számára nem lehet előírni az eljárás kezdeményezéséhez, hogy egyedileg azonosítsa a valamely jogsértés által érintett összes fogyasztót. A bíróság vagy a közigazgatási hatóság jogorvoslatra irányuló képviseleti eljárások esetén az eljárás lehető legkorábbi szakaszában ellenőrzi, hogy az ügyben a jogsértés és az érintett fogyasztók által elszenvedett kár jellegére tekintettel lehet-e képviseleti eljárást indítani.</w:t>
            </w:r>
          </w:p>
        </w:tc>
        <w:tc>
          <w:tcPr>
            <w:tcW w:w="4876" w:type="dxa"/>
            <w:hideMark/>
          </w:tcPr>
          <w:p w:rsidR="00FD386D" w:rsidRPr="000A4497" w:rsidRDefault="00FD386D" w:rsidP="002D21D3">
            <w:pPr>
              <w:pStyle w:val="Normal6"/>
              <w:rPr>
                <w:szCs w:val="24"/>
              </w:rPr>
            </w:pPr>
            <w:r w:rsidRPr="000A4497">
              <w:lastRenderedPageBreak/>
              <w:t>(18)</w:t>
            </w:r>
            <w:r w:rsidRPr="000A4497">
              <w:tab/>
              <w:t xml:space="preserve">A </w:t>
            </w:r>
            <w:r w:rsidRPr="000A4497">
              <w:rPr>
                <w:b/>
                <w:i/>
              </w:rPr>
              <w:t>tagállamoknak elő kell írniuk</w:t>
            </w:r>
            <w:r w:rsidRPr="000A4497">
              <w:t>, hogy a feljogosított</w:t>
            </w:r>
            <w:r w:rsidRPr="000A4497">
              <w:rPr>
                <w:b/>
                <w:i/>
              </w:rPr>
              <w:t xml:space="preserve"> képviseleti</w:t>
            </w:r>
            <w:r w:rsidRPr="000A4497">
              <w:t xml:space="preserve"> egységek nyújtsanak elegendő információt a jogorvoslatra irányuló képviseleti eljárás alátámasztására, beleértve a jogsértés által érintett fogyasztói csoport körülírását, </w:t>
            </w:r>
            <w:r w:rsidRPr="000A4497">
              <w:lastRenderedPageBreak/>
              <w:t xml:space="preserve">valamint a képviseleti eljárásban megoldandó ténybeli és jogi kérdéseket. A feljogosított egység számára nem lehet előírni az eljárás kezdeményezéséhez, hogy egyedileg azonosítsa a valamely jogsértés által érintett összes fogyasztót. A bíróság vagy a közigazgatási hatóság jogorvoslatra irányuló képviseleti eljárások esetén az eljárás lehető legkorábbi szakaszában ellenőrzi, hogy az ügyben a jogsértés és az érintett fogyasztók által elszenvedett kár jellegére tekintettel lehet-e képviseleti eljárást indítani. </w:t>
            </w:r>
            <w:r w:rsidRPr="000A4497">
              <w:rPr>
                <w:b/>
                <w:i/>
              </w:rPr>
              <w:t>A kifogásoknak bizonyíthatóknak és egyformának, a kereseteknek pedig a kívánt jogorvoslat tekintetében egységeseknek kell lenniük. A minősített szervezetek harmadik fél általi finanszírozásának átláthatónak kell lennie, illetve összeférhetetlenség nem állhat fenn. A tagállamoknak azt is biztosítaniuk kell, hogy a bíróság vagy közigazgatási hatóság hatáskörrel rendelkezzen a nyilvánvalóan megalapozatlan ügyek elutasítására a per lehető legkorábbi szakaszában.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13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19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(19)</w:t>
            </w:r>
            <w:r w:rsidRPr="000A4497">
              <w:rPr>
                <w:b/>
                <w:i/>
              </w:rPr>
              <w:tab/>
              <w:t xml:space="preserve">A tagállamok számára lehetővé kell tenni, hogy eldöntsék, hogy a jogorvoslati határozat helyett a jogorvoslatra irányuló képviseleti eljárást folytató bíróság vagy a közigazgatási hatóság kivételesen a kereskedő a jogsértés károsultjai felé fennálló felelősségét megállapító határozatot hozzon, amelyre az egyéni fogyasztók későbbi jogorvoslatra irányuló eljárásokban közvetlenül hivatkozhatnak. Ezt a lehetőséget olyan kellően indokolt esetekre kell fenntartani, amikor a képviseleti eljárás által érintett egyes fogyasztóknak járó egyéni jogorvoslatok számszerűsítése összetett, és nem lenne </w:t>
            </w:r>
            <w:r w:rsidRPr="000A4497">
              <w:rPr>
                <w:b/>
                <w:i/>
              </w:rPr>
              <w:lastRenderedPageBreak/>
              <w:t>hatékony a képviseleti eljárás keretében történő végrehajtás. Megállapító határozatokat nem szabad nem összetett helyzetekben hozni, különösen akkor, ha az érintett fogyasztók azonosíthatók, és ha a fogyasztók egy meghatározott időszakban vagy egy vásárlás során szenvedtek hasonló kárt. Hasonlóképpen nem szabad megállapító határozatokat hozni, ha az egyes fogyasztók által elszenvedett veszteségek összege olyan kicsi, hogy az egyéni fogyasztók várhatóan nem fognak egyéni jogorvoslatért folyamodni. A bíróságnak vagy a nemzeti hatóságnak megfelelő módon indokolnia kell, ha egy adott ügyben jogorvoslati határozat helyett megállapító határozatot hoz.</w:t>
            </w:r>
          </w:p>
        </w:tc>
        <w:tc>
          <w:tcPr>
            <w:tcW w:w="4876" w:type="dxa"/>
            <w:hideMark/>
          </w:tcPr>
          <w:p w:rsidR="00FD386D" w:rsidRPr="000A4497" w:rsidRDefault="00FD386D" w:rsidP="002D21D3">
            <w:pPr>
              <w:pStyle w:val="Normal6"/>
              <w:rPr>
                <w:szCs w:val="24"/>
              </w:rPr>
            </w:pPr>
            <w:r w:rsidRPr="000A4497">
              <w:rPr>
                <w:b/>
                <w:i/>
              </w:rPr>
              <w:lastRenderedPageBreak/>
              <w:t>törölve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14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20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(20)</w:t>
            </w:r>
            <w:r w:rsidRPr="000A4497">
              <w:rPr>
                <w:b/>
                <w:i/>
              </w:rPr>
              <w:tab/>
              <w:t xml:space="preserve">Amennyiben az ugyanazon gyakorlat által érintett fogyasztók azonosíthatók, és egy meghatározott időszakban vagy vásárlás során hasonló kárt szenvedtek, például hosszú távú fogyasztói szerződések esetében, a bíróság vagy közigazgatási hatóság a képviseleti eljárásban egyértelműen meghatározhatja a jogsértés által érintett fogyasztói csoportot. A bíróság vagy közigazgatási hatóság különösen arra kérheti a jogsértő kereskedőt, hogy szolgáltasson releváns információkat, például az érintett fogyasztók kilétét és a gyakorlat időtartamát. Célszerűségi és hatékonysági okokból ezekben az esetekben a tagállamok nemzeti jogszabályaikkal összhangban fontolóra vehetik, hogy a fogyasztók közvetlenül hivatkozhassanak egy jogorvoslati határozatra annak kibocsátása után anélkül, hogy a jogorvoslati határozat meghozatala előtt </w:t>
            </w:r>
            <w:r w:rsidRPr="000A4497">
              <w:rPr>
                <w:b/>
                <w:i/>
              </w:rPr>
              <w:lastRenderedPageBreak/>
              <w:t>egyéni meghatalmazást kellene adniuk.</w:t>
            </w:r>
          </w:p>
        </w:tc>
        <w:tc>
          <w:tcPr>
            <w:tcW w:w="4876" w:type="dxa"/>
            <w:hideMark/>
          </w:tcPr>
          <w:p w:rsidR="00FD386D" w:rsidRPr="000A4497" w:rsidRDefault="00FD386D" w:rsidP="002D21D3">
            <w:pPr>
              <w:pStyle w:val="Normal6"/>
              <w:rPr>
                <w:szCs w:val="24"/>
              </w:rPr>
            </w:pPr>
            <w:r w:rsidRPr="000A4497">
              <w:rPr>
                <w:b/>
                <w:i/>
              </w:rPr>
              <w:lastRenderedPageBreak/>
              <w:t>törölve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15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21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(21)</w:t>
            </w:r>
            <w:r w:rsidRPr="000A4497">
              <w:rPr>
                <w:b/>
                <w:i/>
              </w:rPr>
              <w:tab/>
              <w:t>Kis értékű ügyekben a legtöbb fogyasztó valószínűleg nem tesz lépéseket jogai érvényesítése érdekében, mivel az erőfeszítések felülmúlnák az egyéni előnyöket. Ha azonban ugyanaz a gyakorlat több fogyasztót érint, az összesített veszteség jelentős lehet. Ilyen esetekben a bíróság vagy a hatóság úgy ítélheti meg, hogy aránytalan a pénzeszközök az érintett fogyasztókhoz történő visszajuttatása, például azért, mert túl nehézkes vagy kivitelezhetetlen. Ezért a képviseleti eljárásokban jogorvoslatként szerzett pénzeszközök jobban szolgálnák a fogyasztók kollektív érdekeinek védelmét, és azokat megfelelő közérdekű célra, például egy fogyasztói jogsegélyalapra, tudatosságnövelő kampányokra vagy a fogyasztói mozgásokra kellene fordítani.</w:t>
            </w:r>
          </w:p>
        </w:tc>
        <w:tc>
          <w:tcPr>
            <w:tcW w:w="4876" w:type="dxa"/>
            <w:hideMark/>
          </w:tcPr>
          <w:p w:rsidR="00FD386D" w:rsidRPr="000A4497" w:rsidRDefault="00FD386D" w:rsidP="002D21D3">
            <w:pPr>
              <w:pStyle w:val="Normal6"/>
              <w:rPr>
                <w:szCs w:val="24"/>
              </w:rPr>
            </w:pPr>
            <w:r w:rsidRPr="000A4497">
              <w:rPr>
                <w:b/>
                <w:i/>
              </w:rPr>
              <w:t>törölve</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16</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23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(23)</w:t>
            </w:r>
            <w:r w:rsidRPr="000A4497">
              <w:tab/>
              <w:t xml:space="preserve">Ez az irányelv eljárási mechanizmust állapít meg, amely nem érinti a fogyasztók szerződéses és szerződésen kívüli jogorvoslatokra vonatkozó anyagi jogait - mint például a kártérítés, a szerződés felmondása, a visszatérítés, a csere, a javítás vagy az árcsökkenés - meghatározó szabályokat abban az esetben, ha érdekeik sérültek a jogsértés miatt. Ezen irányelv alapján jogorvoslatra irányuló képviseleti eljárás csak akkor indítható, ha az uniós </w:t>
            </w:r>
            <w:r w:rsidRPr="000A4497">
              <w:lastRenderedPageBreak/>
              <w:t>vagy nemzeti jog ilyen anyagi jogokról rendelkezik.</w:t>
            </w:r>
          </w:p>
        </w:tc>
        <w:tc>
          <w:tcPr>
            <w:tcW w:w="4876" w:type="dxa"/>
          </w:tcPr>
          <w:p w:rsidR="00FD386D" w:rsidRPr="000A4497" w:rsidRDefault="00FD386D" w:rsidP="002D21D3">
            <w:pPr>
              <w:pStyle w:val="Normal6"/>
            </w:pPr>
            <w:r w:rsidRPr="000A4497">
              <w:lastRenderedPageBreak/>
              <w:t>(23)</w:t>
            </w:r>
            <w:r w:rsidRPr="000A4497">
              <w:tab/>
              <w:t xml:space="preserve">Ez az irányelv eljárási mechanizmust állapít meg, amely nem érinti a fogyasztók szerződéses és szerződésen kívüli jogorvoslatokra vonatkozó anyagi jogait - mint például a kártérítés, a szerződés felmondása, a visszatérítés, a csere, a </w:t>
            </w:r>
            <w:r w:rsidRPr="000A4497">
              <w:rPr>
                <w:b/>
                <w:i/>
              </w:rPr>
              <w:t xml:space="preserve">visszavonás, a </w:t>
            </w:r>
            <w:r w:rsidRPr="000A4497">
              <w:t xml:space="preserve">javítás vagy az árcsökkenés - meghatározó szabályokat abban az esetben, ha érdekeik sérültek a jogsértés miatt. Ezen irányelv alapján jogorvoslatra irányuló képviseleti eljárás csak akkor </w:t>
            </w:r>
            <w:r w:rsidRPr="000A4497">
              <w:lastRenderedPageBreak/>
              <w:t>indítható, ha az uniós vagy nemzeti jog ilyen anyagi jogokról rendelkezik.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17</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24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(24)</w:t>
            </w:r>
            <w:r w:rsidRPr="000A4497">
              <w:tab/>
              <w:t>Ez az irányelv nem váltja fel a meglévő nemzeti kollektív jogorvoslati mechanizmusokat. A tagállamok mérlegelési jogkörébe tartozik, hogy a jogi hagyományaikat figyelembe véve a meglévő vagy jövőbeni kollektív jogorvoslati mechanizmus részeként vagy e mechanizmusok alternatívájaként tervezik-e az ezen irányelvben meghatározott képviseleti eljárást, amennyiben a nemzeti mechanizmus megfelel az ezen irányelvben meghatározott szabályoknak.</w:t>
            </w:r>
          </w:p>
        </w:tc>
        <w:tc>
          <w:tcPr>
            <w:tcW w:w="4876" w:type="dxa"/>
            <w:hideMark/>
          </w:tcPr>
          <w:p w:rsidR="00FD386D" w:rsidRPr="000A4497" w:rsidRDefault="00FD386D" w:rsidP="002D21D3">
            <w:pPr>
              <w:pStyle w:val="Normal6"/>
              <w:rPr>
                <w:szCs w:val="24"/>
              </w:rPr>
            </w:pPr>
            <w:r w:rsidRPr="000A4497">
              <w:t>(24)</w:t>
            </w:r>
            <w:r w:rsidRPr="000A4497">
              <w:tab/>
              <w:t xml:space="preserve">Ez az irányelv </w:t>
            </w:r>
            <w:r w:rsidRPr="000A4497">
              <w:rPr>
                <w:b/>
                <w:i/>
              </w:rPr>
              <w:t>a minimális harmonizációt tűzi ki célul</w:t>
            </w:r>
            <w:r w:rsidRPr="000A4497">
              <w:t xml:space="preserve">, és nem váltja fel a meglévő nemzeti kollektív jogorvoslati mechanizmusokat. A tagállamok mérlegelési jogkörébe tartozik, hogy a jogi hagyományaikat figyelembe véve a meglévő vagy jövőbeni kollektív jogorvoslati mechanizmus részeként vagy e mechanizmusok alternatívájaként tervezik-e az ezen irányelvben meghatározott képviseleti eljárást, amennyiben a nemzeti mechanizmus megfelel az ezen irányelvben meghatározott szabályoknak. </w:t>
            </w:r>
            <w:r w:rsidRPr="000A4497">
              <w:rPr>
                <w:b/>
                <w:i/>
              </w:rPr>
              <w:t>Ez nem akadályozza meg a tagállamokat abban, hogy fenntartsák meglévő jogi keretüket, és nem kötelezi a tagállamokat annak módosítására sem. A tagállamoknak lehetőségük lesz arra, hogy az irányelvben meghatározott szabályokat saját kollektív jogorvoslati rendszerükbe átültessék, vagy külön eljárás keretében hajtsák végre.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18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25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(25)</w:t>
            </w:r>
            <w:r w:rsidRPr="000A4497">
              <w:tab/>
              <w:t xml:space="preserve">A feljogosított egységeknek teljes mértékben átláthatóknak kell lenniük általában tevékenységük finanszírozásának forrásával, valamint a konkrét jogorvoslatot célzó képviseleti eljárást támogató pénzeszközökkel kapcsolatban, hogy a bíróságok vagy közigazgatási hatóságok eldönthessék, hogy fennállhat-e </w:t>
            </w:r>
            <w:r w:rsidRPr="000A4497">
              <w:lastRenderedPageBreak/>
              <w:t xml:space="preserve">összeférhetetlenség a harmadik fél és a feljogosított egység között, továbbá a visszaélésszerű pereskedés kockázatának elkerülése és annak értékelhetősége érdekében, hogy a </w:t>
            </w:r>
            <w:r w:rsidRPr="000A4497">
              <w:rPr>
                <w:b/>
                <w:i/>
              </w:rPr>
              <w:t>finanszírozó harmadik fél</w:t>
            </w:r>
            <w:r w:rsidRPr="000A4497">
              <w:t xml:space="preserve"> elegendő forrással rendelkezik-e </w:t>
            </w:r>
            <w:r w:rsidRPr="000A4497">
              <w:rPr>
                <w:b/>
                <w:i/>
              </w:rPr>
              <w:t>a feljogosított egységgel szemben fennálló pénzügyi kötelezettségvállalásai teljesítéséhez</w:t>
            </w:r>
            <w:r w:rsidRPr="000A4497">
              <w:t xml:space="preserve">. A feljogosított egység által a képviseleti </w:t>
            </w:r>
            <w:r w:rsidRPr="000A4497">
              <w:rPr>
                <w:b/>
                <w:i/>
              </w:rPr>
              <w:t>elárás</w:t>
            </w:r>
            <w:r w:rsidRPr="000A4497">
              <w:t xml:space="preserve"> felügyeletét ellátó bíróságnak vagy közigazgatási hatóság rendelkezésére bocsátott információknak lehetővé kell tennie annak értékelését, hogy </w:t>
            </w:r>
            <w:r w:rsidRPr="000A4497">
              <w:rPr>
                <w:b/>
                <w:i/>
              </w:rPr>
              <w:t>a</w:t>
            </w:r>
            <w:r w:rsidRPr="000A4497">
              <w:t xml:space="preserve"> harmadik fél befolyásolhatja-e a feljogosított egység képviseleti eljárásban hozott döntéseit, beleértve a perbeli egyezséget is, és hogy nyújt-e finanszírozást jogorvoslatra irányuló képviseleti eljáráshoz olyan alperessel szemben, aki a finanszírozó versenytársa vagy eltartója. Amennyiben a fenti körülmények bármelyike megerősítést nyer, a bíróságnak vagy közigazgatási hatóságnak felhatalmazással kell rendelkeznie, hogy a feljogosított egységet az érintett finanszírozás elutasítására kötelezze, és szükség esetén az adott ügyben megtagadja a feljogosított egység eljárási jogképességének elismerését.</w:t>
            </w:r>
          </w:p>
        </w:tc>
        <w:tc>
          <w:tcPr>
            <w:tcW w:w="4876" w:type="dxa"/>
            <w:hideMark/>
          </w:tcPr>
          <w:p w:rsidR="00FD386D" w:rsidRPr="000A4497" w:rsidRDefault="00FD386D" w:rsidP="002D21D3">
            <w:pPr>
              <w:pStyle w:val="Normal6"/>
              <w:rPr>
                <w:szCs w:val="24"/>
              </w:rPr>
            </w:pPr>
            <w:r w:rsidRPr="000A4497">
              <w:lastRenderedPageBreak/>
              <w:t>(25)</w:t>
            </w:r>
            <w:r w:rsidRPr="000A4497">
              <w:tab/>
              <w:t xml:space="preserve">A feljogosított </w:t>
            </w:r>
            <w:r w:rsidRPr="000A4497">
              <w:rPr>
                <w:b/>
                <w:i/>
              </w:rPr>
              <w:t xml:space="preserve">képviseleti </w:t>
            </w:r>
            <w:r w:rsidRPr="000A4497">
              <w:t xml:space="preserve">egységeknek teljes mértékben átláthatóknak kell lenniük általában tevékenységük finanszírozásának forrásával, valamint a konkrét jogorvoslatot célzó képviseleti eljárást támogató pénzeszközökkel kapcsolatban, hogy a bíróságok vagy közigazgatási </w:t>
            </w:r>
            <w:r w:rsidRPr="000A4497">
              <w:lastRenderedPageBreak/>
              <w:t xml:space="preserve">hatóságok eldönthessék, hogy fennállhat-e összeférhetetlenség a harmadik fél és a feljogosított egység között, továbbá a visszaélésszerű pereskedés kockázatának elkerülése és annak értékelhetősége érdekében, hogy a </w:t>
            </w:r>
            <w:r w:rsidRPr="000A4497">
              <w:rPr>
                <w:b/>
                <w:i/>
              </w:rPr>
              <w:t>feljogosított egység</w:t>
            </w:r>
            <w:r w:rsidRPr="000A4497">
              <w:t xml:space="preserve"> elegendő forrással rendelkezik-e </w:t>
            </w:r>
            <w:r w:rsidRPr="000A4497">
              <w:rPr>
                <w:b/>
                <w:i/>
              </w:rPr>
              <w:t>ahhoz, hogy az érintett fogyasztók érdekeit képviselje, és hogy pervesztés esetén fedezze a perköltségeket</w:t>
            </w:r>
            <w:r w:rsidRPr="000A4497">
              <w:t xml:space="preserve">. A feljogosított egység által </w:t>
            </w:r>
            <w:r w:rsidRPr="000A4497">
              <w:rPr>
                <w:b/>
                <w:i/>
              </w:rPr>
              <w:t xml:space="preserve">az eljárás lehető legkorábbi szakaszában </w:t>
            </w:r>
            <w:r w:rsidRPr="000A4497">
              <w:t xml:space="preserve">a képviseleti </w:t>
            </w:r>
            <w:r w:rsidRPr="000A4497">
              <w:rPr>
                <w:b/>
                <w:i/>
              </w:rPr>
              <w:t>eljárás</w:t>
            </w:r>
            <w:r w:rsidRPr="000A4497">
              <w:t xml:space="preserve"> felügyeletét ellátó bíróság vagy közigazgatási hatóság rendelkezésére bocsátott információknak lehetővé kell tenniük annak értékelését, hogy </w:t>
            </w:r>
            <w:r w:rsidRPr="000A4497">
              <w:rPr>
                <w:b/>
                <w:i/>
              </w:rPr>
              <w:t>valamely</w:t>
            </w:r>
            <w:r w:rsidRPr="000A4497">
              <w:t xml:space="preserve"> harmadik fél befolyásolhatja-e a feljogosított egység</w:t>
            </w:r>
            <w:r w:rsidRPr="000A4497">
              <w:rPr>
                <w:b/>
                <w:i/>
              </w:rPr>
              <w:t xml:space="preserve"> általános és a</w:t>
            </w:r>
            <w:r w:rsidRPr="000A4497">
              <w:t xml:space="preserve"> képviseleti eljárásban hozott döntéseit, beleértve a perbeli egyezséget is, és hogy nyújt-e finanszírozást jogorvoslatra irányuló képviseleti eljáráshoz olyan alperessel szemben, aki a finanszírozó versenytársa vagy akitől az függő viszonyban van. Amennyiben a fenti körülmények bármelyike megerősítést nyer, a bíróságnak vagy közigazgatási hatóságnak felhatalmazással kell rendelkeznie, hogy a feljogosított egységet az érintett finanszírozás elutasítására kötelezze, és szükség esetén az adott ügyben megtagadja a feljogosított egység eljárási jogképességének elismerését. </w:t>
            </w:r>
            <w:r w:rsidRPr="000A4497">
              <w:rPr>
                <w:b/>
                <w:i/>
              </w:rPr>
              <w:t>A tagállamoknak meg kell akadályozniuk, hogy ügyvédi irodák feljogosított képviseleti szerveket hozzanak létre. Az intézkedések adományok – köztük a vállalati társadalmi felelősségvállalásra irányuló kezdeményezések keretében nyújtott kereskedői adományok – révén történő közvetett finanszírozása harmadik felek által nyújtott finanszírozásnak minősül, feltéve, hogy eleget tesz a 4. és 7. cikkben felsorolt, az átláthatóságra, a függetlenségre és az összeférhetetlenségre vonatkozó követelményeknek.</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19</w:t>
      </w:r>
    </w:p>
    <w:p w:rsidR="00FD386D" w:rsidRPr="000A4497" w:rsidRDefault="00FD386D" w:rsidP="00FD386D">
      <w:pPr>
        <w:pStyle w:val="NormalBold12b"/>
      </w:pPr>
      <w:r w:rsidRPr="000A4497">
        <w:lastRenderedPageBreak/>
        <w:t>Irányelvre irányuló javaslat</w:t>
      </w:r>
    </w:p>
    <w:p w:rsidR="00FD386D" w:rsidRPr="000A4497" w:rsidRDefault="00FD386D" w:rsidP="00FD386D">
      <w:pPr>
        <w:pStyle w:val="NormalBold"/>
      </w:pPr>
      <w:r w:rsidRPr="000A4497">
        <w:t>26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(26)</w:t>
            </w:r>
            <w:r w:rsidRPr="000A4497">
              <w:tab/>
              <w:t>A károsult fogyasztók jogorvoslatára irányuló kollektív peren kívüli egyezségeket egyaránt ösztönözni kell a képviseleti eljárás megindítása előtt és annak bármely szakaszában.</w:t>
            </w:r>
          </w:p>
        </w:tc>
        <w:tc>
          <w:tcPr>
            <w:tcW w:w="4876" w:type="dxa"/>
          </w:tcPr>
          <w:p w:rsidR="00FD386D" w:rsidRPr="000A4497" w:rsidRDefault="00FD386D" w:rsidP="002D21D3">
            <w:pPr>
              <w:pStyle w:val="Normal6"/>
            </w:pPr>
            <w:r w:rsidRPr="000A4497">
              <w:t>(26)</w:t>
            </w:r>
            <w:r w:rsidRPr="000A4497">
              <w:tab/>
              <w:t>A károsult fogyasztók jogorvoslatára irányuló kollektív peren kívüli egyezségeket –</w:t>
            </w:r>
            <w:r w:rsidRPr="000A4497">
              <w:rPr>
                <w:b/>
                <w:i/>
              </w:rPr>
              <w:t>így a közvetítést</w:t>
            </w:r>
            <w:r w:rsidRPr="000A4497">
              <w:t xml:space="preserve"> – egyaránt ösztönözni kell a képviseleti eljárás megindítása előtt és annak bármely szakaszában.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20</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27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(27)</w:t>
            </w:r>
            <w:r w:rsidRPr="000A4497">
              <w:tab/>
              <w:t xml:space="preserve">A tagállamok rendelkezhetnek úgy, hogy egy feljogosított egység és egy kereskedő, akik a kereskedő állítólagosan jogellenes gyakorlata által érintett fogyasztók jogorvoslati ügyében egyezséget értek el, közösen kérhetik a bíróságot vagy közigazgatási hatóságot, hogy hagyja jóvá azt. Ilyen kérelmet a bíróságnak vagy közigazgatási hatóságnak csak abban az esetben kell befogadnia, ha ugyanazon gyakorlattal kapcsolatban nincs más folyamatban lévő képviseleti eljárás. Az ilyen kollektív egyezséget jóváhagyó illetékes bíróságnak vagy közigazgatási hatóságnak figyelembe kell vennie valamennyi érintett fél érdekeit és jogait, beleértve az egyéni fogyasztókat is. Az </w:t>
            </w:r>
            <w:r w:rsidRPr="000A4497">
              <w:rPr>
                <w:b/>
                <w:i/>
              </w:rPr>
              <w:t>érintett fogyasztók számára lehetőséget kell biztosítani arra, hogy</w:t>
            </w:r>
            <w:r w:rsidRPr="000A4497">
              <w:t xml:space="preserve"> az </w:t>
            </w:r>
            <w:r w:rsidRPr="000A4497">
              <w:rPr>
                <w:b/>
                <w:i/>
              </w:rPr>
              <w:t>ilyen egyezséget magukra nézve kötelezőnek ismerjék el vagy elutasítsák</w:t>
            </w:r>
            <w:r w:rsidRPr="000A4497">
              <w:t>.</w:t>
            </w:r>
          </w:p>
        </w:tc>
        <w:tc>
          <w:tcPr>
            <w:tcW w:w="4876" w:type="dxa"/>
            <w:hideMark/>
          </w:tcPr>
          <w:p w:rsidR="00FD386D" w:rsidRPr="000A4497" w:rsidRDefault="00FD386D" w:rsidP="002D21D3">
            <w:pPr>
              <w:pStyle w:val="Normal6"/>
              <w:rPr>
                <w:szCs w:val="24"/>
              </w:rPr>
            </w:pPr>
            <w:r w:rsidRPr="000A4497">
              <w:t>(27)</w:t>
            </w:r>
            <w:r w:rsidRPr="000A4497">
              <w:tab/>
              <w:t xml:space="preserve">A tagállamok rendelkezhetnek úgy, hogy egy feljogosított egység és egy kereskedő, akik a kereskedő állítólagosan jogellenes gyakorlata által érintett fogyasztók jogorvoslati ügyében egyezséget értek el, közösen kérhetik a bíróságot vagy közigazgatási hatóságot, hogy hagyja jóvá azt. Ilyen kérelmet a bíróságnak vagy közigazgatási hatóságnak csak abban az esetben kell befogadnia, ha ugyanazon gyakorlattal kapcsolatban nincs más folyamatban lévő képviseleti eljárás. Az ilyen kollektív egyezséget jóváhagyó illetékes bíróságnak vagy közigazgatási hatóságnak figyelembe kell vennie valamennyi érintett fél érdekeit és jogait, beleértve az egyéni fogyasztókat is. Az </w:t>
            </w:r>
            <w:r w:rsidRPr="000A4497">
              <w:rPr>
                <w:b/>
                <w:i/>
              </w:rPr>
              <w:t>egyezség végleges és kötelező érvényű</w:t>
            </w:r>
            <w:r w:rsidRPr="000A4497">
              <w:t xml:space="preserve"> az </w:t>
            </w:r>
            <w:r w:rsidRPr="000A4497">
              <w:rPr>
                <w:b/>
                <w:i/>
              </w:rPr>
              <w:t>érintettek számára</w:t>
            </w:r>
            <w:r w:rsidRPr="000A4497">
              <w:t>.</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21</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29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rPr>
                <w:b/>
                <w:i/>
              </w:rPr>
              <w:lastRenderedPageBreak/>
              <w:t>(29)</w:t>
            </w:r>
            <w:r w:rsidRPr="000A4497">
              <w:tab/>
            </w:r>
            <w:r w:rsidRPr="000A4497">
              <w:rPr>
                <w:b/>
                <w:i/>
              </w:rPr>
              <w:t>Annak érdekében, hogy az egyéni fogyasztók könnyebben folyamodhassanak jogorvoslatért a kereskedő a jogsértés által érintett fogyasztók felé fennálló felelősségét megállapító jogerős határozat alapján, a határozatot kibocsátó bíróság vagy közigazgatási hatóság felhatalmazást kap arra, hogy a feljogosított és a kereskedőt felhívja kollektív egyezséget elérésére.</w:t>
            </w:r>
          </w:p>
        </w:tc>
        <w:tc>
          <w:tcPr>
            <w:tcW w:w="4876" w:type="dxa"/>
          </w:tcPr>
          <w:p w:rsidR="00FD386D" w:rsidRPr="000A4497" w:rsidRDefault="00FD386D" w:rsidP="002D21D3">
            <w:pPr>
              <w:pStyle w:val="Normal6"/>
            </w:pPr>
            <w:r w:rsidRPr="000A4497">
              <w:rPr>
                <w:b/>
                <w:i/>
              </w:rPr>
              <w:t>törölve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22</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30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(30)</w:t>
            </w:r>
            <w:r w:rsidRPr="000A4497">
              <w:tab/>
              <w:t xml:space="preserve">A képviseleti eljárás keretében </w:t>
            </w:r>
            <w:r w:rsidRPr="000A4497">
              <w:rPr>
                <w:b/>
                <w:i/>
              </w:rPr>
              <w:t xml:space="preserve">vagy jogerős határozat alapján </w:t>
            </w:r>
            <w:r w:rsidRPr="000A4497">
              <w:t xml:space="preserve">elért bármely peren kívüli egyezséget az illetékes bíróságnak vagy a közigazgatási hatóságnak jóvá kell hagynia annak érdekében, hogy biztosítsa annak jogszerűségét és méltányosságát, figyelembe véve valamennyi érintett fél érdekeit és jogait. Az </w:t>
            </w:r>
            <w:r w:rsidRPr="000A4497">
              <w:rPr>
                <w:b/>
                <w:i/>
              </w:rPr>
              <w:t>érintett fogyasztók számára lehetőséget kell biztosítani arra</w:t>
            </w:r>
            <w:r w:rsidRPr="000A4497">
              <w:t xml:space="preserve">, </w:t>
            </w:r>
            <w:r w:rsidRPr="000A4497">
              <w:rPr>
                <w:b/>
                <w:i/>
              </w:rPr>
              <w:t>hogy</w:t>
            </w:r>
            <w:r w:rsidRPr="000A4497">
              <w:t xml:space="preserve"> az </w:t>
            </w:r>
            <w:r w:rsidRPr="000A4497">
              <w:rPr>
                <w:b/>
                <w:i/>
              </w:rPr>
              <w:t>ilyen egyezséget magukra nézve kötelezőnek ismerjék el</w:t>
            </w:r>
            <w:r w:rsidRPr="000A4497">
              <w:t xml:space="preserve"> vagy </w:t>
            </w:r>
            <w:r w:rsidRPr="000A4497">
              <w:rPr>
                <w:b/>
                <w:i/>
              </w:rPr>
              <w:t>elutasítsák</w:t>
            </w:r>
            <w:r w:rsidRPr="000A4497">
              <w:t>.</w:t>
            </w:r>
          </w:p>
        </w:tc>
        <w:tc>
          <w:tcPr>
            <w:tcW w:w="4876" w:type="dxa"/>
            <w:hideMark/>
          </w:tcPr>
          <w:p w:rsidR="00FD386D" w:rsidRPr="000A4497" w:rsidRDefault="00FD386D" w:rsidP="002D21D3">
            <w:pPr>
              <w:pStyle w:val="Normal6"/>
              <w:rPr>
                <w:szCs w:val="24"/>
              </w:rPr>
            </w:pPr>
            <w:r w:rsidRPr="000A4497">
              <w:t>(30)</w:t>
            </w:r>
            <w:r w:rsidRPr="000A4497">
              <w:tab/>
              <w:t xml:space="preserve">A képviseleti eljárás keretében elért bármely peren kívüli egyezséget az illetékes bíróságnak vagy a közigazgatási hatóságnak jóvá kell hagynia annak érdekében, hogy biztosítsa annak jogszerűségét és méltányosságát, figyelembe véve valamennyi érintett fél érdekeit és jogait. Az </w:t>
            </w:r>
            <w:r w:rsidRPr="000A4497">
              <w:rPr>
                <w:b/>
                <w:i/>
              </w:rPr>
              <w:t>egyezség kötelező érvényű az összes érintett számára</w:t>
            </w:r>
            <w:r w:rsidRPr="000A4497">
              <w:t xml:space="preserve">, </w:t>
            </w:r>
            <w:r w:rsidRPr="000A4497">
              <w:rPr>
                <w:b/>
                <w:i/>
              </w:rPr>
              <w:t>és</w:t>
            </w:r>
            <w:r w:rsidRPr="000A4497">
              <w:t xml:space="preserve"> az </w:t>
            </w:r>
            <w:r w:rsidRPr="000A4497">
              <w:rPr>
                <w:b/>
                <w:i/>
              </w:rPr>
              <w:t>nem érintheti a fogyasztók uniós</w:t>
            </w:r>
            <w:r w:rsidRPr="000A4497">
              <w:t xml:space="preserve"> vagy </w:t>
            </w:r>
            <w:r w:rsidRPr="000A4497">
              <w:rPr>
                <w:b/>
                <w:i/>
              </w:rPr>
              <w:t>nemzeti jog szerinti bármely esetleges további jogorvoslati jogát</w:t>
            </w:r>
            <w:r w:rsidRPr="000A4497">
              <w: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23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32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(32)</w:t>
            </w:r>
            <w:r w:rsidRPr="000A4497">
              <w:tab/>
              <w:t xml:space="preserve">A hatásosság érdekében a tájékoztatásnak megfelelőnek és az ügy körülményeivel arányosnak kell lennie. A </w:t>
            </w:r>
            <w:r w:rsidRPr="000A4497">
              <w:rPr>
                <w:b/>
                <w:i/>
              </w:rPr>
              <w:t>jogsértő kereskedőnek</w:t>
            </w:r>
            <w:r w:rsidRPr="000A4497">
              <w:t xml:space="preserve"> megfelelően </w:t>
            </w:r>
            <w:r w:rsidRPr="000A4497">
              <w:rPr>
                <w:b/>
                <w:i/>
              </w:rPr>
              <w:t>tájékoztatnia kell</w:t>
            </w:r>
            <w:r w:rsidRPr="000A4497">
              <w:t xml:space="preserve"> valamennyi érintett fogyasztót a képviseleti eljárás keretében hozott jogerős tiltó és jogorvoslati határozatról, valamint a bíróság vagy közigazgatási hatóság által jóváhagyott </w:t>
            </w:r>
            <w:r w:rsidRPr="000A4497">
              <w:lastRenderedPageBreak/>
              <w:t xml:space="preserve">egyezségről. Erre vonatkozó tájékoztatást lehet például közzétenni a </w:t>
            </w:r>
            <w:r w:rsidRPr="000A4497">
              <w:rPr>
                <w:b/>
                <w:i/>
              </w:rPr>
              <w:t>kereskedő honlapján</w:t>
            </w:r>
            <w:r w:rsidRPr="000A4497">
              <w:t xml:space="preserve">, a közösségi médiában, az online piacokon vagy a népszerű újságokban, ideértve azokat is, amelyeket kizárólag elektronikus kommunikációs eszközökkel terjesztenek. </w:t>
            </w:r>
            <w:r w:rsidRPr="000A4497">
              <w:rPr>
                <w:b/>
                <w:i/>
              </w:rPr>
              <w:t>Amennyiben lehetséges, a fogyasztókat elektronikus vagy nyomtatott levélben egyenként tájékoztatni kell.</w:t>
            </w:r>
            <w:r w:rsidRPr="000A4497">
              <w:t xml:space="preserve"> Ezt a tájékoztatást kérésre számukra hozzáférhető formában meg kell adni a fogyatékossággal élő személyeknek.</w:t>
            </w:r>
          </w:p>
        </w:tc>
        <w:tc>
          <w:tcPr>
            <w:tcW w:w="4876" w:type="dxa"/>
            <w:hideMark/>
          </w:tcPr>
          <w:p w:rsidR="00FD386D" w:rsidRPr="000A4497" w:rsidRDefault="00FD386D" w:rsidP="002D21D3">
            <w:pPr>
              <w:pStyle w:val="Normal6"/>
              <w:rPr>
                <w:szCs w:val="24"/>
              </w:rPr>
            </w:pPr>
            <w:r w:rsidRPr="000A4497">
              <w:lastRenderedPageBreak/>
              <w:t>(32)</w:t>
            </w:r>
            <w:r w:rsidRPr="000A4497">
              <w:tab/>
              <w:t xml:space="preserve">A hatásosság érdekében a tájékoztatásnak megfelelőnek és az ügy körülményeivel arányosnak kell lennie. A </w:t>
            </w:r>
            <w:r w:rsidRPr="000A4497">
              <w:rPr>
                <w:b/>
                <w:i/>
              </w:rPr>
              <w:t>tagállamoknak biztosítaniuk kell, hogy a bíróság vagy közigazgatási hatóság megkövetelje a pervesztes féltől, hogy</w:t>
            </w:r>
            <w:r w:rsidRPr="000A4497">
              <w:t xml:space="preserve"> megfelelően </w:t>
            </w:r>
            <w:r w:rsidRPr="000A4497">
              <w:rPr>
                <w:b/>
                <w:i/>
              </w:rPr>
              <w:t>tájékoztasson</w:t>
            </w:r>
            <w:r w:rsidRPr="000A4497">
              <w:t xml:space="preserve"> valamennyi érintett fogyasztót a képviseleti eljárás keretében hozott jogerős tiltó és </w:t>
            </w:r>
            <w:r w:rsidRPr="000A4497">
              <w:lastRenderedPageBreak/>
              <w:t xml:space="preserve">jogorvoslati határozatról, valamint hogy </w:t>
            </w:r>
            <w:r w:rsidRPr="000A4497">
              <w:rPr>
                <w:b/>
                <w:i/>
              </w:rPr>
              <w:t xml:space="preserve">tájékoztassa mindkét felet </w:t>
            </w:r>
            <w:r w:rsidRPr="000A4497">
              <w:t xml:space="preserve">a bíróság vagy közigazgatási hatóság által jóváhagyott egyezségről. Erre vonatkozó tájékoztatást lehet például közzétenni a </w:t>
            </w:r>
            <w:r w:rsidRPr="000A4497">
              <w:rPr>
                <w:b/>
                <w:i/>
              </w:rPr>
              <w:t>honlapon</w:t>
            </w:r>
            <w:r w:rsidRPr="000A4497">
              <w:t xml:space="preserve">, a közösségi médiában, az online piacokon vagy a népszerű újságokban, ideértve azokat is, amelyeket kizárólag elektronikus kommunikációs eszközökkel terjesztenek. Ezt a tájékoztatást kérésre számukra hozzáférhető formában meg kell adni a fogyatékossággal élő személyeknek. </w:t>
            </w:r>
            <w:r w:rsidRPr="000A4497">
              <w:rPr>
                <w:b/>
                <w:i/>
              </w:rPr>
              <w:t>A fogyasztók tájékoztatásának költségeit a pervesztes fél viseli.</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24</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32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(32a)</w:t>
            </w:r>
            <w:r w:rsidRPr="000A4497">
              <w:tab/>
            </w:r>
            <w:r w:rsidRPr="000A4497">
              <w:rPr>
                <w:b/>
                <w:i/>
              </w:rPr>
              <w:t>A tagállamokat ösztönözni kell arra, hogy díjmentesen vezessék be a képviseleti eljárások nemzeti nyilvántartását, amely tovább erősítheti az átláthatósági kötelezettségeket.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25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33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(33)</w:t>
            </w:r>
            <w:r w:rsidRPr="000A4497">
              <w:tab/>
              <w:t xml:space="preserve">A jogbiztonság fokozása, az uniós jog alkalmazása során a következetlenség elkerülése, valamint a képviseleti eljárások általában vett és eljárási hatékonyságának, továbbá a jogorvoslatot követő lehetséges intézkedések hatékonyságának növelése érdekében közigazgatási hatóság vagy bíróság jogerős határozatában – beleértve az ezen irányelv szerinti tiltó határozatot is – </w:t>
            </w:r>
            <w:r w:rsidRPr="000A4497">
              <w:rPr>
                <w:b/>
                <w:i/>
              </w:rPr>
              <w:t xml:space="preserve">foglaltakat későbbi, ugyanazon kereskedő által elkövetett ugyanazon jogsértéssel kapcsolatban folyó jogi </w:t>
            </w:r>
            <w:r w:rsidRPr="000A4497">
              <w:rPr>
                <w:b/>
                <w:i/>
              </w:rPr>
              <w:lastRenderedPageBreak/>
              <w:t>eljárásokban nem lehet vitatni</w:t>
            </w:r>
            <w:r w:rsidRPr="000A4497">
              <w:t xml:space="preserve"> a </w:t>
            </w:r>
            <w:r w:rsidRPr="000A4497">
              <w:rPr>
                <w:b/>
                <w:i/>
              </w:rPr>
              <w:t>jogsértés jellege, és anyagi, személyes</w:t>
            </w:r>
            <w:r w:rsidRPr="000A4497">
              <w:t xml:space="preserve">, </w:t>
            </w:r>
            <w:r w:rsidRPr="000A4497">
              <w:rPr>
                <w:b/>
                <w:i/>
              </w:rPr>
              <w:t>időbeli</w:t>
            </w:r>
            <w:r w:rsidRPr="000A4497">
              <w:t xml:space="preserve"> és </w:t>
            </w:r>
            <w:r w:rsidRPr="000A4497">
              <w:rPr>
                <w:b/>
                <w:i/>
              </w:rPr>
              <w:t>területi hatálya tekintetében</w:t>
            </w:r>
            <w:r w:rsidRPr="000A4497">
              <w:t xml:space="preserve">. Abban az esetben, ha a jogsértés tartós hatásait megszüntető intézkedésekre – beleértve a jogorvoslatot is – irányuló eljárást nem a jogsértést megállapító jogerős határozatot kibocsátási helye szerinti tagállamban indítják, a </w:t>
            </w:r>
            <w:r w:rsidRPr="000A4497">
              <w:rPr>
                <w:b/>
                <w:i/>
              </w:rPr>
              <w:t>határozatnak</w:t>
            </w:r>
            <w:r w:rsidRPr="000A4497">
              <w:t xml:space="preserve"> a jogsértés megállapítása tekintetében megdönthető vélelemnek </w:t>
            </w:r>
            <w:r w:rsidRPr="000A4497">
              <w:rPr>
                <w:b/>
                <w:i/>
              </w:rPr>
              <w:t>kell minősülnie</w:t>
            </w:r>
            <w:r w:rsidRPr="000A4497">
              <w:t>.</w:t>
            </w:r>
          </w:p>
        </w:tc>
        <w:tc>
          <w:tcPr>
            <w:tcW w:w="4876" w:type="dxa"/>
            <w:hideMark/>
          </w:tcPr>
          <w:p w:rsidR="00FD386D" w:rsidRPr="000A4497" w:rsidRDefault="00FD386D" w:rsidP="002D21D3">
            <w:pPr>
              <w:pStyle w:val="Normal6"/>
              <w:rPr>
                <w:szCs w:val="24"/>
              </w:rPr>
            </w:pPr>
            <w:r w:rsidRPr="000A4497">
              <w:lastRenderedPageBreak/>
              <w:t>(33)</w:t>
            </w:r>
            <w:r w:rsidRPr="000A4497">
              <w:tab/>
              <w:t xml:space="preserve">A jogbiztonság fokozása, az uniós jog alkalmazása során a következetlenség elkerülése, valamint a képviseleti eljárások általában vett és eljárási hatékonyságának, továbbá a jogorvoslatot követő lehetséges intézkedések hatékonyságának növelése érdekében közigazgatási hatóság vagy bíróság jogerős határozatában – beleértve az ezen irányelv szerinti tiltó határozatot is – </w:t>
            </w:r>
            <w:r w:rsidRPr="000A4497">
              <w:rPr>
                <w:b/>
                <w:i/>
              </w:rPr>
              <w:t xml:space="preserve">megállapított jogsértés illetve annak hiánya alapján hozott döntés a képviseleti eljárásban részt vevő összes félre nézve </w:t>
            </w:r>
            <w:r w:rsidRPr="000A4497">
              <w:rPr>
                <w:b/>
                <w:i/>
              </w:rPr>
              <w:lastRenderedPageBreak/>
              <w:t>kötelező. A jogerős határozat nem érintheti az érintett fogyasztók uniós vagy nemzeti jog szerinti bármely esetleges további jogorvoslati jogát. Az egyezség keretében elért jogorvoslat szintén kötelező az ugyanazt a gyakorlatot</w:t>
            </w:r>
            <w:r w:rsidRPr="000A4497">
              <w:t xml:space="preserve">, </w:t>
            </w:r>
            <w:r w:rsidRPr="000A4497">
              <w:rPr>
                <w:b/>
                <w:i/>
              </w:rPr>
              <w:t>kereskedőt</w:t>
            </w:r>
            <w:r w:rsidRPr="000A4497">
              <w:t xml:space="preserve"> és </w:t>
            </w:r>
            <w:r w:rsidRPr="000A4497">
              <w:rPr>
                <w:b/>
                <w:i/>
              </w:rPr>
              <w:t>fogyasztót érintő esetekre</w:t>
            </w:r>
            <w:r w:rsidRPr="000A4497">
              <w:t xml:space="preserve">. Abban az esetben, ha a jogsértés tartós hatásait megszüntető intézkedésekre – beleértve a jogorvoslatot is – irányuló eljárást nem a jogsértést </w:t>
            </w:r>
            <w:r w:rsidRPr="000A4497">
              <w:rPr>
                <w:b/>
                <w:i/>
              </w:rPr>
              <w:t xml:space="preserve">vagy annak elmaradását </w:t>
            </w:r>
            <w:r w:rsidRPr="000A4497">
              <w:t xml:space="preserve">megállapító jogerős határozatot kibocsátási helye szerinti tagállamban indítják, a </w:t>
            </w:r>
            <w:r w:rsidRPr="000A4497">
              <w:rPr>
                <w:b/>
                <w:i/>
              </w:rPr>
              <w:t>határozatot a kapcsolódó ügyekben</w:t>
            </w:r>
            <w:r w:rsidRPr="000A4497">
              <w:t xml:space="preserve"> a jogsértés </w:t>
            </w:r>
            <w:r w:rsidRPr="000A4497">
              <w:rPr>
                <w:b/>
                <w:i/>
              </w:rPr>
              <w:t xml:space="preserve">vagy annak elmaradásának </w:t>
            </w:r>
            <w:r w:rsidRPr="000A4497">
              <w:t xml:space="preserve">megállapítása tekintetében </w:t>
            </w:r>
            <w:r w:rsidRPr="000A4497">
              <w:rPr>
                <w:b/>
                <w:i/>
              </w:rPr>
              <w:t>bizonyítéknak kell tekinteni.</w:t>
            </w:r>
            <w:r w:rsidRPr="000A4497">
              <w:t xml:space="preserve"> </w:t>
            </w:r>
            <w:r w:rsidRPr="000A4497">
              <w:rPr>
                <w:b/>
                <w:i/>
              </w:rPr>
              <w:t>A tagállamok gondoskodnak arról, hogy egy tagállamban egy jogsértés meglétéről vagy meg nem létéről hozott jogerős határozatot egy másik tagállam nemzeti bíróságához ugyanazon kereskedő ellen ugyanazon jogsértés miatt benyújtott jogorvoslati kérelem esetén elfogadott vélelemnek tekintsék.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26</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35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(35)</w:t>
            </w:r>
            <w:r w:rsidRPr="000A4497">
              <w:tab/>
              <w:t xml:space="preserve">Az elévülési időre vonatkozó nemzeti szabályok nem akadályozhatják az olyan jogorvoslatra irányuló eljárásokat, amelyek a </w:t>
            </w:r>
            <w:r w:rsidRPr="000A4497">
              <w:rPr>
                <w:b/>
                <w:i/>
              </w:rPr>
              <w:t xml:space="preserve">jogsértést megállapító jogerős tiltó határozaton vagy a </w:t>
            </w:r>
            <w:r w:rsidRPr="000A4497">
              <w:t>kereskedő ezen irányelv alapján a károsult fogyasztókkal szembeni felelősségét megállapító jogerős határozaton alapulnak. A képviseleti eljárás megindítása az abban érintett fogyasztókat érintő jogorvoslat iránti eljárások felfüggesztését vagy megszakítását eredményezi.</w:t>
            </w:r>
          </w:p>
        </w:tc>
        <w:tc>
          <w:tcPr>
            <w:tcW w:w="4876" w:type="dxa"/>
            <w:hideMark/>
          </w:tcPr>
          <w:p w:rsidR="00FD386D" w:rsidRPr="000A4497" w:rsidRDefault="00FD386D" w:rsidP="002D21D3">
            <w:pPr>
              <w:pStyle w:val="Normal6"/>
              <w:rPr>
                <w:szCs w:val="24"/>
              </w:rPr>
            </w:pPr>
            <w:r w:rsidRPr="000A4497">
              <w:t>(35)</w:t>
            </w:r>
            <w:r w:rsidRPr="000A4497">
              <w:tab/>
              <w:t>Az elévülési időre vonatkozó nemzeti szabályok nem akadályozhatják az olyan jogorvoslatra irányuló eljárásokat, amelyek a kereskedő ezen irányelv alapján a károsult fogyasztókkal szembeni felelősségét megállapító jogerős</w:t>
            </w:r>
            <w:r w:rsidRPr="000A4497">
              <w:rPr>
                <w:b/>
                <w:i/>
              </w:rPr>
              <w:t xml:space="preserve"> tiltó</w:t>
            </w:r>
            <w:r w:rsidRPr="000A4497">
              <w:t xml:space="preserve"> határozaton alapulnak. A képviseleti eljárás megindítása az abban érintett fogyasztókat érintő jogorvoslat iránti eljárások felfüggesztését vagy megszakítását eredményezi.</w:t>
            </w:r>
          </w:p>
        </w:tc>
      </w:tr>
    </w:tbl>
    <w:p w:rsidR="00FD386D" w:rsidRPr="000A4497" w:rsidRDefault="00FD386D" w:rsidP="00FD386D"/>
    <w:p w:rsidR="00FD386D" w:rsidRPr="000A4497" w:rsidRDefault="00FD386D" w:rsidP="00FD386D">
      <w:pPr>
        <w:pStyle w:val="AMNumberTabs"/>
        <w:keepNext/>
      </w:pPr>
      <w:r w:rsidRPr="000A4497">
        <w:lastRenderedPageBreak/>
        <w:t>Módosítás</w:t>
      </w:r>
      <w:r w:rsidRPr="000A4497">
        <w:tab/>
      </w:r>
      <w:r w:rsidRPr="000A4497">
        <w:tab/>
        <w:t>27</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39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(39)</w:t>
            </w:r>
            <w:r w:rsidRPr="000A4497">
              <w:tab/>
              <w:t>Tekintettel arra, hogy a fogyasztók kollektív érdekeinek védelme miatt a képviseleti eljárások közérdekűek, a tagállamoknak biztosítaniuk kell, hogy a feljogosított egységek az eljárási költségek ne akadályozzák meg az ezen irányelv szerinti képviseleti eljárások indításában.</w:t>
            </w:r>
          </w:p>
        </w:tc>
        <w:tc>
          <w:tcPr>
            <w:tcW w:w="4876" w:type="dxa"/>
            <w:hideMark/>
          </w:tcPr>
          <w:p w:rsidR="00FD386D" w:rsidRPr="000A4497" w:rsidRDefault="00FD386D" w:rsidP="002D21D3">
            <w:pPr>
              <w:pStyle w:val="Normal6"/>
              <w:rPr>
                <w:szCs w:val="24"/>
              </w:rPr>
            </w:pPr>
            <w:r w:rsidRPr="000A4497">
              <w:t>(39)</w:t>
            </w:r>
            <w:r w:rsidRPr="000A4497">
              <w:tab/>
              <w:t xml:space="preserve">Tekintettel arra, hogy a fogyasztók kollektív érdekeinek védelme miatt a képviseleti eljárások közérdekűek, a tagállamoknak biztosítaniuk kell, hogy a feljogosított </w:t>
            </w:r>
            <w:r w:rsidRPr="000A4497">
              <w:rPr>
                <w:b/>
                <w:i/>
              </w:rPr>
              <w:t xml:space="preserve">képviseleti </w:t>
            </w:r>
            <w:r w:rsidRPr="000A4497">
              <w:t>egységek az eljárási költségek ne akadályozzák meg az ezen irányelv szerinti képviseleti eljárások indításában.</w:t>
            </w:r>
            <w:r w:rsidRPr="000A4497">
              <w:rPr>
                <w:b/>
                <w:i/>
              </w:rPr>
              <w:t xml:space="preserve"> Azonban a nemzeti jog szerinti idevonatkozó feltételekre is figyelemmel ez nem sértheti azt az elvet, hogy a képviseleti eljárás vesztes fele megtéríti a nyertes fél által viselt perköltségeket („a vesztes fizet” elv). A bíróság vagy a közigazgatási hatóság azonban nem ítéli meg a költségeket a nyertes fél részére, amennyiben azok szükségtelenül merültek fel, vagy a követeléshez képest aránytalanok voltak.</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28</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39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(39a)</w:t>
            </w:r>
            <w:r w:rsidRPr="000A4497">
              <w:tab/>
            </w:r>
            <w:r w:rsidRPr="000A4497">
              <w:rPr>
                <w:b/>
                <w:i/>
              </w:rPr>
              <w:t>A tagállamok biztosítják, hogy elkerülhetők legyenek a sikerdíjak, valamint hogy az ügyvédek díjazása és ennek kiszámítási módja ne ösztönözze a fogyasztók vagy bármely érdekelt fél érdekei szempontjából felesleges perindítást, amely megakadályozhatja, hogy a fogyasztók teljes körűen éljenek a képviseleti eljárások nyújtotta előnyökkel. A sikerdíjakat engedélyező tagállamoknak gondoskodniuk kell arról, hogy az ilyen díjak ellenére a fogyasztók teljes körű kártérítésben részesülhessenek.</w:t>
            </w:r>
          </w:p>
        </w:tc>
      </w:tr>
    </w:tbl>
    <w:p w:rsidR="00FD386D" w:rsidRPr="000A4497" w:rsidRDefault="00FD386D" w:rsidP="00FD386D"/>
    <w:p w:rsidR="00FD386D" w:rsidRPr="000A4497" w:rsidRDefault="00FD386D" w:rsidP="00FD386D">
      <w:pPr>
        <w:pStyle w:val="AMNumberTabs"/>
      </w:pPr>
      <w:r w:rsidRPr="000A4497">
        <w:lastRenderedPageBreak/>
        <w:t>Módosítás</w:t>
      </w:r>
      <w:r w:rsidRPr="000A4497">
        <w:tab/>
      </w:r>
      <w:r w:rsidRPr="000A4497">
        <w:tab/>
        <w:t>29</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40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(40)</w:t>
            </w:r>
            <w:r w:rsidRPr="000A4497">
              <w:tab/>
              <w:t>A különböző tagállamok feljogosított egységei közötti együttműködés és információcsere hasznosnak bizonyult a határon átnyúló jogsértések kezelésében. Szükség van a kapacitásépítő és együttműködési intézkedések folytatására és kiterjesztésére nagyszámú feljogosított egységre az egész Unióban a határokon átnyúló vonatkozású képviseleti keresetek fokozottabb alkalmazása érdekében.</w:t>
            </w:r>
          </w:p>
        </w:tc>
        <w:tc>
          <w:tcPr>
            <w:tcW w:w="4876" w:type="dxa"/>
          </w:tcPr>
          <w:p w:rsidR="00FD386D" w:rsidRPr="000A4497" w:rsidRDefault="00FD386D" w:rsidP="002D21D3">
            <w:pPr>
              <w:pStyle w:val="Normal6"/>
            </w:pPr>
            <w:r w:rsidRPr="000A4497">
              <w:t>(40)</w:t>
            </w:r>
            <w:r w:rsidRPr="000A4497">
              <w:tab/>
              <w:t xml:space="preserve">A különböző tagállamok feljogosított </w:t>
            </w:r>
            <w:r w:rsidRPr="000A4497">
              <w:rPr>
                <w:b/>
                <w:i/>
              </w:rPr>
              <w:t xml:space="preserve">képviseleti </w:t>
            </w:r>
            <w:r w:rsidRPr="000A4497">
              <w:t>egységei közötti együttműködés és információcsere</w:t>
            </w:r>
            <w:r w:rsidRPr="000A4497">
              <w:rPr>
                <w:b/>
                <w:i/>
              </w:rPr>
              <w:t>, valamint a bevált gyakorlatok és tapasztalatok kicserélése</w:t>
            </w:r>
            <w:r w:rsidRPr="000A4497">
              <w:t xml:space="preserve"> hasznosnak bizonyult a határon átnyúló jogsértések kezelésében. Szükség van a kapacitásépítő és együttműködési intézkedések folytatására és kiterjesztésére nagyszámú feljogosított</w:t>
            </w:r>
            <w:r w:rsidRPr="000A4497">
              <w:rPr>
                <w:b/>
                <w:i/>
              </w:rPr>
              <w:t xml:space="preserve"> képviseleti</w:t>
            </w:r>
            <w:r w:rsidRPr="000A4497">
              <w:t xml:space="preserve"> egységre az egész Unióban a határokon átnyúló vonatkozású képviseleti keresetek fokozottabb alkalmazása érdekében.</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30</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41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(41a)</w:t>
            </w:r>
            <w:r w:rsidRPr="000A4497">
              <w:tab/>
            </w:r>
            <w:r w:rsidRPr="000A4497">
              <w:rPr>
                <w:b/>
                <w:i/>
              </w:rPr>
              <w:t>Annak érdekében, hogy feltárja a határokon átnyúló képviseleti eljárások uniós szintű mechanizmusának lehetséges bevezetését, a Bizottságnak értékelnie kell a kollektív jogorvoslattal foglalkozó európai ombudsman hivatala létrehozásának lehetőségét.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31</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t xml:space="preserve">Ez az irányelv olyan szabályokat állapít meg, amelyek lehetővé teszik a feljogosított egységek számára, hogy a fogyasztók kollektív érdekeinek védelmét célzó képviseleti eljárásokat indítsanak, </w:t>
            </w:r>
            <w:r w:rsidRPr="000A4497">
              <w:lastRenderedPageBreak/>
              <w:t>ugyanakkor megfelelő biztosítékokat tartalmaznak a visszaélésszerű pereskedés elkerüléséhez.</w:t>
            </w:r>
          </w:p>
        </w:tc>
        <w:tc>
          <w:tcPr>
            <w:tcW w:w="4876" w:type="dxa"/>
            <w:hideMark/>
          </w:tcPr>
          <w:p w:rsidR="00FD386D" w:rsidRPr="000A4497" w:rsidRDefault="00FD386D" w:rsidP="002D21D3">
            <w:pPr>
              <w:pStyle w:val="Normal6"/>
              <w:rPr>
                <w:szCs w:val="24"/>
              </w:rPr>
            </w:pPr>
            <w:r w:rsidRPr="000A4497">
              <w:lastRenderedPageBreak/>
              <w:t>(1)</w:t>
            </w:r>
            <w:r w:rsidRPr="000A4497">
              <w:tab/>
              <w:t xml:space="preserve">Ez az irányelv olyan szabályokat állapít meg, amelyek lehetővé teszik a feljogosított </w:t>
            </w:r>
            <w:r w:rsidRPr="000A4497">
              <w:rPr>
                <w:b/>
                <w:i/>
              </w:rPr>
              <w:t xml:space="preserve">képviseleti </w:t>
            </w:r>
            <w:r w:rsidRPr="000A4497">
              <w:t xml:space="preserve">egységek számára, hogy a fogyasztók kollektív érdekeinek védelmét célzó képviseleti eljárásokat </w:t>
            </w:r>
            <w:r w:rsidRPr="000A4497">
              <w:lastRenderedPageBreak/>
              <w:t>indítsanak</w:t>
            </w:r>
            <w:r w:rsidRPr="000A4497">
              <w:rPr>
                <w:b/>
                <w:i/>
              </w:rPr>
              <w:t>, és ezáltal különösen magas szintű védelmet és az igazságszolgáltatáshoz való jogot valósítsanak meg és érvényesítsenek</w:t>
            </w:r>
            <w:r w:rsidRPr="000A4497">
              <w:t>, ugyanakkor megfelelő biztosítékokat tartalmaznak a visszaélésszerű pereskedés elkerüléséhez.</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32</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 cikk – 2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(2)</w:t>
            </w:r>
            <w:r w:rsidRPr="000A4497">
              <w:tab/>
              <w:t>Ez az irányelv nem akadályozza meg a tagállamokat abban, hogy olyan rendelkezéseket tartsanak fenn vagy fogadjanak el, amelyek a feljogosított egységek vagy</w:t>
            </w:r>
            <w:r w:rsidRPr="000A4497">
              <w:rPr>
                <w:b/>
                <w:i/>
              </w:rPr>
              <w:t xml:space="preserve"> bármely</w:t>
            </w:r>
            <w:r w:rsidRPr="000A4497">
              <w:t xml:space="preserve"> más </w:t>
            </w:r>
            <w:r w:rsidRPr="000A4497">
              <w:rPr>
                <w:b/>
                <w:i/>
              </w:rPr>
              <w:t>érintett személyek</w:t>
            </w:r>
            <w:r w:rsidRPr="000A4497">
              <w:t xml:space="preserve"> részére a fogyasztók kollektív érdekeinek védelmét célzó egyéb eljárásjogi eszközök biztosítását célozzák nemzeti szinten.</w:t>
            </w:r>
          </w:p>
        </w:tc>
        <w:tc>
          <w:tcPr>
            <w:tcW w:w="4876" w:type="dxa"/>
            <w:hideMark/>
          </w:tcPr>
          <w:p w:rsidR="00FD386D" w:rsidRPr="000A4497" w:rsidRDefault="00FD386D" w:rsidP="002D21D3">
            <w:pPr>
              <w:pStyle w:val="Normal6"/>
              <w:rPr>
                <w:szCs w:val="24"/>
              </w:rPr>
            </w:pPr>
            <w:r w:rsidRPr="000A4497">
              <w:t>(2)</w:t>
            </w:r>
            <w:r w:rsidRPr="000A4497">
              <w:tab/>
              <w:t xml:space="preserve">Ez az irányelv nem akadályozza meg a tagállamokat abban, hogy olyan rendelkezéseket tartsanak fenn vagy fogadjanak el, amelyek a feljogosított </w:t>
            </w:r>
            <w:r w:rsidRPr="000A4497">
              <w:rPr>
                <w:b/>
                <w:i/>
              </w:rPr>
              <w:t xml:space="preserve">képviseleti </w:t>
            </w:r>
            <w:r w:rsidRPr="000A4497">
              <w:t xml:space="preserve">egységek vagy más </w:t>
            </w:r>
            <w:r w:rsidRPr="000A4497">
              <w:rPr>
                <w:b/>
                <w:i/>
              </w:rPr>
              <w:t>állami szervek</w:t>
            </w:r>
            <w:r w:rsidRPr="000A4497">
              <w:t xml:space="preserve"> részére a fogyasztók kollektív érdekeinek védelmét célzó egyéb eljárásjogi eszközök biztosítását célozzák nemzeti szinten. </w:t>
            </w:r>
            <w:r w:rsidRPr="000A4497">
              <w:rPr>
                <w:b/>
                <w:i/>
              </w:rPr>
              <w:t>Ezen irányelv végrehajtása semmilyen körülmények között nem indokolhatja az uniós jog hatálya alá tartozó területeken a fogyasztóvédelem szintjének csökkentését.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t xml:space="preserve">Ez az irányelv az I. mellékletben felsorolt uniós jogi aktusok rendelkezéseinek kereskedők által a </w:t>
            </w:r>
            <w:r w:rsidRPr="000A4497">
              <w:rPr>
                <w:b/>
                <w:i/>
              </w:rPr>
              <w:t>fogyasztók kollektív érdekeit sértő vagy potenciálisan sértő</w:t>
            </w:r>
            <w:r w:rsidRPr="000A4497">
              <w:t xml:space="preserve"> megsértései miatt indított képviseleti eljárásokra alkalmazandó. Ezt az irányelvet a belföldi és a határon átnyúló jogsértésekre kell alkalmazni, beleértve azokat az esetet is, </w:t>
            </w:r>
            <w:r w:rsidRPr="000A4497">
              <w:lastRenderedPageBreak/>
              <w:t>amikor a szóban forgó jogsértések a képviseleti eljárás indítása vagy lezárása előtt befejeződtek.</w:t>
            </w:r>
          </w:p>
        </w:tc>
        <w:tc>
          <w:tcPr>
            <w:tcW w:w="4876" w:type="dxa"/>
            <w:hideMark/>
          </w:tcPr>
          <w:p w:rsidR="00FD386D" w:rsidRPr="000A4497" w:rsidRDefault="00FD386D" w:rsidP="002D21D3">
            <w:pPr>
              <w:pStyle w:val="Normal6"/>
              <w:rPr>
                <w:szCs w:val="24"/>
              </w:rPr>
            </w:pPr>
            <w:r w:rsidRPr="000A4497">
              <w:lastRenderedPageBreak/>
              <w:t>(1)</w:t>
            </w:r>
            <w:r w:rsidRPr="000A4497">
              <w:tab/>
              <w:t>Ez az irányelv az I. mellékletben felsorolt</w:t>
            </w:r>
            <w:r w:rsidRPr="000A4497">
              <w:rPr>
                <w:b/>
                <w:i/>
              </w:rPr>
              <w:t>, a fogyasztók kollektív érdekeit védő</w:t>
            </w:r>
            <w:r w:rsidRPr="000A4497">
              <w:t xml:space="preserve"> uniós jogi aktusok rendelkezéseinek a </w:t>
            </w:r>
            <w:r w:rsidRPr="000A4497">
              <w:rPr>
                <w:b/>
                <w:i/>
              </w:rPr>
              <w:t>fogyasztókra széles körű hatást gyakorló</w:t>
            </w:r>
            <w:r w:rsidRPr="000A4497">
              <w:t xml:space="preserve">, kereskedők általi megsértései miatt indított képviseleti eljárásokra alkalmazandó. Ezt az irányelvet a belföldi és a határon átnyúló jogsértésekre kell alkalmazni, beleértve azokat az esetet is, amikor a szóban forgó </w:t>
            </w:r>
            <w:r w:rsidRPr="000A4497">
              <w:lastRenderedPageBreak/>
              <w:t>jogsértések a képviseleti eljárás indítása vagy lezárása előtt befejeződtek.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 cikk – 3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w:t>
            </w:r>
            <w:r w:rsidRPr="000A4497">
              <w:tab/>
              <w:t>Ez az irányelv nem érinti a nemzetközi magánjogra, különösen a bíróságok joghatóságára és az alkalmazandó jogra vonatkozó uniós szabályokat.</w:t>
            </w:r>
          </w:p>
        </w:tc>
        <w:tc>
          <w:tcPr>
            <w:tcW w:w="4876" w:type="dxa"/>
            <w:hideMark/>
          </w:tcPr>
          <w:p w:rsidR="00FD386D" w:rsidRPr="000A4497" w:rsidRDefault="00FD386D" w:rsidP="002D21D3">
            <w:pPr>
              <w:pStyle w:val="Normal6"/>
              <w:rPr>
                <w:szCs w:val="24"/>
              </w:rPr>
            </w:pPr>
            <w:r w:rsidRPr="000A4497">
              <w:t>(3)</w:t>
            </w:r>
            <w:r w:rsidRPr="000A4497">
              <w:tab/>
              <w:t>Ez az irányelv nem érinti a nemzetközi magánjogra, különösen a bíróságok joghatóságára és az alkalmazandó jogra vonatkozó uniós szabályokat</w:t>
            </w:r>
            <w:r w:rsidRPr="000A4497">
              <w:rPr>
                <w:b/>
                <w:i/>
              </w:rPr>
              <w:t>, a polgári és kereskedelmi ügyekben hozott ítéletek elismerésére és végrehajtására, valamint a szerződéses és szerződésen kívüli kötelmi viszonyokra alkalmazandó jogszabályokat, amelyek az ezen irányelvben meghatározott képviseleti eljárásokra alkalmazandóak</w:t>
            </w:r>
            <w:r w:rsidRPr="000A4497">
              <w: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 cikk – 3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(3a)</w:t>
            </w:r>
            <w:r w:rsidRPr="000A4497">
              <w:rPr>
                <w:b/>
                <w:i/>
              </w:rPr>
              <w:tab/>
              <w:t>Ez az irányelv nem érinti a nemzeti jogban előírt egyéb jogorvoslati mechanizmusokat.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36</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2 cikk – 3 b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(3b)</w:t>
            </w:r>
            <w:r w:rsidRPr="000A4497">
              <w:rPr>
                <w:b/>
                <w:i/>
              </w:rPr>
              <w:tab/>
              <w:t xml:space="preserve">Ez az irányelv tiszteletben tartja az alapvető jogokat és az Európai Unió </w:t>
            </w:r>
            <w:r w:rsidRPr="000A4497">
              <w:rPr>
                <w:b/>
                <w:i/>
              </w:rPr>
              <w:lastRenderedPageBreak/>
              <w:t>Alapjogi Chartájában és az emberi jogok európai egyezményében elismert elveket, különös tekintettel a tisztességes és pártatlan eljáráshoz való jogra és a hatékony jogorvoslathoz való jogra.</w:t>
            </w:r>
            <w:r w:rsidRPr="000A4497">
              <w:t xml:space="preserve"> </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37</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 cikk – 1 bekezdés – 1 a pont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1a.</w:t>
            </w:r>
            <w:r w:rsidRPr="000A4497">
              <w:rPr>
                <w:b/>
                <w:i/>
              </w:rPr>
              <w:tab/>
              <w:t>„fogyasztói szervezet”: olyan csoport, amely a fogyasztók érdekeit kívánja védeni a kereskedők által elkövetett jogellenes cselekményekkel vagy mulasztásokkal szemben;</w:t>
            </w:r>
            <w:r w:rsidRPr="000A4497">
              <w:t xml:space="preserve"> </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 cikk – 1 bekezdés – 2 pont</w:t>
      </w:r>
    </w:p>
    <w:p w:rsidR="00FD386D" w:rsidRPr="000A4497" w:rsidRDefault="00FD386D" w:rsidP="00FD386D"/>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2.</w:t>
            </w:r>
            <w:r w:rsidRPr="000A4497">
              <w:tab/>
              <w:t>kereskedő: bármely természetes személy vagy – akár magántulajdonban, akár köztulajdonban álló – jogi személy, aki vagy amely kereskedelmi, ipari, kézműipari vagy szakmai tevékenységével összefüggő célok érdekében jár el, ideértve bármely olyan személyt, aki vagy amely a kereskedő nevében vagy javára jár el;</w:t>
            </w:r>
          </w:p>
        </w:tc>
        <w:tc>
          <w:tcPr>
            <w:tcW w:w="4876" w:type="dxa"/>
          </w:tcPr>
          <w:p w:rsidR="00FD386D" w:rsidRPr="000A4497" w:rsidRDefault="00FD386D" w:rsidP="002D21D3">
            <w:pPr>
              <w:pStyle w:val="Normal6"/>
              <w:rPr>
                <w:szCs w:val="24"/>
              </w:rPr>
            </w:pPr>
            <w:r w:rsidRPr="000A4497">
              <w:t>2.</w:t>
            </w:r>
            <w:r w:rsidRPr="000A4497">
              <w:tab/>
              <w:t>„kereskedő”: bármely természetes személy vagy – akár magántulajdonban, akár köztulajdonban álló – jogi személy, aki vagy amely</w:t>
            </w:r>
            <w:r w:rsidRPr="000A4497">
              <w:rPr>
                <w:b/>
                <w:i/>
              </w:rPr>
              <w:t xml:space="preserve"> a polgárjogi szabályok keretében polgári jogi minőségében</w:t>
            </w:r>
            <w:r w:rsidRPr="000A4497">
              <w:t xml:space="preserve"> kereskedelmi, ipari, kézműipari vagy szakmai tevékenységével összefüggő célok érdekében jár el, ideértve bármely olyan személyt, aki vagy amely a kereskedő nevében vagy javára jár el;</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39</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 cikk – 1 bekezdés – 3 pont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tcPr>
          <w:p w:rsidR="00FD386D" w:rsidRPr="000A4497" w:rsidRDefault="00FD386D" w:rsidP="002D21D3">
            <w:pPr>
              <w:pStyle w:val="ColumnHeading"/>
              <w:keepNext/>
            </w:pPr>
            <w:r w:rsidRPr="000A4497">
              <w:t>A Bizottság által javasolt szöveg</w:t>
            </w:r>
          </w:p>
        </w:tc>
        <w:tc>
          <w:tcPr>
            <w:tcW w:w="4876" w:type="dxa"/>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3.</w:t>
            </w:r>
            <w:r w:rsidRPr="000A4497">
              <w:tab/>
              <w:t>fogyasztók kollektív érdekei: több fogyasztó érdeke;</w:t>
            </w:r>
          </w:p>
        </w:tc>
        <w:tc>
          <w:tcPr>
            <w:tcW w:w="4876" w:type="dxa"/>
          </w:tcPr>
          <w:p w:rsidR="00FD386D" w:rsidRPr="000A4497" w:rsidRDefault="00FD386D" w:rsidP="002D21D3">
            <w:pPr>
              <w:pStyle w:val="Normal6"/>
              <w:rPr>
                <w:szCs w:val="24"/>
              </w:rPr>
            </w:pPr>
            <w:r w:rsidRPr="000A4497">
              <w:t>3.</w:t>
            </w:r>
            <w:r w:rsidRPr="000A4497">
              <w:tab/>
              <w:t>„fogyasztók kollektív érdekei”: több fogyasztó</w:t>
            </w:r>
            <w:r w:rsidRPr="000A4497">
              <w:rPr>
                <w:b/>
                <w:i/>
              </w:rPr>
              <w:t xml:space="preserve"> vagy az (EU) 2016/679 rendeletben (általános adatvédelmi rendelet) meghatározott érintettek</w:t>
            </w:r>
            <w:r w:rsidRPr="000A4497">
              <w:t xml:space="preserve"> érdeke;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40</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3 cikk – 1 bekezdés – 6 a pont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6a.</w:t>
            </w:r>
            <w:r w:rsidRPr="000A4497">
              <w:rPr>
                <w:b/>
                <w:i/>
              </w:rPr>
              <w:tab/>
              <w:t>„fogyasztóvédelmi jogszabályok”: a fogyasztók védelme érdekében elfogadott uniós és nemzeti jogszabályok;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41</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cím</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Feljogosított egységek</w:t>
            </w:r>
          </w:p>
        </w:tc>
        <w:tc>
          <w:tcPr>
            <w:tcW w:w="4876" w:type="dxa"/>
            <w:hideMark/>
          </w:tcPr>
          <w:p w:rsidR="00FD386D" w:rsidRPr="000A4497" w:rsidRDefault="00FD386D" w:rsidP="002D21D3">
            <w:pPr>
              <w:pStyle w:val="Normal6"/>
              <w:rPr>
                <w:szCs w:val="24"/>
              </w:rPr>
            </w:pPr>
            <w:r w:rsidRPr="000A4497">
              <w:t xml:space="preserve">Feljogosított </w:t>
            </w:r>
            <w:r w:rsidRPr="000A4497">
              <w:rPr>
                <w:b/>
                <w:i/>
              </w:rPr>
              <w:t>képviseleti</w:t>
            </w:r>
            <w:r w:rsidRPr="000A4497">
              <w:rPr>
                <w:b/>
              </w:rPr>
              <w:t xml:space="preserve"> </w:t>
            </w:r>
            <w:r w:rsidRPr="000A4497">
              <w:t>egységek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42</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1 bekezdés – 2 albekezdés – bevezető rész</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A tagállamok vagy bíróságaik a 3. cikk (4) bekezdése szerinti képviseleti eljárások céljából kijelölnek területükön legalább egy feljogosított képviseleti egységet.</w:t>
            </w:r>
          </w:p>
        </w:tc>
      </w:tr>
      <w:tr w:rsidR="00FD386D" w:rsidRPr="000A4497" w:rsidTr="002D21D3">
        <w:trPr>
          <w:jc w:val="center"/>
        </w:trPr>
        <w:tc>
          <w:tcPr>
            <w:tcW w:w="4876" w:type="dxa"/>
          </w:tcPr>
          <w:p w:rsidR="00FD386D" w:rsidRPr="000A4497" w:rsidRDefault="00FD386D" w:rsidP="002D21D3">
            <w:pPr>
              <w:pStyle w:val="Normal6"/>
            </w:pPr>
            <w:r w:rsidRPr="000A4497">
              <w:t xml:space="preserve">A tagállamok akkor nyilvánítanak feljogosítottnak valamely szervezetet, ha az megfelel a következő </w:t>
            </w:r>
            <w:r w:rsidRPr="000A4497">
              <w:rPr>
                <w:b/>
                <w:i/>
              </w:rPr>
              <w:t>feltételeknek</w:t>
            </w:r>
            <w:r w:rsidRPr="000A4497">
              <w:t>:</w:t>
            </w:r>
          </w:p>
        </w:tc>
        <w:tc>
          <w:tcPr>
            <w:tcW w:w="4876" w:type="dxa"/>
            <w:hideMark/>
          </w:tcPr>
          <w:p w:rsidR="00FD386D" w:rsidRPr="000A4497" w:rsidRDefault="00FD386D" w:rsidP="002D21D3">
            <w:pPr>
              <w:pStyle w:val="Normal6"/>
              <w:rPr>
                <w:szCs w:val="24"/>
              </w:rPr>
            </w:pPr>
            <w:r w:rsidRPr="000A4497">
              <w:t xml:space="preserve">A tagállamok akkor nyilvánítanak feljogosítottnak valamely </w:t>
            </w:r>
            <w:r w:rsidRPr="000A4497">
              <w:rPr>
                <w:b/>
                <w:i/>
              </w:rPr>
              <w:t xml:space="preserve">képviseleti </w:t>
            </w:r>
            <w:r w:rsidRPr="000A4497">
              <w:t xml:space="preserve">szervezetet, ha az megfelel a következő </w:t>
            </w:r>
            <w:r w:rsidRPr="000A4497">
              <w:rPr>
                <w:b/>
                <w:i/>
              </w:rPr>
              <w:t>feltételek mindegyikének</w:t>
            </w:r>
            <w:r w:rsidRPr="000A4497">
              <w: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1 bekezdés – 2 albekezdés – b pont</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b)</w:t>
            </w:r>
            <w:r w:rsidRPr="000A4497">
              <w:tab/>
            </w:r>
            <w:r w:rsidRPr="000A4497">
              <w:rPr>
                <w:b/>
                <w:i/>
              </w:rPr>
              <w:t>jogos</w:t>
            </w:r>
            <w:r w:rsidRPr="000A4497">
              <w:t xml:space="preserve"> érdeke fűződik ahhoz, hogy az ezen irányelv hatálya alá tartozó uniós </w:t>
            </w:r>
            <w:r w:rsidRPr="000A4497">
              <w:rPr>
                <w:b/>
                <w:i/>
              </w:rPr>
              <w:t>jog rendelkezéseit</w:t>
            </w:r>
            <w:r w:rsidRPr="000A4497">
              <w:t xml:space="preserve"> betartsák;</w:t>
            </w:r>
          </w:p>
        </w:tc>
        <w:tc>
          <w:tcPr>
            <w:tcW w:w="4876" w:type="dxa"/>
            <w:hideMark/>
          </w:tcPr>
          <w:p w:rsidR="00FD386D" w:rsidRPr="000A4497" w:rsidRDefault="00FD386D" w:rsidP="002D21D3">
            <w:pPr>
              <w:pStyle w:val="Normal6"/>
              <w:rPr>
                <w:szCs w:val="24"/>
              </w:rPr>
            </w:pPr>
            <w:r w:rsidRPr="000A4497">
              <w:t>b)</w:t>
            </w:r>
            <w:r w:rsidRPr="000A4497">
              <w:tab/>
            </w:r>
            <w:r w:rsidRPr="000A4497">
              <w:rPr>
                <w:b/>
                <w:i/>
              </w:rPr>
              <w:t>alapító okirata vagy más szervezetirányítási dokumentuma, és a fogyasztóvédelemre és a fogyasztói érdekek előmozdítására irányuló folytatólagos tevékenysége igazolja, hogy jogos</w:t>
            </w:r>
            <w:r w:rsidRPr="000A4497">
              <w:t xml:space="preserve"> érdeke fűződik ahhoz, hogy az ezen irányelv hatálya alá tartozó uniós </w:t>
            </w:r>
            <w:r w:rsidRPr="000A4497">
              <w:rPr>
                <w:b/>
                <w:i/>
              </w:rPr>
              <w:t>jogi rendelkezéseket</w:t>
            </w:r>
            <w:r w:rsidRPr="000A4497">
              <w:t xml:space="preserve"> betartsák;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1 bekezdés – 2 albekezdés – c a pont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ca)</w:t>
            </w:r>
            <w:r w:rsidRPr="000A4497">
              <w:rPr>
                <w:b/>
                <w:i/>
              </w:rPr>
              <w:tab/>
              <w:t>oly módon végzi tevékenységét, amely biztosítja függetlenségét a fogyasztókon kívüli más szervezetektől vagy személyektől, amelyeknek vagy akiknek érdeke fűződhet a képviseleti eljárások kimeneteléhez, különös tekintettel a piaci szereplőkre;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1 bekezdés – 2 albekezdés – c b pont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cb)</w:t>
            </w:r>
            <w:r w:rsidRPr="000A4497">
              <w:rPr>
                <w:b/>
                <w:i/>
              </w:rPr>
              <w:tab/>
              <w:t>a szokásos ügyvédi képviseleti szerződésen túlmenően nincs pénzügyi megállapodása a panaszos ügyvédi irodájával;</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46</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1 bekezdés – 2 albekezdés – c c pont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cc)</w:t>
            </w:r>
            <w:r w:rsidRPr="000A4497">
              <w:rPr>
                <w:b/>
                <w:i/>
              </w:rPr>
              <w:tab/>
              <w:t>belső eljárásokat alakított ki a saját maga és a finanszírozói közötti összeférhetetlenség megakadályozására;</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47</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1 bekezdés – 3 albekezdés</w:t>
      </w:r>
    </w:p>
    <w:p w:rsidR="00FD386D" w:rsidRPr="000A4497" w:rsidRDefault="00FD386D" w:rsidP="00FD386D">
      <w:pPr>
        <w:keepNext/>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A tagállamok rendelkeznek arról, hogy a feljogosított képviseleti egységek megfelelő módon – például honlapjukon – egyszerű és érthető nyelven nyilvánosságra hozzák, hogyan finanszírozzák saját magukat, illetve mi a szervezeti és irányítási struktúrájuk, céljuk és munkamódszereik, valamint tevékenységük.</w:t>
            </w:r>
          </w:p>
        </w:tc>
      </w:tr>
      <w:tr w:rsidR="00FD386D" w:rsidRPr="000A4497" w:rsidTr="002D21D3">
        <w:trPr>
          <w:jc w:val="center"/>
        </w:trPr>
        <w:tc>
          <w:tcPr>
            <w:tcW w:w="4876" w:type="dxa"/>
          </w:tcPr>
          <w:p w:rsidR="00FD386D" w:rsidRPr="000A4497" w:rsidRDefault="00FD386D" w:rsidP="002D21D3">
            <w:pPr>
              <w:pStyle w:val="Normal6"/>
            </w:pPr>
            <w:r w:rsidRPr="000A4497">
              <w:t>A tagállamok rendszeresen értékelik, hogy a feljogosított egység továbbra is megfelel-e e feltételeknek. A tagállamok biztosítják, hogy a feljogosított egység elveszítse ezen irányelv szerinti jogállását, ha már nem felel meg az első albekezdésben felsorolt egy vagy több feltételnek.</w:t>
            </w:r>
          </w:p>
        </w:tc>
        <w:tc>
          <w:tcPr>
            <w:tcW w:w="4876" w:type="dxa"/>
            <w:hideMark/>
          </w:tcPr>
          <w:p w:rsidR="00FD386D" w:rsidRPr="000A4497" w:rsidRDefault="00FD386D" w:rsidP="002D21D3">
            <w:pPr>
              <w:pStyle w:val="Normal6"/>
              <w:rPr>
                <w:szCs w:val="24"/>
              </w:rPr>
            </w:pPr>
            <w:r w:rsidRPr="000A4497">
              <w:t xml:space="preserve">A tagállamok rendszeresen értékelik, hogy a feljogosított </w:t>
            </w:r>
            <w:r w:rsidRPr="000A4497">
              <w:rPr>
                <w:b/>
                <w:i/>
              </w:rPr>
              <w:t xml:space="preserve">képviseleti </w:t>
            </w:r>
            <w:r w:rsidRPr="000A4497">
              <w:t>egység továbbra is megfelel-e e feltételeknek. A tagállamok biztosítják, hogy a feljogosított</w:t>
            </w:r>
            <w:r w:rsidRPr="000A4497">
              <w:rPr>
                <w:b/>
                <w:i/>
              </w:rPr>
              <w:t xml:space="preserve"> képviseleti</w:t>
            </w:r>
            <w:r w:rsidRPr="000A4497">
              <w:t xml:space="preserve"> egység elveszítse ezen irányelv szerinti jogállását, ha már nem felel meg az első albekezdésben felsorolt egy vagy több feltételnek.</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A tagállamok létrehozzák az (1) bekezdésben felsorolt kritériumoknak megfelelő képviseleti egységek jegyzékét, és azt nyilvánosan hozzáférhetővé teszik. A tagállamok ezt a listát eljuttatják a Bizottsághoz, és szükség szerint azt frissítik.</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 xml:space="preserve">A Bizottság nyilvánosan hozzáférhető </w:t>
            </w:r>
            <w:r w:rsidRPr="000A4497">
              <w:rPr>
                <w:b/>
                <w:i/>
              </w:rPr>
              <w:lastRenderedPageBreak/>
              <w:t>online portálon közzéteszi a feljogosított egységek a tagállamoktól kapott jegyzékét.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1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(1a)</w:t>
            </w:r>
            <w:r w:rsidRPr="000A4497">
              <w:rPr>
                <w:b/>
                <w:i/>
              </w:rPr>
              <w:tab/>
              <w:t>A tagállamok előírhatják, hogy az ezen irányelv hatálybalépése előtt a nemzeti jog alapján már kijelölt állami szervek jogosultak maradjanak a képviseleti egységek e cikk szerinti jogállására.</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49</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2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(2)</w:t>
            </w:r>
            <w:r w:rsidRPr="000A4497">
              <w:rPr>
                <w:b/>
                <w:i/>
              </w:rPr>
              <w:tab/>
              <w:t>A tagállamok egy adott képviseleti eljárásra eseti alapon is kijelölhetnek egy feljogosított egységet annak kérelmére, ha megfelel az (1) bekezdésben említett feltételeknek.</w:t>
            </w:r>
          </w:p>
        </w:tc>
        <w:tc>
          <w:tcPr>
            <w:tcW w:w="4876" w:type="dxa"/>
            <w:hideMark/>
          </w:tcPr>
          <w:p w:rsidR="00FD386D" w:rsidRPr="000A4497" w:rsidRDefault="00FD386D" w:rsidP="002D21D3">
            <w:pPr>
              <w:pStyle w:val="Normal6"/>
              <w:rPr>
                <w:szCs w:val="24"/>
              </w:rPr>
            </w:pPr>
            <w:r w:rsidRPr="000A4497">
              <w:rPr>
                <w:b/>
                <w:i/>
              </w:rPr>
              <w:t>törölve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50</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3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w:t>
            </w:r>
            <w:r w:rsidRPr="000A4497">
              <w:tab/>
              <w:t xml:space="preserve">A tagállamok biztosítják, hogy </w:t>
            </w:r>
            <w:r w:rsidRPr="000A4497">
              <w:rPr>
                <w:b/>
                <w:i/>
              </w:rPr>
              <w:t>különösen a</w:t>
            </w:r>
            <w:r w:rsidRPr="000A4497">
              <w:t xml:space="preserve"> fogyasztói szervezetek és </w:t>
            </w:r>
            <w:r w:rsidRPr="000A4497">
              <w:rPr>
                <w:b/>
                <w:i/>
              </w:rPr>
              <w:t>a független közszférabeli</w:t>
            </w:r>
            <w:r w:rsidRPr="000A4497">
              <w:t xml:space="preserve"> szervek jogosultak legyenek a feljogosított egység jogállására. A tagállamok egynél több tagállamból származó tagokat képviselő fogyasztói </w:t>
            </w:r>
            <w:r w:rsidRPr="000A4497">
              <w:lastRenderedPageBreak/>
              <w:t>szervezeteket is kijelölhetnek.</w:t>
            </w:r>
          </w:p>
        </w:tc>
        <w:tc>
          <w:tcPr>
            <w:tcW w:w="4876" w:type="dxa"/>
            <w:hideMark/>
          </w:tcPr>
          <w:p w:rsidR="00FD386D" w:rsidRPr="000A4497" w:rsidRDefault="00FD386D" w:rsidP="002D21D3">
            <w:pPr>
              <w:pStyle w:val="Normal6"/>
              <w:rPr>
                <w:szCs w:val="24"/>
              </w:rPr>
            </w:pPr>
            <w:r w:rsidRPr="000A4497">
              <w:lastRenderedPageBreak/>
              <w:t>(3)</w:t>
            </w:r>
            <w:r w:rsidRPr="000A4497">
              <w:tab/>
              <w:t xml:space="preserve">A tagállamok biztosítják, hogy </w:t>
            </w:r>
            <w:r w:rsidRPr="000A4497">
              <w:rPr>
                <w:b/>
                <w:i/>
              </w:rPr>
              <w:t>az (1) bekezdésben felsorolt feltételeknek megfelelő</w:t>
            </w:r>
            <w:r w:rsidRPr="000A4497">
              <w:t xml:space="preserve"> fogyasztói szervezetek és </w:t>
            </w:r>
            <w:r w:rsidRPr="000A4497">
              <w:rPr>
                <w:b/>
                <w:i/>
              </w:rPr>
              <w:t>állami</w:t>
            </w:r>
            <w:r w:rsidRPr="000A4497">
              <w:t xml:space="preserve"> szervek jogosultak legyenek a feljogosított</w:t>
            </w:r>
            <w:r w:rsidRPr="000A4497">
              <w:rPr>
                <w:b/>
                <w:i/>
              </w:rPr>
              <w:t xml:space="preserve"> képviseleti</w:t>
            </w:r>
            <w:r w:rsidRPr="000A4497">
              <w:t xml:space="preserve"> egység jogállására. A tagállamok egynél több tagállamból </w:t>
            </w:r>
            <w:r w:rsidRPr="000A4497">
              <w:lastRenderedPageBreak/>
              <w:t>származó tagokat képviselő fogyasztói szervezeteket is kijelölhetnek</w:t>
            </w:r>
            <w:r w:rsidRPr="000A4497">
              <w:rPr>
                <w:b/>
                <w:i/>
              </w:rPr>
              <w:t xml:space="preserve"> feljogosított képviseleti egységként</w:t>
            </w:r>
            <w:r w:rsidRPr="000A4497">
              <w: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51</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4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(4)</w:t>
            </w:r>
            <w:r w:rsidRPr="000A4497">
              <w:rPr>
                <w:b/>
                <w:i/>
              </w:rPr>
              <w:tab/>
              <w:t>A tagállamok megállapíthatják azokat a szabályokat, amelyek meghatározzák, hogy mely feljogosított egységek kérhetik a 5. és 6. cikkben említett összes intézkedést, és melyek kérhetnek csak bizonyos intézkedéseket.</w:t>
            </w:r>
          </w:p>
        </w:tc>
        <w:tc>
          <w:tcPr>
            <w:tcW w:w="4876" w:type="dxa"/>
            <w:hideMark/>
          </w:tcPr>
          <w:p w:rsidR="00FD386D" w:rsidRPr="000A4497" w:rsidRDefault="00FD386D" w:rsidP="002D21D3">
            <w:pPr>
              <w:pStyle w:val="Normal6"/>
              <w:rPr>
                <w:szCs w:val="24"/>
              </w:rPr>
            </w:pPr>
            <w:r w:rsidRPr="000A4497">
              <w:rPr>
                <w:b/>
                <w:i/>
              </w:rPr>
              <w:t>törölve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52</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4 cikk – 5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(5)</w:t>
            </w:r>
            <w:r w:rsidRPr="000A4497">
              <w:tab/>
              <w:t xml:space="preserve">A feljogosított egység (1) bekezdésben említett feltételeknek való megfelelése nem </w:t>
            </w:r>
            <w:r w:rsidRPr="000A4497">
              <w:rPr>
                <w:b/>
                <w:i/>
              </w:rPr>
              <w:t>sérti</w:t>
            </w:r>
            <w:r w:rsidRPr="000A4497">
              <w:t xml:space="preserve"> a bíróság vagy közigazgatási hatóság azon </w:t>
            </w:r>
            <w:r w:rsidRPr="000A4497">
              <w:rPr>
                <w:b/>
                <w:i/>
              </w:rPr>
              <w:t>jogát</w:t>
            </w:r>
            <w:r w:rsidRPr="000A4497">
              <w:t>, hogy megvizsgálja, hogy a feljogosított egység célja indokolja-e a konkrét ügyben az eljárás indítását az 5. cikk (1) bekezdésével összhangban.</w:t>
            </w:r>
          </w:p>
        </w:tc>
        <w:tc>
          <w:tcPr>
            <w:tcW w:w="4876" w:type="dxa"/>
            <w:hideMark/>
          </w:tcPr>
          <w:p w:rsidR="00FD386D" w:rsidRPr="000A4497" w:rsidRDefault="00FD386D" w:rsidP="002D21D3">
            <w:pPr>
              <w:pStyle w:val="Normal6"/>
              <w:rPr>
                <w:szCs w:val="24"/>
              </w:rPr>
            </w:pPr>
            <w:r w:rsidRPr="000A4497">
              <w:t>(5)</w:t>
            </w:r>
            <w:r w:rsidRPr="000A4497">
              <w:tab/>
              <w:t xml:space="preserve">A feljogosított egység (1) bekezdésben említett feltételeknek való megfelelése nem </w:t>
            </w:r>
            <w:r w:rsidRPr="000A4497">
              <w:rPr>
                <w:b/>
                <w:i/>
              </w:rPr>
              <w:t>érinti</w:t>
            </w:r>
            <w:r w:rsidRPr="000A4497">
              <w:t xml:space="preserve"> a bíróság vagy közigazgatási hatóság azon </w:t>
            </w:r>
            <w:r w:rsidRPr="000A4497">
              <w:rPr>
                <w:b/>
                <w:i/>
              </w:rPr>
              <w:t>kötelességét</w:t>
            </w:r>
            <w:r w:rsidRPr="000A4497">
              <w:t>, hogy megvizsgálja, hogy a feljogosított egység célja indokolja-e a konkrét ügyben az eljárás indítását</w:t>
            </w:r>
            <w:r w:rsidRPr="000A4497">
              <w:rPr>
                <w:b/>
                <w:i/>
              </w:rPr>
              <w:t xml:space="preserve"> a 4. cikkel és</w:t>
            </w:r>
            <w:r w:rsidRPr="000A4497">
              <w:t xml:space="preserve"> az 5. cikk (1) bekezdésével összhangban.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5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t xml:space="preserve">A tagállamok biztosítják, hogy a feljogosított egységek képviseleti </w:t>
            </w:r>
            <w:r w:rsidRPr="000A4497">
              <w:lastRenderedPageBreak/>
              <w:t>eljárásokat</w:t>
            </w:r>
            <w:r w:rsidRPr="000A4497">
              <w:rPr>
                <w:b/>
                <w:i/>
              </w:rPr>
              <w:t xml:space="preserve"> indíthassanak</w:t>
            </w:r>
            <w:r w:rsidRPr="000A4497">
              <w:t xml:space="preserve"> a nemzeti bíróságok vagy közigazgatási hatóságok előtt, feltéve, hogy közvetlen kapcsolat áll fenn az egység fő célkitűzései és az uniós jog alapján biztosított, állítólagosan megsértett jogok között, amelyek tekintetében az eljárást indították.</w:t>
            </w:r>
          </w:p>
        </w:tc>
        <w:tc>
          <w:tcPr>
            <w:tcW w:w="4876" w:type="dxa"/>
            <w:hideMark/>
          </w:tcPr>
          <w:p w:rsidR="00FD386D" w:rsidRPr="000A4497" w:rsidRDefault="00FD386D" w:rsidP="002D21D3">
            <w:pPr>
              <w:pStyle w:val="Normal6"/>
              <w:rPr>
                <w:szCs w:val="24"/>
              </w:rPr>
            </w:pPr>
            <w:r w:rsidRPr="000A4497">
              <w:lastRenderedPageBreak/>
              <w:t>(1)</w:t>
            </w:r>
            <w:r w:rsidRPr="000A4497">
              <w:tab/>
              <w:t xml:space="preserve">A tagállamok biztosítják, hogy </w:t>
            </w:r>
            <w:r w:rsidRPr="000A4497">
              <w:rPr>
                <w:b/>
                <w:i/>
              </w:rPr>
              <w:t xml:space="preserve">csak </w:t>
            </w:r>
            <w:r w:rsidRPr="000A4497">
              <w:t xml:space="preserve">a </w:t>
            </w:r>
            <w:r w:rsidRPr="000A4497">
              <w:rPr>
                <w:b/>
                <w:i/>
              </w:rPr>
              <w:t xml:space="preserve">4. cikk (1) bekezdésével összhangban </w:t>
            </w:r>
            <w:r w:rsidRPr="000A4497">
              <w:lastRenderedPageBreak/>
              <w:t xml:space="preserve">feljogosított </w:t>
            </w:r>
            <w:r w:rsidRPr="000A4497">
              <w:rPr>
                <w:b/>
                <w:i/>
              </w:rPr>
              <w:t xml:space="preserve">képviseleti </w:t>
            </w:r>
            <w:r w:rsidRPr="000A4497">
              <w:t>egységek</w:t>
            </w:r>
            <w:r w:rsidRPr="000A4497">
              <w:rPr>
                <w:b/>
                <w:i/>
              </w:rPr>
              <w:t xml:space="preserve"> indíthassanak</w:t>
            </w:r>
            <w:r w:rsidRPr="000A4497">
              <w:t xml:space="preserve"> képviseleti eljárásokat a nemzeti bíróságok vagy közigazgatási hatóságok előtt, feltéve, hogy közvetlen kapcsolat áll fenn az egység fő célkitűzései és az uniós jog alapján biztosított, állítólagosan megsértett jogok között, amelyek tekintetében az eljárást indították.</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A  kollektív fogyasztói érdekek magasabb szintű védelme érdekében a feljogosított képviseleti egységek szabadon választhatnak a nemzeti vagy uniós jogszabályok alapján rendelkezésre álló jogorvoslati eljárások közül.</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A tagállamok biztosítják, hogy ugyanazon tagállam bírósága vagy közigazgatási hatósága előtt ne indítsanak másik eljárást ugyanarra a gyakorlatra, ugyanazon kereskedőre vagy ugyanazon fogyasztókra vonatkozóan.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5 cikk – 2 bekezdés – 1 albekezdés – bevezető rész</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 xml:space="preserve">A tagállamok biztosítják, hogy </w:t>
            </w:r>
            <w:r w:rsidRPr="000A4497">
              <w:rPr>
                <w:b/>
                <w:i/>
              </w:rPr>
              <w:t>a</w:t>
            </w:r>
            <w:r w:rsidRPr="000A4497">
              <w:t xml:space="preserve"> feljogosított egységek jogosultak legyenek képviseleti eljárások indítására a következő intézkedések érdekében:</w:t>
            </w:r>
          </w:p>
        </w:tc>
        <w:tc>
          <w:tcPr>
            <w:tcW w:w="4876" w:type="dxa"/>
            <w:hideMark/>
          </w:tcPr>
          <w:p w:rsidR="00FD386D" w:rsidRPr="000A4497" w:rsidRDefault="00FD386D" w:rsidP="002D21D3">
            <w:pPr>
              <w:pStyle w:val="Normal6"/>
              <w:rPr>
                <w:szCs w:val="24"/>
              </w:rPr>
            </w:pPr>
            <w:r w:rsidRPr="000A4497">
              <w:t xml:space="preserve">A tagállamok biztosítják, hogy </w:t>
            </w:r>
            <w:r w:rsidRPr="000A4497">
              <w:rPr>
                <w:b/>
                <w:i/>
              </w:rPr>
              <w:t>az előzetesen kijelölt</w:t>
            </w:r>
            <w:r w:rsidRPr="000A4497">
              <w:t xml:space="preserve"> feljogosított</w:t>
            </w:r>
            <w:r w:rsidRPr="000A4497">
              <w:rPr>
                <w:b/>
                <w:i/>
              </w:rPr>
              <w:t xml:space="preserve"> képviseleti</w:t>
            </w:r>
            <w:r w:rsidRPr="000A4497">
              <w:t xml:space="preserve"> egységek</w:t>
            </w:r>
            <w:r w:rsidRPr="000A4497">
              <w:rPr>
                <w:b/>
                <w:i/>
              </w:rPr>
              <w:t xml:space="preserve"> – köztük az állami szervek –</w:t>
            </w:r>
            <w:r w:rsidRPr="000A4497">
              <w:t xml:space="preserve"> jogosultak legyenek képviseleti eljárások indítására a következő intézkedések érdekében: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5 cikk – 2 bekezdés – 2 albekezdés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 xml:space="preserve">A jogsértés megszüntetésére irányuló határozat kérelmezése érdekében a </w:t>
            </w:r>
            <w:r w:rsidRPr="000A4497">
              <w:lastRenderedPageBreak/>
              <w:t>feljogosított egységeknek nem kell megszerezniük az érintett fogyasztók megbízását, vagy bizonyítékot szolgáltatniuk az érintett fogyasztók ért tényleges veszteségről vagy kárról, illetve a kereskedő szándékosságáról vagy gondatlanságáról.</w:t>
            </w:r>
          </w:p>
        </w:tc>
        <w:tc>
          <w:tcPr>
            <w:tcW w:w="4876" w:type="dxa"/>
            <w:hideMark/>
          </w:tcPr>
          <w:p w:rsidR="00FD386D" w:rsidRPr="000A4497" w:rsidRDefault="00FD386D" w:rsidP="002D21D3">
            <w:pPr>
              <w:pStyle w:val="Normal6"/>
              <w:rPr>
                <w:szCs w:val="24"/>
              </w:rPr>
            </w:pPr>
            <w:r w:rsidRPr="000A4497">
              <w:lastRenderedPageBreak/>
              <w:t xml:space="preserve">A jogsértés megszüntetésére irányuló határozat kérelmezése érdekében a </w:t>
            </w:r>
            <w:r w:rsidRPr="000A4497">
              <w:lastRenderedPageBreak/>
              <w:t xml:space="preserve">feljogosított </w:t>
            </w:r>
            <w:r w:rsidRPr="000A4497">
              <w:rPr>
                <w:b/>
                <w:i/>
              </w:rPr>
              <w:t xml:space="preserve">képviseleti </w:t>
            </w:r>
            <w:r w:rsidRPr="000A4497">
              <w:t>egységeknek nem kell megszerezniük az érintett fogyasztók megbízását, vagy bizonyítékot szolgáltatniuk az érintett fogyasztók ért tényleges veszteségről vagy kárról, illetve a kereskedő szándékosságáról vagy gondatlanságáról.</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56</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5 cikk – 2 bekezdés – 2 albekezdés – a pont</w:t>
      </w:r>
    </w:p>
    <w:p w:rsidR="00FD386D" w:rsidRPr="000A4497" w:rsidRDefault="00FD386D" w:rsidP="00FD386D"/>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a)</w:t>
            </w:r>
            <w:r w:rsidRPr="000A4497">
              <w:tab/>
            </w:r>
            <w:r w:rsidRPr="000A4497">
              <w:rPr>
                <w:b/>
                <w:i/>
              </w:rPr>
              <w:t>gyakorlat</w:t>
            </w:r>
            <w:r w:rsidRPr="000A4497">
              <w:t xml:space="preserve"> megszüntetésére irányuló, ideiglenes intézkedésként meghozott jogsértés megszüntetésére irányuló határozat, vagy ha a gyakorlat még nem valósult meg, de közeleg, a gyakorlat előzetes megtiltása;</w:t>
            </w:r>
          </w:p>
        </w:tc>
        <w:tc>
          <w:tcPr>
            <w:tcW w:w="4876" w:type="dxa"/>
          </w:tcPr>
          <w:p w:rsidR="00FD386D" w:rsidRPr="000A4497" w:rsidRDefault="00FD386D" w:rsidP="002D21D3">
            <w:pPr>
              <w:pStyle w:val="Normal6"/>
              <w:rPr>
                <w:szCs w:val="24"/>
              </w:rPr>
            </w:pPr>
            <w:r w:rsidRPr="000A4497">
              <w:t>a)</w:t>
            </w:r>
            <w:r w:rsidRPr="000A4497">
              <w:tab/>
            </w:r>
            <w:r w:rsidRPr="000A4497">
              <w:rPr>
                <w:b/>
                <w:i/>
              </w:rPr>
              <w:t>jogellenes gyakorlat</w:t>
            </w:r>
            <w:r w:rsidRPr="000A4497">
              <w:t xml:space="preserve"> megszüntetésére irányuló, ideiglenes intézkedésként meghozott jogsértés megszüntetésére irányuló határozat, vagy ha a gyakorlat még nem valósult meg, de várhatóan megvalósul, a</w:t>
            </w:r>
            <w:r w:rsidRPr="000A4497">
              <w:rPr>
                <w:b/>
                <w:i/>
              </w:rPr>
              <w:t xml:space="preserve"> jogellenes</w:t>
            </w:r>
            <w:r w:rsidRPr="000A4497">
              <w:t xml:space="preserve"> gyakorlat előzetes megtiltása;</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57</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5 cikk – 3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w:t>
            </w:r>
            <w:r w:rsidRPr="000A4497">
              <w:tab/>
              <w:t xml:space="preserve">A tagállamok biztosítják, hogy a feljogosított egységek jogosultak legyenek olyan képviseleti eljárásokat indítani, amelyek a jogsértés tartós hatásainak megszüntetését célozzák. </w:t>
            </w:r>
            <w:r w:rsidRPr="000A4497">
              <w:rPr>
                <w:b/>
                <w:i/>
              </w:rPr>
              <w:t>Ezeket az intézkedéseket minden olyan jogerős határozat alapján kérni lehet, amely megállapítja, hogy a gyakorlat az I. mellékletben felsorolt uniós jogi aktusok fogyasztók kollektív érdekeit sértő megsértésének minősül, beleértve a (2) bekezdés b) pontjában említett jogsértés megszüntetésére irányuló jogerős határozatot is.</w:t>
            </w:r>
          </w:p>
        </w:tc>
        <w:tc>
          <w:tcPr>
            <w:tcW w:w="4876" w:type="dxa"/>
            <w:hideMark/>
          </w:tcPr>
          <w:p w:rsidR="00FD386D" w:rsidRPr="000A4497" w:rsidRDefault="00FD386D" w:rsidP="002D21D3">
            <w:pPr>
              <w:pStyle w:val="Normal6"/>
              <w:rPr>
                <w:szCs w:val="24"/>
              </w:rPr>
            </w:pPr>
            <w:r w:rsidRPr="000A4497">
              <w:t>(3)</w:t>
            </w:r>
            <w:r w:rsidRPr="000A4497">
              <w:tab/>
              <w:t xml:space="preserve">A tagállamok biztosítják, hogy a feljogosított </w:t>
            </w:r>
            <w:r w:rsidRPr="000A4497">
              <w:rPr>
                <w:b/>
                <w:i/>
              </w:rPr>
              <w:t>képviseleti</w:t>
            </w:r>
            <w:r w:rsidRPr="000A4497">
              <w:t xml:space="preserve"> egységek jogosultak legyenek olyan képviseleti eljárásokat indítani, amelyek a jogsértés tartós hatásainak megszüntetését célozzák.</w:t>
            </w:r>
          </w:p>
        </w:tc>
      </w:tr>
    </w:tbl>
    <w:p w:rsidR="00FD386D" w:rsidRPr="000A4497" w:rsidRDefault="00FD386D" w:rsidP="00FD386D"/>
    <w:p w:rsidR="00FD386D" w:rsidRPr="000A4497" w:rsidRDefault="00FD386D" w:rsidP="00FD386D">
      <w:pPr>
        <w:pStyle w:val="AMNumberTabs"/>
        <w:keepNext/>
      </w:pPr>
      <w:r w:rsidRPr="000A4497">
        <w:lastRenderedPageBreak/>
        <w:t>Módosítás</w:t>
      </w:r>
      <w:r w:rsidRPr="000A4497">
        <w:tab/>
      </w:r>
      <w:r w:rsidRPr="000A4497">
        <w:tab/>
        <w:t>58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5 cikk – 4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rPr>
                <w:b/>
                <w:i/>
              </w:rPr>
            </w:pPr>
            <w:r w:rsidRPr="000A4497">
              <w:rPr>
                <w:b/>
                <w:i/>
              </w:rPr>
              <w:t>(4)</w:t>
            </w:r>
            <w:r w:rsidRPr="000A4497">
              <w:rPr>
                <w:b/>
                <w:i/>
              </w:rPr>
              <w:tab/>
              <w:t>A 4. cikk (4) bekezdés sérelme nélkül a tagállamok biztosítják, hogy a feljogosított egységek egyetlen képviseleti eljárásban kérhessék a jogsértés tartós hatásainak megszüntetésére irányuló intézkedéseket és a (2) bekezdésben említett intézkedéseket.</w:t>
            </w:r>
          </w:p>
        </w:tc>
        <w:tc>
          <w:tcPr>
            <w:tcW w:w="4876" w:type="dxa"/>
          </w:tcPr>
          <w:p w:rsidR="00FD386D" w:rsidRPr="000A4497" w:rsidRDefault="00FD386D" w:rsidP="002D21D3">
            <w:pPr>
              <w:pStyle w:val="Normal6"/>
              <w:rPr>
                <w:b/>
                <w:i/>
                <w:szCs w:val="24"/>
              </w:rPr>
            </w:pPr>
            <w:r w:rsidRPr="000A4497">
              <w:rPr>
                <w:b/>
                <w:i/>
                <w:szCs w:val="24"/>
              </w:rPr>
              <w:t>törölve</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59</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5 a cikk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rPr>
                <w:b/>
                <w:bCs/>
                <w:i/>
                <w:iCs/>
              </w:rPr>
            </w:pPr>
          </w:p>
        </w:tc>
        <w:tc>
          <w:tcPr>
            <w:tcW w:w="4876" w:type="dxa"/>
          </w:tcPr>
          <w:p w:rsidR="00FD386D" w:rsidRPr="000A4497" w:rsidRDefault="00FD386D" w:rsidP="002D21D3">
            <w:pPr>
              <w:pStyle w:val="Normal6"/>
              <w:jc w:val="center"/>
              <w:rPr>
                <w:b/>
                <w:bCs/>
                <w:i/>
                <w:iCs/>
              </w:rPr>
            </w:pPr>
            <w:r w:rsidRPr="000A4497">
              <w:rPr>
                <w:b/>
                <w:bCs/>
                <w:i/>
                <w:iCs/>
              </w:rPr>
              <w:t>5a. cikk</w:t>
            </w:r>
          </w:p>
        </w:tc>
      </w:tr>
      <w:tr w:rsidR="00FD386D" w:rsidRPr="000A4497" w:rsidTr="002D21D3">
        <w:trPr>
          <w:jc w:val="center"/>
        </w:trPr>
        <w:tc>
          <w:tcPr>
            <w:tcW w:w="4876" w:type="dxa"/>
          </w:tcPr>
          <w:p w:rsidR="00FD386D" w:rsidRPr="000A4497" w:rsidRDefault="00FD386D" w:rsidP="002D21D3">
            <w:pPr>
              <w:pStyle w:val="Normal6"/>
              <w:rPr>
                <w:b/>
                <w:bCs/>
                <w:i/>
                <w:iCs/>
              </w:rPr>
            </w:pPr>
          </w:p>
        </w:tc>
        <w:tc>
          <w:tcPr>
            <w:tcW w:w="4876" w:type="dxa"/>
          </w:tcPr>
          <w:p w:rsidR="00FD386D" w:rsidRPr="000A4497" w:rsidRDefault="00FD386D" w:rsidP="002D21D3">
            <w:pPr>
              <w:pStyle w:val="Normal6"/>
              <w:jc w:val="center"/>
              <w:rPr>
                <w:b/>
                <w:bCs/>
                <w:i/>
                <w:iCs/>
              </w:rPr>
            </w:pPr>
            <w:r w:rsidRPr="000A4497">
              <w:rPr>
                <w:b/>
                <w:bCs/>
                <w:i/>
                <w:iCs/>
              </w:rPr>
              <w:t>A kollektív jogorvoslati keresetek nyilvántartása</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(1)</w:t>
            </w:r>
            <w:r w:rsidRPr="000A4497">
              <w:rPr>
                <w:b/>
                <w:i/>
              </w:rPr>
              <w:tab/>
              <w:t>A tagállamok létrehozhatják a képviseleti eljárások nemzeti nyilvántartását, amely elektronikus úton és/vagy egyéb módon díjmentesen elérhető az érdekelt felek számára.</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(2)</w:t>
            </w:r>
            <w:r w:rsidRPr="000A4497">
              <w:rPr>
                <w:b/>
                <w:i/>
              </w:rPr>
              <w:tab/>
              <w:t>A nyilvántartásokat közzétevő weboldalak átfogó és objektív tájékoztatást nyújtanak a kártérítés megszerzésére rendelkezésre álló módszerekről – beleértve a peren kívüli egyezségeket is –, valamint a folyamatban lévő képviseleti eljárásokról.</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(3)</w:t>
            </w:r>
            <w:r w:rsidRPr="000A4497">
              <w:rPr>
                <w:b/>
                <w:i/>
              </w:rPr>
              <w:tab/>
              <w:t>A nemzeti nyilvántartásokat össze kell kapcsolni. Az (EU) 2017/2394 rendelet 35. cikkét kell alkalmazni.</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60</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cikk – 1 bekezdés – 1 albekezdés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t>A 5. cikk (3) bekezdés alkalmazásában a tagállamok biztosítják, hogy a feljogosított egységek jogosultak legyenek képviseleti eljárások indítására olyan jogorvoslati határozat érdekében, amely a kereskedő számára előírják többek között a kártérítést, a javítást, a cserét, az árcsökkentést, a szerződés megszüntetését vagy adott esetben a kifizetett ár visszatérítését. A tagállamok előírhatják a meghatalmazást az érintett fogyasztók részéről</w:t>
            </w:r>
            <w:r w:rsidRPr="000A4497">
              <w:rPr>
                <w:b/>
                <w:i/>
              </w:rPr>
              <w:t xml:space="preserve"> a megállapító vagy</w:t>
            </w:r>
            <w:r w:rsidRPr="000A4497">
              <w:t xml:space="preserve"> a jogorvoslati határozat meghozatala előtt.</w:t>
            </w:r>
          </w:p>
        </w:tc>
        <w:tc>
          <w:tcPr>
            <w:tcW w:w="4876" w:type="dxa"/>
            <w:hideMark/>
          </w:tcPr>
          <w:p w:rsidR="00FD386D" w:rsidRPr="000A4497" w:rsidRDefault="00FD386D" w:rsidP="002D21D3">
            <w:pPr>
              <w:pStyle w:val="Normal6"/>
              <w:rPr>
                <w:szCs w:val="24"/>
              </w:rPr>
            </w:pPr>
            <w:r w:rsidRPr="000A4497">
              <w:t>(1)</w:t>
            </w:r>
            <w:r w:rsidRPr="000A4497">
              <w:tab/>
              <w:t xml:space="preserve">Az 5. cikk (3) bekezdés alkalmazásában a tagállamok biztosítják, hogy a feljogosított </w:t>
            </w:r>
            <w:r w:rsidRPr="000A4497">
              <w:rPr>
                <w:b/>
                <w:i/>
              </w:rPr>
              <w:t xml:space="preserve">képviseleti </w:t>
            </w:r>
            <w:r w:rsidRPr="000A4497">
              <w:t xml:space="preserve">egységek jogosultak legyenek képviseleti eljárások indítására olyan jogorvoslati határozat érdekében, amely a kereskedő számára előírják többek között a kártérítést, a javítást, a cserét, az árcsökkentést, a szerződés megszüntetését vagy adott esetben a kifizetett ár visszatérítését. A tagállamok előírhatják </w:t>
            </w:r>
            <w:r w:rsidRPr="000A4497">
              <w:rPr>
                <w:b/>
                <w:i/>
              </w:rPr>
              <w:t xml:space="preserve">– vagy nem – </w:t>
            </w:r>
            <w:r w:rsidRPr="000A4497">
              <w:t>a meghatalmazást az érintett fogyasztók részéről a jogorvoslati határozat meghozatala előtt.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61</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cikk – 1 bekezdés – 1 a albekezdés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(1a)</w:t>
            </w:r>
            <w:r w:rsidRPr="000A4497">
              <w:rPr>
                <w:b/>
                <w:i/>
              </w:rPr>
              <w:tab/>
              <w:t>Amennyiben egy tagállam nem írja elő az egyéni fogyasztó meghatalmazását a képviseleti eljáráshoz való csatlakozás feltételeként, a szóban forgó tagállam ugyanakkor lehetővé teheti, hogy az eljárás helye szerinti tagállamban szokásos lakóhellyel nem rendelkező magánszemélyek részt vehessenek a képviseleti eljárásban, amennyiben az adott határidőn belül egyértelmű meghatalmazást adnak a képviseleti eljárásban való részvételre.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62</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cikk – 1 bekezdés – 2 albekezdés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 xml:space="preserve">A feljogosított </w:t>
            </w:r>
            <w:r w:rsidRPr="000A4497">
              <w:rPr>
                <w:b/>
                <w:i/>
              </w:rPr>
              <w:t>egységeknek</w:t>
            </w:r>
            <w:r w:rsidRPr="000A4497">
              <w:t xml:space="preserve"> a nemzeti jogban </w:t>
            </w:r>
            <w:r w:rsidRPr="000A4497">
              <w:rPr>
                <w:b/>
                <w:i/>
              </w:rPr>
              <w:t>foglatak</w:t>
            </w:r>
            <w:r w:rsidRPr="000A4497">
              <w:t xml:space="preserve"> szerint </w:t>
            </w:r>
            <w:r w:rsidRPr="000A4497">
              <w:rPr>
                <w:b/>
                <w:i/>
              </w:rPr>
              <w:t>elegendő</w:t>
            </w:r>
            <w:r w:rsidRPr="000A4497">
              <w:t xml:space="preserve"> információt kell </w:t>
            </w:r>
            <w:r w:rsidRPr="000A4497">
              <w:rPr>
                <w:b/>
                <w:i/>
              </w:rPr>
              <w:t>szolgáltatnia</w:t>
            </w:r>
            <w:r w:rsidRPr="000A4497">
              <w:t xml:space="preserve"> az intézkedés alátámasztásához, beleértve a cselekvés által érintett fogyasztók leírását, valamint a megoldandó ténybeli és jogi kérdéseket.</w:t>
            </w:r>
          </w:p>
        </w:tc>
        <w:tc>
          <w:tcPr>
            <w:tcW w:w="4876" w:type="dxa"/>
            <w:hideMark/>
          </w:tcPr>
          <w:p w:rsidR="00FD386D" w:rsidRPr="000A4497" w:rsidRDefault="00FD386D" w:rsidP="002D21D3">
            <w:pPr>
              <w:pStyle w:val="Normal6"/>
              <w:rPr>
                <w:szCs w:val="24"/>
              </w:rPr>
            </w:pPr>
            <w:r w:rsidRPr="000A4497">
              <w:t xml:space="preserve">A feljogosított </w:t>
            </w:r>
            <w:r w:rsidRPr="000A4497">
              <w:rPr>
                <w:b/>
                <w:i/>
              </w:rPr>
              <w:t>képviseleti egységnek</w:t>
            </w:r>
            <w:r w:rsidRPr="000A4497">
              <w:t xml:space="preserve"> a nemzeti jogban </w:t>
            </w:r>
            <w:r w:rsidRPr="000A4497">
              <w:rPr>
                <w:b/>
                <w:i/>
              </w:rPr>
              <w:t>foglaltak</w:t>
            </w:r>
            <w:r w:rsidRPr="000A4497">
              <w:t xml:space="preserve"> szerint </w:t>
            </w:r>
            <w:r w:rsidRPr="000A4497">
              <w:rPr>
                <w:b/>
                <w:i/>
              </w:rPr>
              <w:t>minden szükséges</w:t>
            </w:r>
            <w:r w:rsidRPr="000A4497">
              <w:t xml:space="preserve"> információt </w:t>
            </w:r>
            <w:r w:rsidRPr="000A4497">
              <w:rPr>
                <w:b/>
                <w:i/>
              </w:rPr>
              <w:t xml:space="preserve">át </w:t>
            </w:r>
            <w:r w:rsidRPr="000A4497">
              <w:t xml:space="preserve">kell </w:t>
            </w:r>
            <w:r w:rsidRPr="000A4497">
              <w:rPr>
                <w:b/>
                <w:i/>
              </w:rPr>
              <w:t>adnia</w:t>
            </w:r>
            <w:r w:rsidRPr="000A4497">
              <w:t xml:space="preserve"> az intézkedés alátámasztásához, beleértve a cselekvés által érintett fogyasztók leírását, valamint a megoldandó ténybeli és jogi kérdéseket.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cikk – 2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(2)</w:t>
            </w:r>
            <w:r w:rsidRPr="000A4497">
              <w:rPr>
                <w:b/>
                <w:i/>
              </w:rPr>
              <w:tab/>
              <w:t>Az (1) bekezdéstől eltérve, a tagállamok felhatalmazhatnak egy bíróságot vagy közigazgatási hatóságot arra, hogy jogorvoslati határozat helyett a kereskedő az I. mellékletben felsorolt uniós jogi aktusok megsértésével kárt szenvedett fogyasztók felé fennálló felelősségét megállapító határozatot hozzon kellően indokolt esetekben, amennyiben az érintett fogyasztókat érő egyéni sérelem jellege miatt az egyéni jogorvoslat számszerűsítése bonyolult.</w:t>
            </w:r>
          </w:p>
        </w:tc>
        <w:tc>
          <w:tcPr>
            <w:tcW w:w="4876" w:type="dxa"/>
            <w:hideMark/>
          </w:tcPr>
          <w:p w:rsidR="00FD386D" w:rsidRPr="000A4497" w:rsidRDefault="00FD386D" w:rsidP="002D21D3">
            <w:pPr>
              <w:pStyle w:val="Normal6"/>
              <w:rPr>
                <w:szCs w:val="24"/>
              </w:rPr>
            </w:pPr>
            <w:r w:rsidRPr="000A4497">
              <w:rPr>
                <w:b/>
                <w:i/>
              </w:rPr>
              <w:t>törölve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cikk – 3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(3)</w:t>
            </w:r>
            <w:r w:rsidRPr="000A4497">
              <w:rPr>
                <w:b/>
                <w:i/>
              </w:rPr>
              <w:tab/>
              <w:t>A (2) bekezdés nem alkalmazandó amennyiben:</w:t>
            </w:r>
          </w:p>
        </w:tc>
        <w:tc>
          <w:tcPr>
            <w:tcW w:w="4876" w:type="dxa"/>
            <w:hideMark/>
          </w:tcPr>
          <w:p w:rsidR="00FD386D" w:rsidRPr="000A4497" w:rsidRDefault="00FD386D" w:rsidP="002D21D3">
            <w:pPr>
              <w:pStyle w:val="Normal6"/>
              <w:rPr>
                <w:szCs w:val="24"/>
              </w:rPr>
            </w:pPr>
            <w:r w:rsidRPr="000A4497">
              <w:rPr>
                <w:b/>
                <w:i/>
              </w:rPr>
              <w:t>törölve</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a)</w:t>
            </w:r>
            <w:r w:rsidRPr="000A4497">
              <w:rPr>
                <w:b/>
                <w:i/>
              </w:rPr>
              <w:tab/>
              <w:t xml:space="preserve">a jogsértés által érintett fogyasztók azonosíthatók és ugyanazon gyakorlat okozta hasonló sérelmet szenvedtek egy időszak vagy egy vásárlás során. Ilyen esetekben az egyes érintett fogyasztóktól </w:t>
            </w:r>
            <w:r w:rsidRPr="000A4497">
              <w:rPr>
                <w:b/>
                <w:i/>
              </w:rPr>
              <w:lastRenderedPageBreak/>
              <w:t>származó meghatalmazás nem képezi a kereset benyújtásának feltételét. A jogorvoslatot az érintett fogyasztóknak kell címezni;</w:t>
            </w:r>
          </w:p>
        </w:tc>
        <w:tc>
          <w:tcPr>
            <w:tcW w:w="4876" w:type="dxa"/>
          </w:tcPr>
          <w:p w:rsidR="00FD386D" w:rsidRPr="000A4497" w:rsidRDefault="00FD386D" w:rsidP="002D21D3">
            <w:pPr>
              <w:pStyle w:val="Normal6"/>
              <w:rPr>
                <w:szCs w:val="24"/>
              </w:rPr>
            </w:pPr>
          </w:p>
        </w:tc>
      </w:tr>
      <w:tr w:rsidR="00FD386D" w:rsidRPr="000A4497" w:rsidTr="002D21D3">
        <w:trPr>
          <w:jc w:val="center"/>
        </w:trPr>
        <w:tc>
          <w:tcPr>
            <w:tcW w:w="4876" w:type="dxa"/>
            <w:hideMark/>
          </w:tcPr>
          <w:p w:rsidR="00FD386D" w:rsidRPr="000A4497" w:rsidRDefault="00FD386D" w:rsidP="002D21D3">
            <w:pPr>
              <w:pStyle w:val="Normal6"/>
            </w:pPr>
            <w:r w:rsidRPr="000A4497">
              <w:rPr>
                <w:b/>
                <w:i/>
              </w:rPr>
              <w:t>b)</w:t>
            </w:r>
            <w:r w:rsidRPr="000A4497">
              <w:rPr>
                <w:b/>
                <w:i/>
              </w:rPr>
              <w:tab/>
              <w:t>a fogyasztók kis mértékű veszteséget szenvedtek el, és aránytalan lenne a jogorvoslat megosztása közöttük. Ilyen esetekben a tagállamok biztosítják, hogy az érintett fogyasztóktól származó meghatalmazás ne legyen feltétel. A jogorvoslatot a fogyasztók kollektív érdekeit szolgáló közérdekű célra kell fordítani.</w:t>
            </w:r>
          </w:p>
        </w:tc>
        <w:tc>
          <w:tcPr>
            <w:tcW w:w="4876" w:type="dxa"/>
          </w:tcPr>
          <w:p w:rsidR="00FD386D" w:rsidRPr="000A4497" w:rsidRDefault="00FD386D" w:rsidP="002D21D3">
            <w:pPr>
              <w:pStyle w:val="Normal6"/>
              <w:rPr>
                <w:szCs w:val="24"/>
              </w:rPr>
            </w:pP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cikk – 4 bekezdés</w:t>
      </w:r>
    </w:p>
    <w:p w:rsidR="00FD386D" w:rsidRPr="000A4497" w:rsidRDefault="00FD386D" w:rsidP="00FD386D"/>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(4)</w:t>
            </w:r>
            <w:r w:rsidRPr="000A4497">
              <w:tab/>
              <w:t>Az (1), (2) és (3) bekezdés szerinti jogerős határozatba foglat jogorvoslat nem érinti az érintett fogyasztók uniós vagy nemzeti jog szerinti bármely esetleges további jogorvoslati jogát.</w:t>
            </w:r>
          </w:p>
        </w:tc>
        <w:tc>
          <w:tcPr>
            <w:tcW w:w="4876" w:type="dxa"/>
            <w:hideMark/>
          </w:tcPr>
          <w:p w:rsidR="00FD386D" w:rsidRPr="000A4497" w:rsidRDefault="00FD386D" w:rsidP="002D21D3">
            <w:pPr>
              <w:pStyle w:val="Normal6"/>
              <w:rPr>
                <w:b/>
                <w:i/>
                <w:szCs w:val="24"/>
              </w:rPr>
            </w:pPr>
            <w:r w:rsidRPr="000A4497">
              <w:t>(4)</w:t>
            </w:r>
            <w:r w:rsidRPr="000A4497">
              <w:tab/>
              <w:t xml:space="preserve">Az (1) bekezdés szerinti jogerős határozatba foglalt jogorvoslat nem érinti az érintett fogyasztók uniós vagy nemzeti jog szerinti bármely esetleges további jogorvoslati jogát. </w:t>
            </w:r>
            <w:r w:rsidRPr="000A4497">
              <w:rPr>
                <w:b/>
                <w:i/>
              </w:rPr>
              <w:t>A jogerő elvét tiszteletben kell tartani e rendelkezés alkalmazása során.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66</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cikk – 4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(4a)</w:t>
            </w:r>
            <w:r w:rsidRPr="000A4497">
              <w:rPr>
                <w:b/>
                <w:i/>
              </w:rPr>
              <w:tab/>
              <w:t xml:space="preserve">A jogorvoslati intézkedések célja, hogy veszteségeikért teljes kártérítést biztosítsanak az érintett fogyasztók részére. Amennyiben a kártérítést követően még fennmarad összeg, a bíróság dönt annak kifizetéséről. A fennmaradó összegek nem kerülhetnek a feljogosított képviseleti egységhez vagy a </w:t>
            </w:r>
            <w:r w:rsidRPr="000A4497">
              <w:rPr>
                <w:b/>
                <w:i/>
              </w:rPr>
              <w:lastRenderedPageBreak/>
              <w:t>kereskedőhöz.</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67</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6 cikk – 4 b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(4b)</w:t>
            </w:r>
            <w:r w:rsidRPr="000A4497">
              <w:rPr>
                <w:b/>
                <w:i/>
              </w:rPr>
              <w:tab/>
              <w:t>Különösen kerülendő a büntető kártérítés, amelynek következtében a felperes az elszenvedett kár mértékét meghaladó kártérítésben részesül. A kollektív károkozással járó helyzetben kárt szenvedett fogyasztóknak megítélt kártérítés nem haladhatja meg a kereskedő által az alkalmazandó nemzeti vagy uniós jognak megfelelően a tényleges egyéni kár fedezésére fizetendő összeget.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7 cikk – cím</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Finanszírozás</w:t>
            </w:r>
          </w:p>
        </w:tc>
        <w:tc>
          <w:tcPr>
            <w:tcW w:w="4876" w:type="dxa"/>
            <w:hideMark/>
          </w:tcPr>
          <w:p w:rsidR="00FD386D" w:rsidRPr="000A4497" w:rsidRDefault="00FD386D" w:rsidP="002D21D3">
            <w:pPr>
              <w:pStyle w:val="Normal6"/>
              <w:rPr>
                <w:szCs w:val="24"/>
              </w:rPr>
            </w:pPr>
            <w:r w:rsidRPr="000A4497">
              <w:rPr>
                <w:b/>
                <w:i/>
              </w:rPr>
              <w:t>A képviseleti kereset elfogadhatósága</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69</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7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t xml:space="preserve">A 6. cikk (1) </w:t>
            </w:r>
            <w:r w:rsidRPr="000A4497">
              <w:rPr>
                <w:b/>
                <w:i/>
              </w:rPr>
              <w:t>bekezdésében említett, jogorvoslatot igénylő feljogosított egység az eljárás korai</w:t>
            </w:r>
            <w:r w:rsidRPr="000A4497">
              <w:t xml:space="preserve"> szakaszában </w:t>
            </w:r>
            <w:r w:rsidRPr="000A4497">
              <w:rPr>
                <w:b/>
                <w:i/>
              </w:rPr>
              <w:t>bejelenti</w:t>
            </w:r>
            <w:r w:rsidRPr="000A4497">
              <w:t xml:space="preserve"> a </w:t>
            </w:r>
            <w:r w:rsidRPr="000A4497">
              <w:rPr>
                <w:b/>
                <w:i/>
              </w:rPr>
              <w:t>tevékenységéhez</w:t>
            </w:r>
            <w:r w:rsidRPr="000A4497">
              <w:t xml:space="preserve"> általában és az </w:t>
            </w:r>
            <w:r w:rsidRPr="000A4497">
              <w:rPr>
                <w:b/>
                <w:i/>
              </w:rPr>
              <w:t>eljárásban</w:t>
            </w:r>
            <w:r w:rsidRPr="000A4497">
              <w:t xml:space="preserve"> felhasznált </w:t>
            </w:r>
            <w:r w:rsidRPr="000A4497">
              <w:rPr>
                <w:b/>
                <w:i/>
              </w:rPr>
              <w:t>pénzeszközök forrását</w:t>
            </w:r>
            <w:r w:rsidRPr="000A4497">
              <w:t xml:space="preserve">. Bizonyítania kell, hogy elegendő pénzügyi </w:t>
            </w:r>
            <w:r w:rsidRPr="000A4497">
              <w:lastRenderedPageBreak/>
              <w:t>forrással rendelkezik ahhoz, hogy az érintett fogyasztók érdekeit képviselje, és hogy a kereset sikertelensége esetén minden abból adódó költséget fedezni tudjon.</w:t>
            </w:r>
          </w:p>
        </w:tc>
        <w:tc>
          <w:tcPr>
            <w:tcW w:w="4876" w:type="dxa"/>
            <w:hideMark/>
          </w:tcPr>
          <w:p w:rsidR="00FD386D" w:rsidRPr="000A4497" w:rsidRDefault="00FD386D" w:rsidP="002D21D3">
            <w:pPr>
              <w:pStyle w:val="Normal6"/>
              <w:rPr>
                <w:szCs w:val="24"/>
              </w:rPr>
            </w:pPr>
            <w:r w:rsidRPr="000A4497">
              <w:lastRenderedPageBreak/>
              <w:t>(1)</w:t>
            </w:r>
            <w:r w:rsidRPr="000A4497">
              <w:tab/>
              <w:t xml:space="preserve">A </w:t>
            </w:r>
            <w:r w:rsidRPr="000A4497">
              <w:rPr>
                <w:b/>
                <w:i/>
              </w:rPr>
              <w:t xml:space="preserve">jogorvoslatot igénylő feljogosított képviseleti egységnek a </w:t>
            </w:r>
            <w:r w:rsidRPr="000A4497">
              <w:t xml:space="preserve">6. cikk (1) </w:t>
            </w:r>
            <w:r w:rsidRPr="000A4497">
              <w:rPr>
                <w:b/>
                <w:i/>
              </w:rPr>
              <w:t>bekezdése alapján az összeférhetetlenség kizárásának bizonyítékaként a kereset legkorábbi</w:t>
            </w:r>
            <w:r w:rsidRPr="000A4497">
              <w:t xml:space="preserve"> szakaszában </w:t>
            </w:r>
            <w:r w:rsidRPr="000A4497">
              <w:rPr>
                <w:b/>
                <w:i/>
              </w:rPr>
              <w:t>be kell nyújtania</w:t>
            </w:r>
            <w:r w:rsidRPr="000A4497">
              <w:t xml:space="preserve"> a </w:t>
            </w:r>
            <w:r w:rsidRPr="000A4497">
              <w:rPr>
                <w:b/>
                <w:i/>
              </w:rPr>
              <w:t xml:space="preserve">bíróságnak vagy a közigazgatási </w:t>
            </w:r>
            <w:r w:rsidRPr="000A4497">
              <w:rPr>
                <w:b/>
                <w:i/>
              </w:rPr>
              <w:lastRenderedPageBreak/>
              <w:t>hatóságnak egy teljes pénzügyi áttekintést, amely felsorolja a tevékenységéhez</w:t>
            </w:r>
            <w:r w:rsidRPr="000A4497">
              <w:t xml:space="preserve"> általában </w:t>
            </w:r>
            <w:r w:rsidRPr="000A4497">
              <w:rPr>
                <w:b/>
                <w:i/>
              </w:rPr>
              <w:t xml:space="preserve">használt összes finanszírozási forrást </w:t>
            </w:r>
            <w:r w:rsidRPr="000A4497">
              <w:t xml:space="preserve">és az </w:t>
            </w:r>
            <w:r w:rsidRPr="000A4497">
              <w:rPr>
                <w:b/>
                <w:i/>
              </w:rPr>
              <w:t>eljáráshoz</w:t>
            </w:r>
            <w:r w:rsidRPr="000A4497">
              <w:t xml:space="preserve"> felhasznált </w:t>
            </w:r>
            <w:r w:rsidRPr="000A4497">
              <w:rPr>
                <w:b/>
                <w:i/>
              </w:rPr>
              <w:t>pénzeszközöket</w:t>
            </w:r>
            <w:r w:rsidRPr="000A4497">
              <w:t>. Bizonyítania kell, hogy elegendő pénzügyi forrással rendelkezik ahhoz, hogy az érintett fogyasztók érdekeit képviselje, és hogy a kereset sikertelensége esetén minden abból adódó költséget fedezni tudjon.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70</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7 cikk – 2 bekezdés</w:t>
      </w:r>
    </w:p>
    <w:p w:rsidR="00FD386D" w:rsidRPr="000A4497" w:rsidRDefault="00FD386D" w:rsidP="00FD386D"/>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(2)</w:t>
            </w:r>
            <w:r w:rsidRPr="000A4497">
              <w:tab/>
              <w:t>A tagállamok biztosítják, hogy olyan esetekben, amikor a jogorvoslaté érdekében indított képviseleti eljárást harmadik fél finanszírozza, a harmadik fél számára tilos legyen:</w:t>
            </w:r>
          </w:p>
        </w:tc>
        <w:tc>
          <w:tcPr>
            <w:tcW w:w="4876" w:type="dxa"/>
            <w:hideMark/>
          </w:tcPr>
          <w:p w:rsidR="00FD386D" w:rsidRPr="000A4497" w:rsidRDefault="00FD386D" w:rsidP="002D21D3">
            <w:pPr>
              <w:pStyle w:val="Normal6"/>
              <w:rPr>
                <w:b/>
                <w:i/>
                <w:szCs w:val="24"/>
              </w:rPr>
            </w:pPr>
            <w:r w:rsidRPr="000A4497">
              <w:t>(2)</w:t>
            </w:r>
            <w:r w:rsidRPr="000A4497">
              <w:tab/>
            </w:r>
            <w:r w:rsidRPr="000A4497">
              <w:rPr>
                <w:b/>
                <w:i/>
              </w:rPr>
              <w:t>A képviseleti keresetet a nemzeti bíróság elfogadhatatlannak nyilváníthatja, ha megállapítja, hogy a harmadik fél által nyújtott finanszírozás célja:</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71</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7 cikk – 2 bekezdés – a pont</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a)</w:t>
            </w:r>
            <w:r w:rsidRPr="000A4497">
              <w:tab/>
              <w:t>a feljogosított egység döntéseinek befolyásolása valamely képviseleti eljárással összefüggésben, beleértve a peren kívüli egyezségeket is;</w:t>
            </w:r>
          </w:p>
        </w:tc>
        <w:tc>
          <w:tcPr>
            <w:tcW w:w="4876" w:type="dxa"/>
            <w:hideMark/>
          </w:tcPr>
          <w:p w:rsidR="00FD386D" w:rsidRPr="000A4497" w:rsidRDefault="00FD386D" w:rsidP="002D21D3">
            <w:pPr>
              <w:pStyle w:val="Normal6"/>
              <w:rPr>
                <w:szCs w:val="24"/>
              </w:rPr>
            </w:pPr>
            <w:r w:rsidRPr="000A4497">
              <w:t>a)</w:t>
            </w:r>
            <w:r w:rsidRPr="000A4497">
              <w:tab/>
              <w:t xml:space="preserve">a feljogosított </w:t>
            </w:r>
            <w:r w:rsidRPr="000A4497">
              <w:rPr>
                <w:b/>
                <w:i/>
              </w:rPr>
              <w:t xml:space="preserve">képviseleti </w:t>
            </w:r>
            <w:r w:rsidRPr="000A4497">
              <w:t>egység döntéseinek befolyásolása valamely képviseleti eljárással összefüggésben, beleértve</w:t>
            </w:r>
            <w:r w:rsidRPr="000A4497">
              <w:rPr>
                <w:b/>
                <w:i/>
              </w:rPr>
              <w:t xml:space="preserve"> a képviseleti eljárások kezdeményezését és</w:t>
            </w:r>
            <w:r w:rsidRPr="000A4497">
              <w:t xml:space="preserve"> a peren kívüli egyezségeket is;</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72</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7 cikk – 3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w:t>
            </w:r>
            <w:r w:rsidRPr="000A4497">
              <w:tab/>
              <w:t xml:space="preserve">A tagállamok biztosítják, hogy a bíróságok és a közigazgatási hatóságok </w:t>
            </w:r>
            <w:r w:rsidRPr="000A4497">
              <w:rPr>
                <w:b/>
                <w:i/>
              </w:rPr>
              <w:t>felhatalmazást kapjanak az (2) bekezdésben említett</w:t>
            </w:r>
            <w:r w:rsidRPr="000A4497">
              <w:t xml:space="preserve"> körülmények </w:t>
            </w:r>
            <w:r w:rsidRPr="000A4497">
              <w:rPr>
                <w:b/>
                <w:i/>
              </w:rPr>
              <w:t>vizsgálatára, és ennek megfelelően előírják</w:t>
            </w:r>
            <w:r w:rsidRPr="000A4497">
              <w:t xml:space="preserve"> a </w:t>
            </w:r>
            <w:r w:rsidRPr="000A4497">
              <w:rPr>
                <w:b/>
                <w:i/>
              </w:rPr>
              <w:t>feljogosított egység számára a megfelelő finanszírozás elutasítását, és amennyiben szükséges, egyedi ügyben elutasítsák</w:t>
            </w:r>
            <w:r w:rsidRPr="000A4497">
              <w:t xml:space="preserve"> a </w:t>
            </w:r>
            <w:r w:rsidRPr="000A4497">
              <w:rPr>
                <w:b/>
                <w:i/>
              </w:rPr>
              <w:t>feljogosított egység jogállását</w:t>
            </w:r>
            <w:r w:rsidRPr="000A4497">
              <w:t>.</w:t>
            </w:r>
          </w:p>
        </w:tc>
        <w:tc>
          <w:tcPr>
            <w:tcW w:w="4876" w:type="dxa"/>
            <w:hideMark/>
          </w:tcPr>
          <w:p w:rsidR="00FD386D" w:rsidRPr="000A4497" w:rsidRDefault="00FD386D" w:rsidP="002D21D3">
            <w:pPr>
              <w:pStyle w:val="Normal6"/>
              <w:rPr>
                <w:szCs w:val="24"/>
              </w:rPr>
            </w:pPr>
            <w:r w:rsidRPr="000A4497">
              <w:t>(3)</w:t>
            </w:r>
            <w:r w:rsidRPr="000A4497">
              <w:tab/>
              <w:t xml:space="preserve">A tagállamok biztosítják, hogy a bíróságok és a közigazgatási hatóságok </w:t>
            </w:r>
            <w:r w:rsidRPr="000A4497">
              <w:rPr>
                <w:b/>
                <w:i/>
              </w:rPr>
              <w:t>a képviseleti eljárás elfogadhatóságának megállapításakor, vagy – ha a</w:t>
            </w:r>
            <w:r w:rsidRPr="000A4497">
              <w:t xml:space="preserve"> körülmények </w:t>
            </w:r>
            <w:r w:rsidRPr="000A4497">
              <w:rPr>
                <w:b/>
                <w:i/>
              </w:rPr>
              <w:t>csak ezt teszik lehetővé –</w:t>
            </w:r>
            <w:r w:rsidRPr="000A4497">
              <w:t xml:space="preserve"> a </w:t>
            </w:r>
            <w:r w:rsidRPr="000A4497">
              <w:rPr>
                <w:b/>
                <w:i/>
              </w:rPr>
              <w:t>bírósági eljárás egy későbbi szakaszában megvizsgálják az összeférhetetlenség (1) bekezdés szerinti kizárhatóságát és</w:t>
            </w:r>
            <w:r w:rsidRPr="000A4497">
              <w:t xml:space="preserve"> a </w:t>
            </w:r>
            <w:r w:rsidRPr="000A4497">
              <w:rPr>
                <w:b/>
                <w:i/>
              </w:rPr>
              <w:t>(2) bekezdésben említett körülményeket</w:t>
            </w:r>
            <w:r w:rsidRPr="000A4497">
              <w: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7 cikk – 3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(3a)</w:t>
            </w:r>
            <w:r w:rsidRPr="000A4497">
              <w:rPr>
                <w:b/>
                <w:i/>
              </w:rPr>
              <w:tab/>
              <w:t>A tagállamok azt is biztosítják, hogy a bíróság vagy közigazgatási hatóság hatáskörrel rendelkezzen a nyilvánvalóan megalapozatlan ügyek az eljárás lehető legkorábbi szakaszában történő elutasítására.</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7 a cikk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jc w:val="center"/>
              <w:rPr>
                <w:szCs w:val="24"/>
              </w:rPr>
            </w:pPr>
            <w:r w:rsidRPr="000A4497">
              <w:rPr>
                <w:b/>
                <w:i/>
              </w:rPr>
              <w:t>7a. cikk</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jc w:val="center"/>
              <w:rPr>
                <w:szCs w:val="24"/>
              </w:rPr>
            </w:pPr>
            <w:r w:rsidRPr="000A4497">
              <w:rPr>
                <w:b/>
                <w:i/>
              </w:rPr>
              <w:t>A „vesztes fizet” elve</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 xml:space="preserve">A tagállamok biztosítják, hogy a kollektív jogorvoslati keresetet elveszítő fél a nemzeti jogban előírt feltételek mellett megtérítse a nyertes fél által viselt perköltségeket. A bíróság vagy a közigazgatási hatóság azonban nem ítéli meg a költségeket a nyertes fél részére, </w:t>
            </w:r>
            <w:r w:rsidRPr="000A4497">
              <w:rPr>
                <w:b/>
                <w:i/>
              </w:rPr>
              <w:lastRenderedPageBreak/>
              <w:t>amennyiben azok szükségtelenül merültek fel, vagy a követeléshez képest aránytalanok voltak.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8 cikk – 1 bekezdés</w:t>
      </w:r>
    </w:p>
    <w:p w:rsidR="00FD386D" w:rsidRPr="000A4497" w:rsidRDefault="00FD386D" w:rsidP="00FD386D"/>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rPr>
                <w:b/>
                <w:i/>
              </w:rPr>
            </w:pPr>
            <w:r w:rsidRPr="000A4497">
              <w:t>(1)</w:t>
            </w:r>
            <w:r w:rsidRPr="000A4497">
              <w:tab/>
              <w:t xml:space="preserve">A tagállamok rendelkezhetnek úgy, hogy egy feljogosított egység és egy kereskedő, akik a kereskedő állítólagosan jogellenes gyakorlata által érintett fogyasztók jogorvoslati ügyében egyezséget értek el, közösen kérhetik a bíróságot vagy közigazgatási hatóságot, hogy hagyja jóvá azt. </w:t>
            </w:r>
            <w:r w:rsidRPr="000A4497">
              <w:rPr>
                <w:b/>
                <w:i/>
              </w:rPr>
              <w:t>Az ilyen kérelmet a bíróságnak vagy közigazgatási hatóságnak csak abban az esetben kell elfogadnia, ha ugyanazon tagállam bírósága vagy közigazgatási hatósága előtt nincs folyamatban más képviseleti eljárás ugyanazon kereskedő és ugyanazon gyakorlat tekintetében.</w:t>
            </w:r>
          </w:p>
        </w:tc>
        <w:tc>
          <w:tcPr>
            <w:tcW w:w="4876" w:type="dxa"/>
          </w:tcPr>
          <w:p w:rsidR="00FD386D" w:rsidRPr="000A4497" w:rsidRDefault="00FD386D" w:rsidP="002D21D3">
            <w:pPr>
              <w:pStyle w:val="Normal6"/>
              <w:rPr>
                <w:szCs w:val="24"/>
              </w:rPr>
            </w:pPr>
            <w:r w:rsidRPr="000A4497">
              <w:t>(1)</w:t>
            </w:r>
            <w:r w:rsidRPr="000A4497">
              <w:tab/>
              <w:t xml:space="preserve">A tagállamok rendelkezhetnek úgy, hogy egy feljogosított </w:t>
            </w:r>
            <w:r w:rsidRPr="000A4497">
              <w:rPr>
                <w:b/>
                <w:i/>
              </w:rPr>
              <w:t xml:space="preserve">képviseleti </w:t>
            </w:r>
            <w:r w:rsidRPr="000A4497">
              <w:t xml:space="preserve">egység és egy kereskedő, akik a kereskedő állítólagosan jogellenes gyakorlata által érintett fogyasztók jogorvoslati ügyében egyezséget értek el, közösen kérhetik a bíróságot vagy közigazgatási hatóságot, hogy hagyja jóvá azt. </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76</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8 cikk – 6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(6)</w:t>
            </w:r>
            <w:r w:rsidRPr="000A4497">
              <w:tab/>
            </w:r>
            <w:r w:rsidRPr="000A4497">
              <w:rPr>
                <w:b/>
                <w:i/>
              </w:rPr>
              <w:t>Az érintett egyéni fogyasztók számára lehetőséget kell biztosítani arra, hogy elfogadják vagy elutasítsák az (1), (2) és (3) bekezdésben említett egyezségek kötelező erejét magukra nézve.</w:t>
            </w:r>
            <w:r w:rsidRPr="000A4497">
              <w:t xml:space="preserve"> </w:t>
            </w:r>
            <w:r w:rsidRPr="000A4497">
              <w:rPr>
                <w:b/>
                <w:i/>
              </w:rPr>
              <w:t>A</w:t>
            </w:r>
            <w:r w:rsidRPr="000A4497">
              <w:t xml:space="preserve"> (4) bekezdéssel összhangban jóváhagyott egyezség útján szerzett jogorvoslat nem érinti az érintett fogyasztók uniós vagy nemzeti jog szerinti bármely esetleges további jogorvoslati jogát.</w:t>
            </w:r>
          </w:p>
        </w:tc>
        <w:tc>
          <w:tcPr>
            <w:tcW w:w="4876" w:type="dxa"/>
            <w:hideMark/>
          </w:tcPr>
          <w:p w:rsidR="00FD386D" w:rsidRPr="000A4497" w:rsidRDefault="00FD386D" w:rsidP="002D21D3">
            <w:pPr>
              <w:pStyle w:val="Normal6"/>
              <w:rPr>
                <w:szCs w:val="24"/>
              </w:rPr>
            </w:pPr>
            <w:r w:rsidRPr="000A4497">
              <w:t>(6)</w:t>
            </w:r>
            <w:r w:rsidRPr="000A4497">
              <w:tab/>
            </w:r>
            <w:r w:rsidRPr="000A4497">
              <w:rPr>
                <w:b/>
                <w:i/>
              </w:rPr>
              <w:t>A</w:t>
            </w:r>
            <w:r w:rsidRPr="000A4497">
              <w:t xml:space="preserve"> (4) bekezdéssel összhangban jóváhagyott egyezség útján szerzett jogorvoslat</w:t>
            </w:r>
            <w:r w:rsidRPr="000A4497">
              <w:rPr>
                <w:b/>
                <w:i/>
              </w:rPr>
              <w:t xml:space="preserve"> az összes fél számára kötelező erejű, és</w:t>
            </w:r>
            <w:r w:rsidRPr="000A4497">
              <w:t xml:space="preserve"> nem érinti az érintett fogyasztók uniós vagy nemzeti jog szerinti bármely esetleges további jogorvoslati jogát.</w:t>
            </w:r>
          </w:p>
        </w:tc>
      </w:tr>
    </w:tbl>
    <w:p w:rsidR="00FD386D" w:rsidRPr="000A4497" w:rsidRDefault="00FD386D" w:rsidP="00FD386D"/>
    <w:p w:rsidR="00FD386D" w:rsidRPr="000A4497" w:rsidRDefault="00FD386D" w:rsidP="00FD386D">
      <w:pPr>
        <w:pStyle w:val="AMNumberTabs"/>
        <w:keepNext/>
      </w:pPr>
      <w:r w:rsidRPr="000A4497">
        <w:lastRenderedPageBreak/>
        <w:t>Módosítás</w:t>
      </w:r>
      <w:r w:rsidRPr="000A4497">
        <w:tab/>
      </w:r>
      <w:r w:rsidRPr="000A4497">
        <w:tab/>
        <w:t>77</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9 cikk – -1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(-1)</w:t>
            </w:r>
            <w:r w:rsidRPr="000A4497">
              <w:rPr>
                <w:b/>
                <w:i/>
              </w:rPr>
              <w:tab/>
              <w:t>A tagállamok biztosítják, hogy a képviseleti egységek:</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a)</w:t>
            </w:r>
            <w:r w:rsidR="00C03570" w:rsidRPr="000A4497">
              <w:rPr>
                <w:b/>
                <w:i/>
              </w:rPr>
              <w:tab/>
            </w:r>
            <w:r w:rsidRPr="000A4497">
              <w:rPr>
                <w:b/>
                <w:i/>
              </w:rPr>
              <w:t>tájékoztassák a fogyasztókat az uniós jog értelmében vélelmezett jogsértésről és arról a szándékról, hogy végzésért kell folyamodni vagy kártérítési kereset kell indítani</w:t>
            </w:r>
            <w:r w:rsidR="00C03570" w:rsidRPr="000A4497">
              <w:rPr>
                <w:b/>
                <w:i/>
              </w:rPr>
              <w:t>;</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b)</w:t>
            </w:r>
            <w:r w:rsidR="00C03570" w:rsidRPr="000A4497">
              <w:rPr>
                <w:b/>
                <w:i/>
              </w:rPr>
              <w:t xml:space="preserve"> </w:t>
            </w:r>
            <w:r w:rsidR="00C03570" w:rsidRPr="000A4497">
              <w:rPr>
                <w:b/>
                <w:i/>
              </w:rPr>
              <w:tab/>
            </w:r>
            <w:r w:rsidRPr="000A4497">
              <w:rPr>
                <w:b/>
                <w:i/>
              </w:rPr>
              <w:t>előzetesen tájékoztassák a fogyasztókat a perhez való csatlakozás lehetőségéről annak biztosítása érdekében, hogy az idevonatkozó dokumentumokat és az eljáráshoz szükséges egyéb információkat megtartsák</w:t>
            </w:r>
            <w:r w:rsidR="00C03570" w:rsidRPr="000A4497">
              <w:rPr>
                <w:b/>
                <w:i/>
              </w:rPr>
              <w:t>;</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 xml:space="preserve">c) </w:t>
            </w:r>
            <w:r w:rsidR="00C03570" w:rsidRPr="000A4497">
              <w:rPr>
                <w:b/>
                <w:i/>
              </w:rPr>
              <w:tab/>
            </w:r>
            <w:r w:rsidRPr="000A4497">
              <w:rPr>
                <w:b/>
                <w:i/>
              </w:rPr>
              <w:t>adott esetben tájékoztatást nyújtsanak a további lépésekről és az esetleges jogi következményekről.</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9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r>
            <w:r w:rsidRPr="000A4497">
              <w:rPr>
                <w:b/>
                <w:i/>
              </w:rPr>
              <w:t>A</w:t>
            </w:r>
            <w:r w:rsidRPr="000A4497">
              <w:t xml:space="preserve"> tagállamok gondoskodnak arról, hogy a bíróság vagy a közigazgatási hatóság a </w:t>
            </w:r>
            <w:r w:rsidRPr="000A4497">
              <w:rPr>
                <w:b/>
                <w:i/>
              </w:rPr>
              <w:t>jogsértő kereskedő</w:t>
            </w:r>
            <w:r w:rsidRPr="000A4497">
              <w:t xml:space="preserve"> számára előírja, hogy </w:t>
            </w:r>
            <w:r w:rsidRPr="000A4497">
              <w:rPr>
                <w:b/>
                <w:i/>
              </w:rPr>
              <w:t>a</w:t>
            </w:r>
            <w:r w:rsidRPr="000A4497">
              <w:t xml:space="preserve"> 5. és 6. cikkben említett intézkedéseket tartalmazó jogerős határozatokról valamint a 8. </w:t>
            </w:r>
            <w:r w:rsidRPr="000A4497">
              <w:rPr>
                <w:b/>
                <w:i/>
              </w:rPr>
              <w:t>cikk</w:t>
            </w:r>
            <w:r w:rsidRPr="000A4497">
              <w:t xml:space="preserve"> említett jóváhagyott egyezségekről az ügy körülményeinek megfelelően és meghatározott határidőn belül </w:t>
            </w:r>
            <w:r w:rsidRPr="000A4497">
              <w:rPr>
                <w:b/>
                <w:i/>
              </w:rPr>
              <w:t>tájékoztassa</w:t>
            </w:r>
            <w:r w:rsidRPr="000A4497">
              <w:t xml:space="preserve"> az érintett fogyasztókat, </w:t>
            </w:r>
            <w:r w:rsidRPr="000A4497">
              <w:rPr>
                <w:b/>
                <w:i/>
              </w:rPr>
              <w:t>beleértve adott esetben az összes érintett fogyasztó egyenkénti értesítését</w:t>
            </w:r>
            <w:r w:rsidRPr="000A4497">
              <w:t xml:space="preserve"> is.</w:t>
            </w:r>
          </w:p>
        </w:tc>
        <w:tc>
          <w:tcPr>
            <w:tcW w:w="4876" w:type="dxa"/>
            <w:hideMark/>
          </w:tcPr>
          <w:p w:rsidR="00FD386D" w:rsidRPr="000A4497" w:rsidRDefault="00FD386D" w:rsidP="002D21D3">
            <w:pPr>
              <w:pStyle w:val="Normal6"/>
              <w:rPr>
                <w:szCs w:val="24"/>
              </w:rPr>
            </w:pPr>
            <w:r w:rsidRPr="000A4497">
              <w:t>(1)</w:t>
            </w:r>
            <w:r w:rsidRPr="000A4497">
              <w:tab/>
            </w:r>
            <w:r w:rsidRPr="000A4497">
              <w:rPr>
                <w:b/>
                <w:i/>
              </w:rPr>
              <w:t>Amennyiben egy egyezség vagy jogerős határozat olyan fogyasztók javát szolgálja, akik esetleg nem tudnak róla, a</w:t>
            </w:r>
            <w:r w:rsidRPr="000A4497">
              <w:t xml:space="preserve"> tagállamok gondoskodnak arról, hogy a bíróság vagy a közigazgatási hatóság a </w:t>
            </w:r>
            <w:r w:rsidRPr="000A4497">
              <w:rPr>
                <w:b/>
                <w:i/>
              </w:rPr>
              <w:t>vesztes fél vagy mindkét fél</w:t>
            </w:r>
            <w:r w:rsidRPr="000A4497">
              <w:t xml:space="preserve"> számára előírja, hogy </w:t>
            </w:r>
            <w:r w:rsidRPr="000A4497">
              <w:rPr>
                <w:b/>
                <w:i/>
              </w:rPr>
              <w:t>az</w:t>
            </w:r>
            <w:r w:rsidRPr="000A4497">
              <w:t xml:space="preserve"> 5. és 6. cikkben említett intézkedéseket tartalmazó jogerős határozatokról</w:t>
            </w:r>
            <w:r w:rsidRPr="000A4497">
              <w:rPr>
                <w:b/>
                <w:i/>
              </w:rPr>
              <w:t>,</w:t>
            </w:r>
            <w:r w:rsidRPr="000A4497">
              <w:t xml:space="preserve"> valamint a 8. </w:t>
            </w:r>
            <w:r w:rsidRPr="000A4497">
              <w:rPr>
                <w:b/>
                <w:i/>
              </w:rPr>
              <w:t>cikkben</w:t>
            </w:r>
            <w:r w:rsidRPr="000A4497">
              <w:t xml:space="preserve"> említett jóváhagyott egyezségekről az ügy körülményeinek megfelelően és meghatározott határidőn belül </w:t>
            </w:r>
            <w:r w:rsidRPr="000A4497">
              <w:rPr>
                <w:b/>
                <w:i/>
              </w:rPr>
              <w:t>saját költségükre tájékoztassák</w:t>
            </w:r>
            <w:r w:rsidRPr="000A4497">
              <w:t xml:space="preserve"> az érintett </w:t>
            </w:r>
            <w:r w:rsidRPr="000A4497">
              <w:lastRenderedPageBreak/>
              <w:t>fogyasztókat</w:t>
            </w:r>
            <w:r w:rsidRPr="000A4497">
              <w:rPr>
                <w:b/>
                <w:i/>
              </w:rPr>
              <w:t>. A tagállamok rendelkezhetnek úgy</w:t>
            </w:r>
            <w:r w:rsidRPr="000A4497">
              <w:t xml:space="preserve">, </w:t>
            </w:r>
            <w:r w:rsidRPr="000A4497">
              <w:rPr>
                <w:b/>
                <w:i/>
              </w:rPr>
              <w:t>hogy a tájékoztatási kötelezettség nyilvánosan és könnyen hozzáférhető weboldalon keresztül</w:t>
            </w:r>
            <w:r w:rsidRPr="000A4497">
              <w:t xml:space="preserve"> is</w:t>
            </w:r>
            <w:r w:rsidRPr="000A4497">
              <w:rPr>
                <w:b/>
                <w:i/>
              </w:rPr>
              <w:t xml:space="preserve"> teljesíthető legyen</w:t>
            </w:r>
            <w:r w:rsidRPr="000A4497">
              <w: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79</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9 cikk – 1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(1a)</w:t>
            </w:r>
            <w:r w:rsidRPr="000A4497">
              <w:rPr>
                <w:b/>
                <w:i/>
              </w:rPr>
              <w:tab/>
              <w:t>A 7. cikkben megállapított elvvel összhangban a pervesztes fél viseli a fogyasztók tájékoztatásának költségét.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80</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9 cikk – 2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(2)</w:t>
            </w:r>
            <w:r w:rsidRPr="000A4497">
              <w:tab/>
              <w:t>Az (1) bekezdésben említett tájékoztatásnak érthető nyelven tartalmaznia kell a képviseleti eljárás tárgyát, jogi következményeit és adott ügyben az érintett fogyasztók által teendő későbbi lépéseket.</w:t>
            </w:r>
          </w:p>
        </w:tc>
        <w:tc>
          <w:tcPr>
            <w:tcW w:w="4876" w:type="dxa"/>
            <w:hideMark/>
          </w:tcPr>
          <w:p w:rsidR="00FD386D" w:rsidRPr="000A4497" w:rsidRDefault="00FD386D" w:rsidP="002D21D3">
            <w:pPr>
              <w:pStyle w:val="Normal6"/>
              <w:rPr>
                <w:szCs w:val="24"/>
              </w:rPr>
            </w:pPr>
            <w:r w:rsidRPr="000A4497">
              <w:t>(2)</w:t>
            </w:r>
            <w:r w:rsidRPr="000A4497">
              <w:tab/>
              <w:t xml:space="preserve">Az (1) bekezdésben említett tájékoztatásnak érthető nyelven tartalmaznia kell a képviseleti eljárás tárgyát, jogi következményeit és adott ügyben az érintett fogyasztók által teendő későbbi lépéseket. </w:t>
            </w:r>
            <w:r w:rsidRPr="000A4497">
              <w:rPr>
                <w:b/>
                <w:i/>
              </w:rPr>
              <w:t>A tájékoztatás módját és határidejét a bírósággal vagy a közigazgatási hatósággal egyeztetve kell kialakítani.</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81</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9 cikk – 2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(2a)</w:t>
            </w:r>
            <w:r w:rsidRPr="000A4497">
              <w:rPr>
                <w:b/>
                <w:i/>
              </w:rPr>
              <w:tab/>
              <w:t xml:space="preserve">A tagállamok gondoskodnak arról, hogy amennyiben egy keresetet egy </w:t>
            </w:r>
            <w:r w:rsidRPr="000A4497">
              <w:rPr>
                <w:b/>
                <w:i/>
              </w:rPr>
              <w:lastRenderedPageBreak/>
              <w:t>bíróság elfogadhatónak nyilvánított, a fogyasztók számára hozzáférhető módon, nyilvános weboldal útján online módon vagy adathordozón rendelkezésre álljanak az információk a soron következő, folyamatban lévő és lezárt kollektív eljárásokról.</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82</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9 cikk – 2 b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(2b)</w:t>
            </w:r>
            <w:r w:rsidRPr="000A4497">
              <w:rPr>
                <w:b/>
                <w:i/>
              </w:rPr>
              <w:tab/>
              <w:t>A tagállamok biztosítják, hogy a feljogosított egységek a keresetekről szóló tájékoztatása tényszerű legyen, és figyelembe vegye a fogyasztók a tájékoztatáshoz fűződő jogát, valamint az alperesek reputációs jogait és az üzleti titoktartáshoz való jogot.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10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t xml:space="preserve">A tagállamok biztosítják, hogy a közigazgatási hatóság vagy bíróság </w:t>
            </w:r>
            <w:r w:rsidRPr="000A4497">
              <w:rPr>
                <w:b/>
                <w:i/>
              </w:rPr>
              <w:t xml:space="preserve">fogyasztók kollektív érdekeit sértő jogsértést megállapító </w:t>
            </w:r>
            <w:r w:rsidRPr="000A4497">
              <w:t xml:space="preserve">jogerős határozata, beleértve </w:t>
            </w:r>
            <w:r w:rsidRPr="000A4497">
              <w:rPr>
                <w:b/>
                <w:i/>
              </w:rPr>
              <w:t>a</w:t>
            </w:r>
            <w:r w:rsidRPr="000A4497">
              <w:t xml:space="preserve"> 5. cikk (2) bekezdésének b) pontjában említett jogsértés megszüntetésre irányuló jogerős határozatot is, az említett </w:t>
            </w:r>
            <w:r w:rsidRPr="000A4497">
              <w:rPr>
                <w:b/>
                <w:i/>
              </w:rPr>
              <w:t>jogsértést</w:t>
            </w:r>
            <w:r w:rsidRPr="000A4497">
              <w:t xml:space="preserve"> kétséget kizáróan </w:t>
            </w:r>
            <w:r w:rsidRPr="000A4497">
              <w:rPr>
                <w:b/>
                <w:i/>
              </w:rPr>
              <w:t>megállapítónak</w:t>
            </w:r>
            <w:r w:rsidRPr="000A4497">
              <w:t xml:space="preserve"> minősüljön a nemzeti bíróságaik előtt ugyanazon </w:t>
            </w:r>
            <w:r w:rsidRPr="000A4497">
              <w:rPr>
                <w:b/>
                <w:i/>
              </w:rPr>
              <w:t>jogsértés</w:t>
            </w:r>
            <w:r w:rsidRPr="000A4497">
              <w:t xml:space="preserve"> miatt ugyanazon kereskedő ellen indított bármely más eljárás céljából.</w:t>
            </w:r>
          </w:p>
        </w:tc>
        <w:tc>
          <w:tcPr>
            <w:tcW w:w="4876" w:type="dxa"/>
            <w:hideMark/>
          </w:tcPr>
          <w:p w:rsidR="00FD386D" w:rsidRPr="000A4497" w:rsidRDefault="00FD386D" w:rsidP="002D21D3">
            <w:pPr>
              <w:pStyle w:val="Normal6"/>
              <w:rPr>
                <w:szCs w:val="24"/>
              </w:rPr>
            </w:pPr>
            <w:r w:rsidRPr="000A4497">
              <w:t>(1)</w:t>
            </w:r>
            <w:r w:rsidRPr="000A4497">
              <w:tab/>
              <w:t xml:space="preserve">A tagállamok biztosítják, hogy a közigazgatási hatóság vagy bíróság jogerős határozata, beleértve </w:t>
            </w:r>
            <w:r w:rsidRPr="000A4497">
              <w:rPr>
                <w:b/>
                <w:i/>
              </w:rPr>
              <w:t>az</w:t>
            </w:r>
            <w:r w:rsidRPr="000A4497">
              <w:t xml:space="preserve"> 5. cikk (2) bekezdésének b) pontjában említett jogsértés megszüntetésre irányuló jogerős határozatot is, az említett </w:t>
            </w:r>
            <w:r w:rsidRPr="000A4497">
              <w:rPr>
                <w:b/>
                <w:i/>
              </w:rPr>
              <w:t>jogsértés meglétét vagy meg nem létét</w:t>
            </w:r>
            <w:r w:rsidRPr="000A4497">
              <w:t xml:space="preserve"> kétséget kizáróan </w:t>
            </w:r>
            <w:r w:rsidRPr="000A4497">
              <w:rPr>
                <w:b/>
                <w:i/>
              </w:rPr>
              <w:t>megállapító bizonyítéknak</w:t>
            </w:r>
            <w:r w:rsidRPr="000A4497">
              <w:t xml:space="preserve"> minősüljön a nemzeti bíróságaik előtt ugyanazon </w:t>
            </w:r>
            <w:r w:rsidRPr="000A4497">
              <w:rPr>
                <w:b/>
                <w:i/>
              </w:rPr>
              <w:t>tények</w:t>
            </w:r>
            <w:r w:rsidRPr="000A4497">
              <w:t xml:space="preserve"> miatt ugyanazon kereskedő ellen indított bármely más eljárás céljából</w:t>
            </w:r>
            <w:r w:rsidRPr="000A4497">
              <w:rPr>
                <w:b/>
                <w:i/>
              </w:rPr>
              <w:t>, azzal a kitétellel, hogy ugyanazon káresetre nem lehet kétszer kártérítést nyújtani</w:t>
            </w:r>
            <w:r w:rsidRPr="000A4497">
              <w:t>.</w:t>
            </w:r>
          </w:p>
        </w:tc>
      </w:tr>
    </w:tbl>
    <w:p w:rsidR="00FD386D" w:rsidRPr="000A4497" w:rsidRDefault="00FD386D" w:rsidP="00FD386D"/>
    <w:p w:rsidR="00FD386D" w:rsidRPr="000A4497" w:rsidRDefault="00FD386D" w:rsidP="00FD386D">
      <w:pPr>
        <w:pStyle w:val="AMNumberTabs"/>
        <w:keepNext/>
      </w:pPr>
      <w:r w:rsidRPr="000A4497">
        <w:lastRenderedPageBreak/>
        <w:t>Módosítás</w:t>
      </w:r>
      <w:r w:rsidRPr="000A4497">
        <w:tab/>
      </w:r>
      <w:r w:rsidRPr="000A4497">
        <w:tab/>
        <w:t>84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10 cikk – 2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(2)</w:t>
            </w:r>
            <w:r w:rsidRPr="000A4497">
              <w:tab/>
              <w:t xml:space="preserve">A tagállamok gondoskodnak arról, hogy a másik tagállamban hozott, az (1) bekezdésben említett jogerős határozatot a nemzeti bíróságok vagy közigazgatási hatóságok </w:t>
            </w:r>
            <w:r w:rsidRPr="000A4497">
              <w:rPr>
                <w:b/>
                <w:i/>
              </w:rPr>
              <w:t>tekintsék megdönthető vélelemnek</w:t>
            </w:r>
            <w:r w:rsidRPr="000A4497">
              <w:t xml:space="preserve"> a jogsértés megtörténte szempontjából.</w:t>
            </w:r>
          </w:p>
        </w:tc>
        <w:tc>
          <w:tcPr>
            <w:tcW w:w="4876" w:type="dxa"/>
            <w:hideMark/>
          </w:tcPr>
          <w:p w:rsidR="00FD386D" w:rsidRPr="000A4497" w:rsidRDefault="00FD386D" w:rsidP="002D21D3">
            <w:pPr>
              <w:pStyle w:val="Normal6"/>
              <w:rPr>
                <w:szCs w:val="24"/>
              </w:rPr>
            </w:pPr>
            <w:r w:rsidRPr="000A4497">
              <w:t>(2)</w:t>
            </w:r>
            <w:r w:rsidRPr="000A4497">
              <w:tab/>
              <w:t xml:space="preserve">A tagállamok gondoskodnak arról, hogy a másik tagállamban hozott, az (1) bekezdésben említett jogerős határozatot a nemzeti bíróságok vagy közigazgatási hatóságok </w:t>
            </w:r>
            <w:r w:rsidRPr="000A4497">
              <w:rPr>
                <w:b/>
                <w:i/>
              </w:rPr>
              <w:t>legalább bizonyítéknak tekintsék</w:t>
            </w:r>
            <w:r w:rsidRPr="000A4497">
              <w:t xml:space="preserve"> a jogsértés megtörténte szempontjából.</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10 cikk – 2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(2a)</w:t>
            </w:r>
            <w:r w:rsidRPr="000A4497">
              <w:rPr>
                <w:b/>
                <w:i/>
              </w:rPr>
              <w:tab/>
              <w:t>A tagállamok gondoskodnak arról, hogy egy tagállamban egy jogsértés meglétéről vagy meg nem létéről hozott jogerős határozatot egy másik tagállam nemzeti bíróságához ugyanazon kereskedő ellen ugyanazon jogsértés miatt benyújtott jogorvoslati kérelem esetén elfogadott vélelemnek tekintsék.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86</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10 cikk – 3 bekezdés</w:t>
      </w:r>
    </w:p>
    <w:p w:rsidR="00FD386D" w:rsidRPr="000A4497" w:rsidRDefault="00FD386D" w:rsidP="00FD386D"/>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(3)</w:t>
            </w:r>
            <w:r w:rsidRPr="000A4497">
              <w:tab/>
              <w:t xml:space="preserve">A </w:t>
            </w:r>
            <w:r w:rsidRPr="000A4497">
              <w:rPr>
                <w:b/>
                <w:i/>
              </w:rPr>
              <w:t>tagállamok biztosítják</w:t>
            </w:r>
            <w:r w:rsidRPr="000A4497">
              <w:t xml:space="preserve">, hogy </w:t>
            </w:r>
            <w:r w:rsidRPr="000A4497">
              <w:rPr>
                <w:b/>
                <w:i/>
              </w:rPr>
              <w:t>a 6. cikk (2) bekezdésében említett jogerős megállapító határozat minősüljön megdönthetlennek</w:t>
            </w:r>
            <w:r w:rsidRPr="000A4497">
              <w:t xml:space="preserve"> a </w:t>
            </w:r>
            <w:r w:rsidRPr="000A4497">
              <w:rPr>
                <w:b/>
                <w:i/>
              </w:rPr>
              <w:t xml:space="preserve">kereskedő által a károsult fogyasztókkal szemben az elkövetett jogsértés miatt megállapított </w:t>
            </w:r>
            <w:r w:rsidRPr="000A4497">
              <w:rPr>
                <w:b/>
                <w:i/>
              </w:rPr>
              <w:lastRenderedPageBreak/>
              <w:t>felelőssége tekintetében bármely olyan eljárás céljából</w:t>
            </w:r>
            <w:r w:rsidRPr="000A4497">
              <w:t xml:space="preserve">, amely a </w:t>
            </w:r>
            <w:r w:rsidRPr="000A4497">
              <w:rPr>
                <w:b/>
                <w:i/>
              </w:rPr>
              <w:t>nemzeti bíróságaik előtti jogorvoslatra irányul az adott jogsértés tekintetében.</w:t>
            </w:r>
            <w:r w:rsidRPr="000A4497">
              <w:t xml:space="preserve"> </w:t>
            </w:r>
            <w:r w:rsidRPr="000A4497">
              <w:rPr>
                <w:b/>
                <w:i/>
              </w:rPr>
              <w:t>A tagállamok biztosítják, hogy a fogyasztók által egyénileg benyújtott ilyen jogorvoslati kereseteket megfelelő és egyszerűsített eljárásokban bírálják el.</w:t>
            </w:r>
          </w:p>
        </w:tc>
        <w:tc>
          <w:tcPr>
            <w:tcW w:w="4876" w:type="dxa"/>
            <w:hideMark/>
          </w:tcPr>
          <w:p w:rsidR="00FD386D" w:rsidRPr="000A4497" w:rsidRDefault="00FD386D" w:rsidP="002D21D3">
            <w:pPr>
              <w:pStyle w:val="Normal6"/>
              <w:rPr>
                <w:szCs w:val="24"/>
              </w:rPr>
            </w:pPr>
            <w:r w:rsidRPr="000A4497">
              <w:lastRenderedPageBreak/>
              <w:t>(3)</w:t>
            </w:r>
            <w:r w:rsidRPr="000A4497">
              <w:tab/>
              <w:t xml:space="preserve">A </w:t>
            </w:r>
            <w:r w:rsidRPr="000A4497">
              <w:rPr>
                <w:b/>
                <w:i/>
              </w:rPr>
              <w:t>tagállamokat arra ösztönzik</w:t>
            </w:r>
            <w:r w:rsidRPr="000A4497">
              <w:t xml:space="preserve">, hogy </w:t>
            </w:r>
            <w:r w:rsidRPr="000A4497">
              <w:rPr>
                <w:b/>
                <w:i/>
              </w:rPr>
              <w:t>egyrészt hozzanak létre</w:t>
            </w:r>
            <w:r w:rsidRPr="000A4497">
              <w:t xml:space="preserve"> a </w:t>
            </w:r>
            <w:r w:rsidRPr="000A4497">
              <w:rPr>
                <w:b/>
                <w:i/>
              </w:rPr>
              <w:t>jogorvoslati intézkedésekre vonatkozó valamennyi végleges határozatot tartalmazó adatbázist</w:t>
            </w:r>
            <w:r w:rsidRPr="000A4497">
              <w:t xml:space="preserve">, amely </w:t>
            </w:r>
            <w:r w:rsidRPr="000A4497">
              <w:rPr>
                <w:b/>
                <w:i/>
              </w:rPr>
              <w:t xml:space="preserve">megkönnyítheti </w:t>
            </w:r>
            <w:r w:rsidRPr="000A4497">
              <w:t xml:space="preserve">a </w:t>
            </w:r>
            <w:r w:rsidRPr="000A4497">
              <w:rPr>
                <w:b/>
                <w:i/>
              </w:rPr>
              <w:t xml:space="preserve">többi jogorvoslati intézkedés lefolytatását, </w:t>
            </w:r>
            <w:r w:rsidRPr="000A4497">
              <w:rPr>
                <w:b/>
                <w:i/>
              </w:rPr>
              <w:lastRenderedPageBreak/>
              <w:t>másrészt hogy osszák meg egymás között</w:t>
            </w:r>
            <w:r w:rsidRPr="000A4497">
              <w:t xml:space="preserve"> a </w:t>
            </w:r>
            <w:r w:rsidRPr="000A4497">
              <w:rPr>
                <w:b/>
                <w:i/>
              </w:rPr>
              <w:t>bevált gyakorlatokat</w:t>
            </w:r>
            <w:r w:rsidRPr="000A4497">
              <w:t>.</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87</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11 cikk – 1 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 xml:space="preserve">A tagállamok biztosítják, hogy </w:t>
            </w:r>
            <w:r w:rsidRPr="000A4497">
              <w:rPr>
                <w:b/>
                <w:i/>
              </w:rPr>
              <w:t>a</w:t>
            </w:r>
            <w:r w:rsidRPr="000A4497">
              <w:t xml:space="preserve"> 5. és 6. cikkben említett képviseleti eljárás megindítása felfüggessze vagy megszakítsa az érintett </w:t>
            </w:r>
            <w:r w:rsidRPr="000A4497">
              <w:rPr>
                <w:b/>
                <w:i/>
              </w:rPr>
              <w:t>fogyasztókat</w:t>
            </w:r>
            <w:r w:rsidRPr="000A4497">
              <w:t xml:space="preserve"> érintő jogorvoslati intézkedések elévülését, amennyiben az érintett jogokra az uniós vagy a nemzeti jog értelmében elévülési idő vonatkozik.</w:t>
            </w:r>
          </w:p>
        </w:tc>
        <w:tc>
          <w:tcPr>
            <w:tcW w:w="4876" w:type="dxa"/>
          </w:tcPr>
          <w:p w:rsidR="00FD386D" w:rsidRPr="000A4497" w:rsidRDefault="00FD386D" w:rsidP="002D21D3">
            <w:pPr>
              <w:pStyle w:val="Normal6"/>
            </w:pPr>
            <w:r w:rsidRPr="000A4497">
              <w:t xml:space="preserve">A tagállamok </w:t>
            </w:r>
            <w:r w:rsidRPr="000A4497">
              <w:rPr>
                <w:b/>
                <w:i/>
              </w:rPr>
              <w:t xml:space="preserve">a nemzeti joggal összhangban </w:t>
            </w:r>
            <w:r w:rsidRPr="000A4497">
              <w:t xml:space="preserve">biztosítják, hogy </w:t>
            </w:r>
            <w:r w:rsidRPr="000A4497">
              <w:rPr>
                <w:b/>
                <w:i/>
              </w:rPr>
              <w:t>az</w:t>
            </w:r>
            <w:r w:rsidRPr="000A4497">
              <w:t xml:space="preserve"> 5. és 6. cikkben említett képviseleti eljárás megindítása felfüggessze vagy megszakítsa az érintett </w:t>
            </w:r>
            <w:r w:rsidRPr="000A4497">
              <w:rPr>
                <w:b/>
                <w:i/>
              </w:rPr>
              <w:t>személyeket</w:t>
            </w:r>
            <w:r w:rsidRPr="000A4497">
              <w:t xml:space="preserve"> érintő jogorvoslati intézkedések elévülését, amennyiben az érintett jogokra az uniós vagy a nemzeti jog értelmében elévülési idő vonatkozik.</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13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 xml:space="preserve">A tagállamok biztosítják, hogy </w:t>
            </w:r>
            <w:r w:rsidRPr="000A4497">
              <w:rPr>
                <w:b/>
                <w:i/>
              </w:rPr>
              <w:t>olyan feljogosított egység</w:t>
            </w:r>
            <w:r w:rsidRPr="000A4497">
              <w:t xml:space="preserve"> kérelmére, amely észszerűen elérhető tényeket és </w:t>
            </w:r>
            <w:r w:rsidRPr="000A4497">
              <w:rPr>
                <w:b/>
                <w:i/>
              </w:rPr>
              <w:t>bizonyítékokat</w:t>
            </w:r>
            <w:r w:rsidRPr="000A4497">
              <w:t xml:space="preserve"> mutat be </w:t>
            </w:r>
            <w:r w:rsidRPr="000A4497">
              <w:rPr>
                <w:b/>
                <w:i/>
              </w:rPr>
              <w:t>a képviseleti eljárásban</w:t>
            </w:r>
            <w:r w:rsidRPr="000A4497">
              <w:t xml:space="preserve"> és jelzi, hogy </w:t>
            </w:r>
            <w:r w:rsidRPr="000A4497">
              <w:rPr>
                <w:b/>
                <w:i/>
              </w:rPr>
              <w:t>az alperes</w:t>
            </w:r>
            <w:r w:rsidRPr="000A4497">
              <w:t xml:space="preserve"> birtokában további bizonyítékok találhatóak, a bíróság vagy közigazgatási hatóság a nemzeti eljárási szabályoknak megfelelően elrendelheti, hogy </w:t>
            </w:r>
            <w:r w:rsidRPr="000A4497">
              <w:rPr>
                <w:b/>
                <w:i/>
              </w:rPr>
              <w:t>az alperes</w:t>
            </w:r>
            <w:r w:rsidRPr="000A4497">
              <w:t xml:space="preserve"> – az alkalmazandó uniós és nemzeti titoktartási szabályokra is figyelemmel – az ilyen bizonyítékot bemutassa.</w:t>
            </w:r>
          </w:p>
        </w:tc>
        <w:tc>
          <w:tcPr>
            <w:tcW w:w="4876" w:type="dxa"/>
            <w:hideMark/>
          </w:tcPr>
          <w:p w:rsidR="00FD386D" w:rsidRPr="000A4497" w:rsidRDefault="00FD386D" w:rsidP="002D21D3">
            <w:pPr>
              <w:pStyle w:val="Normal6"/>
              <w:rPr>
                <w:szCs w:val="24"/>
              </w:rPr>
            </w:pPr>
            <w:r w:rsidRPr="000A4497">
              <w:t xml:space="preserve">A tagállamok biztosítják, hogy </w:t>
            </w:r>
            <w:r w:rsidRPr="000A4497">
              <w:rPr>
                <w:b/>
                <w:i/>
              </w:rPr>
              <w:t>az egyik fél</w:t>
            </w:r>
            <w:r w:rsidRPr="000A4497">
              <w:t xml:space="preserve"> kérelmére, amely észszerűen elérhető tényeket</w:t>
            </w:r>
            <w:r w:rsidRPr="000A4497">
              <w:rPr>
                <w:b/>
                <w:i/>
              </w:rPr>
              <w:t>, elegendő bizonyítékot</w:t>
            </w:r>
            <w:r w:rsidRPr="000A4497">
              <w:t xml:space="preserve"> és </w:t>
            </w:r>
            <w:r w:rsidRPr="000A4497">
              <w:rPr>
                <w:b/>
                <w:i/>
              </w:rPr>
              <w:t>érdemi magyarázatot</w:t>
            </w:r>
            <w:r w:rsidRPr="000A4497">
              <w:t xml:space="preserve"> mutat be </w:t>
            </w:r>
            <w:r w:rsidRPr="000A4497">
              <w:rPr>
                <w:b/>
                <w:i/>
              </w:rPr>
              <w:t>álláspontjának alátámasztására,</w:t>
            </w:r>
            <w:r w:rsidRPr="000A4497">
              <w:t xml:space="preserve"> és jelzi, hogy </w:t>
            </w:r>
            <w:r w:rsidRPr="000A4497">
              <w:rPr>
                <w:b/>
                <w:i/>
              </w:rPr>
              <w:t>a másik fél</w:t>
            </w:r>
            <w:r w:rsidRPr="000A4497">
              <w:t xml:space="preserve"> birtokában további</w:t>
            </w:r>
            <w:r w:rsidRPr="000A4497">
              <w:rPr>
                <w:b/>
                <w:i/>
              </w:rPr>
              <w:t xml:space="preserve"> konkrét és egyértelmű</w:t>
            </w:r>
            <w:r w:rsidRPr="000A4497">
              <w:t xml:space="preserve"> bizonyítékok találhatóak, a bíróság vagy közigazgatási hatóság a nemzeti eljárási szabályoknak megfelelően elrendelheti, hogy </w:t>
            </w:r>
            <w:r w:rsidRPr="000A4497">
              <w:rPr>
                <w:b/>
                <w:i/>
              </w:rPr>
              <w:t>ez a fél</w:t>
            </w:r>
            <w:r w:rsidRPr="000A4497">
              <w:t xml:space="preserve"> – az alkalmazandó uniós és nemzeti titoktartási szabályokra is figyelemmel – az ilyen bizonyítékot </w:t>
            </w:r>
            <w:r w:rsidRPr="000A4497">
              <w:rPr>
                <w:b/>
                <w:i/>
              </w:rPr>
              <w:t xml:space="preserve">az észszerűen rendelkezésre álló tények alapján a lehető legszűkebben értelmezve </w:t>
            </w:r>
            <w:r w:rsidRPr="000A4497">
              <w:lastRenderedPageBreak/>
              <w:t xml:space="preserve">bemutassa. </w:t>
            </w:r>
            <w:r w:rsidRPr="000A4497">
              <w:rPr>
                <w:b/>
                <w:i/>
              </w:rPr>
              <w:t>Az utasításnak megfelelőnek és arányosnak kell lennie az adott ügyben, és nem okozhatja az egyensúly megbomlását a két érintett fél között.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89</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13 cikk – 1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(1a)</w:t>
            </w:r>
            <w:r w:rsidRPr="000A4497">
              <w:rPr>
                <w:b/>
                <w:i/>
              </w:rPr>
              <w:tab/>
              <w:t>A tagállamok biztosítják, hogy a bíróságok az arányos mértékre korlátozzák a bizonyítékok feltárását. Annak megállapítása érdekében, hogy a feljogosított képviseleti egység által kért feltárás arányos-e, a bíróság figyelembe veszi valamennyi érintett fél jogos érdekét, nevezetesen azt, hogy a bizonyítékok feltárására irányuló kérelmet milyen mértékben támasztják alá tények és bizonyítékok, valamint hogy a feltárni kért bizonyíték bizalmas információkat tartalmaz-e.</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90</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13 cikk – 1 b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(1b)</w:t>
            </w:r>
            <w:r w:rsidRPr="000A4497">
              <w:rPr>
                <w:b/>
                <w:i/>
              </w:rPr>
              <w:tab/>
              <w:t>A tagállamok biztosítják, hogy a nemzeti bíróságok hatáskörrel rendelkezzenek az olyan információkat tartalmazó bizonyítékok feltárásának elrendelésére, amelyeket a kártérítési kereset szempontjából fontosnak ítélnek.</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91</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14 cikk – 2 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(2)</w:t>
            </w:r>
            <w:r w:rsidRPr="000A4497">
              <w:tab/>
              <w:t>A tagállamok biztosítják, hogy szankcióként ki lehessen szabni pénzbírságokat.</w:t>
            </w:r>
          </w:p>
        </w:tc>
        <w:tc>
          <w:tcPr>
            <w:tcW w:w="4876" w:type="dxa"/>
          </w:tcPr>
          <w:p w:rsidR="00FD386D" w:rsidRPr="000A4497" w:rsidRDefault="00FD386D" w:rsidP="002D21D3">
            <w:pPr>
              <w:pStyle w:val="Normal6"/>
            </w:pPr>
            <w:r w:rsidRPr="000A4497">
              <w:t>(2)</w:t>
            </w:r>
            <w:r w:rsidRPr="000A4497">
              <w:tab/>
              <w:t xml:space="preserve">A tagállamok biztosítják, hogy szankcióként ki lehessen szabni </w:t>
            </w:r>
            <w:r w:rsidRPr="000A4497">
              <w:rPr>
                <w:b/>
                <w:i/>
              </w:rPr>
              <w:t>egyebek mellett</w:t>
            </w:r>
            <w:r w:rsidRPr="000A4497">
              <w:t xml:space="preserve"> pénzbírságokat </w:t>
            </w:r>
            <w:r w:rsidRPr="000A4497">
              <w:rPr>
                <w:b/>
                <w:i/>
              </w:rPr>
              <w:t>is</w:t>
            </w:r>
            <w:r w:rsidRPr="000A4497">
              <w:t>.</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92</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14 cikk – 3 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r w:rsidRPr="000A4497">
              <w:t>(3)</w:t>
            </w:r>
            <w:r w:rsidRPr="000A4497">
              <w:tab/>
              <w:t xml:space="preserve">A pénzbírságokból származó bevételek elosztásáról való döntés során a tagállamoknak figyelembe kell venniük a </w:t>
            </w:r>
            <w:r w:rsidRPr="000A4497">
              <w:rPr>
                <w:b/>
                <w:i/>
              </w:rPr>
              <w:t>fogyasztók általános érdekeit</w:t>
            </w:r>
            <w:r w:rsidRPr="000A4497">
              <w:t>.</w:t>
            </w:r>
          </w:p>
        </w:tc>
        <w:tc>
          <w:tcPr>
            <w:tcW w:w="4876" w:type="dxa"/>
          </w:tcPr>
          <w:p w:rsidR="00FD386D" w:rsidRPr="000A4497" w:rsidRDefault="00FD386D" w:rsidP="002D21D3">
            <w:pPr>
              <w:pStyle w:val="Normal6"/>
            </w:pPr>
            <w:r w:rsidRPr="000A4497">
              <w:t>(3)</w:t>
            </w:r>
            <w:r w:rsidRPr="000A4497">
              <w:tab/>
              <w:t xml:space="preserve">A pénzbírságokból származó bevételek elosztásáról való döntés során a tagállamoknak figyelembe kell venniük a </w:t>
            </w:r>
            <w:r w:rsidRPr="000A4497">
              <w:rPr>
                <w:b/>
                <w:i/>
              </w:rPr>
              <w:t>kollektív érdekeket. A tagállamok dönthetnek úgy, hogy a bevételeket egy alaphoz rendelik, amelyet a képviseleti eljárások finanszírozása céljából hoznak létre</w:t>
            </w:r>
            <w:r w:rsidRPr="000A4497">
              <w: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93</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15 cikk – cím</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DC4F7F">
            <w:pPr>
              <w:pStyle w:val="Normal6"/>
              <w:jc w:val="center"/>
            </w:pPr>
            <w:r w:rsidRPr="000A4497">
              <w:t>A feljogosított egységeknek nyújtott támogatás</w:t>
            </w:r>
          </w:p>
        </w:tc>
        <w:tc>
          <w:tcPr>
            <w:tcW w:w="4876" w:type="dxa"/>
            <w:hideMark/>
          </w:tcPr>
          <w:p w:rsidR="00FD386D" w:rsidRPr="000A4497" w:rsidRDefault="00FD386D" w:rsidP="00DC4F7F">
            <w:pPr>
              <w:pStyle w:val="Normal6"/>
              <w:jc w:val="center"/>
              <w:rPr>
                <w:szCs w:val="24"/>
              </w:rPr>
            </w:pPr>
            <w:r w:rsidRPr="000A4497">
              <w:rPr>
                <w:szCs w:val="24"/>
              </w:rPr>
              <w:t xml:space="preserve">A feljogosított </w:t>
            </w:r>
            <w:r w:rsidRPr="000A4497">
              <w:rPr>
                <w:b/>
                <w:i/>
                <w:szCs w:val="24"/>
              </w:rPr>
              <w:t>képviseleti</w:t>
            </w:r>
            <w:r w:rsidRPr="000A4497">
              <w:rPr>
                <w:b/>
                <w:szCs w:val="24"/>
              </w:rPr>
              <w:t xml:space="preserve"> </w:t>
            </w:r>
            <w:r w:rsidRPr="000A4497">
              <w:rPr>
                <w:szCs w:val="24"/>
              </w:rPr>
              <w:t>egységeknek nyújtott támogatás</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94</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15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t xml:space="preserve">A tagállamok megteszik a szükséges intézkedéseket </w:t>
            </w:r>
            <w:r w:rsidRPr="000A4497">
              <w:rPr>
                <w:b/>
                <w:i/>
              </w:rPr>
              <w:t>- például</w:t>
            </w:r>
            <w:r w:rsidRPr="000A4497">
              <w:t xml:space="preserve"> az alkalmazandó bírósági vagy igazgatási díjak korlátozása, adott esetben a költségmentességre való </w:t>
            </w:r>
            <w:r w:rsidRPr="000A4497">
              <w:lastRenderedPageBreak/>
              <w:t xml:space="preserve">jogosultság biztosítása, vagy e célból állami finanszírozás biztosítása révén </w:t>
            </w:r>
            <w:r w:rsidRPr="000A4497">
              <w:rPr>
                <w:b/>
                <w:i/>
              </w:rPr>
              <w:t>- annak biztosítása érdekében</w:t>
            </w:r>
            <w:r w:rsidRPr="000A4497">
              <w:t xml:space="preserve">, hogy a képviseleti eljárások költségei ne képezzenek pénzügyi akadályt a feljogosított egységek számára, hogy azok hatékonyan gyakorolhassák </w:t>
            </w:r>
            <w:r w:rsidRPr="000A4497">
              <w:rPr>
                <w:b/>
                <w:i/>
              </w:rPr>
              <w:t>a</w:t>
            </w:r>
            <w:r w:rsidRPr="000A4497">
              <w:t xml:space="preserve"> 5. és 6. cikkben említett jogaikat.</w:t>
            </w:r>
          </w:p>
        </w:tc>
        <w:tc>
          <w:tcPr>
            <w:tcW w:w="4876" w:type="dxa"/>
            <w:hideMark/>
          </w:tcPr>
          <w:p w:rsidR="00FD386D" w:rsidRPr="000A4497" w:rsidRDefault="00FD386D" w:rsidP="002D21D3">
            <w:pPr>
              <w:pStyle w:val="Normal6"/>
              <w:rPr>
                <w:szCs w:val="24"/>
              </w:rPr>
            </w:pPr>
            <w:r w:rsidRPr="000A4497">
              <w:lastRenderedPageBreak/>
              <w:t>(1)</w:t>
            </w:r>
            <w:r w:rsidRPr="000A4497">
              <w:tab/>
              <w:t xml:space="preserve">A </w:t>
            </w:r>
            <w:r w:rsidRPr="000A4497">
              <w:rPr>
                <w:b/>
                <w:i/>
              </w:rPr>
              <w:t xml:space="preserve">7. cikkel összhangban a tagállamokat arra kell ösztönözni, hogy biztosítsák, hogy a feljogosított képviseleti egységeknek elegendő fedezet álljon </w:t>
            </w:r>
            <w:r w:rsidRPr="000A4497">
              <w:rPr>
                <w:b/>
                <w:i/>
              </w:rPr>
              <w:lastRenderedPageBreak/>
              <w:t xml:space="preserve">rendelkezésre a képviseleti eljárásokhoz. A </w:t>
            </w:r>
            <w:r w:rsidRPr="000A4497">
              <w:t xml:space="preserve">tagállamok megteszik a szükséges intézkedéseket </w:t>
            </w:r>
            <w:r w:rsidRPr="000A4497">
              <w:rPr>
                <w:b/>
                <w:i/>
              </w:rPr>
              <w:t>az igazságszolgáltatáshoz való hozzáférés megkönnyítéséhez – különösen</w:t>
            </w:r>
            <w:r w:rsidRPr="000A4497">
              <w:t xml:space="preserve"> az alkalmazandó bírósági vagy igazgatási díjak korlátozása, adott esetben a költségmentességre való jogosultság biztosítása, vagy e célból állami finanszírozás biztosítása révén </w:t>
            </w:r>
            <w:r w:rsidRPr="000A4497">
              <w:rPr>
                <w:b/>
                <w:i/>
              </w:rPr>
              <w:t>– és biztosítják</w:t>
            </w:r>
            <w:r w:rsidRPr="000A4497">
              <w:t xml:space="preserve">, hogy a képviseleti eljárások költségei ne képezzenek pénzügyi akadályt a feljogosított egységek számára, hogy azok hatékonyan gyakorolhassák </w:t>
            </w:r>
            <w:r w:rsidRPr="000A4497">
              <w:rPr>
                <w:b/>
                <w:i/>
              </w:rPr>
              <w:t>az</w:t>
            </w:r>
            <w:r w:rsidRPr="000A4497">
              <w:t xml:space="preserve"> 5. és 6. cikkben említett jogaikat.</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95</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15 cikk – 1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(1a)</w:t>
            </w:r>
            <w:r w:rsidRPr="000A4497">
              <w:rPr>
                <w:b/>
                <w:i/>
              </w:rPr>
              <w:tab/>
              <w:t>A tagállamok strukturális támogatást biztosítanak az ezen irányelv értelmében feljogosított egységként eljáró szervek számára.</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96</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15 a cikk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jc w:val="center"/>
              <w:rPr>
                <w:b/>
                <w:bCs/>
                <w:i/>
                <w:iCs/>
              </w:rPr>
            </w:pPr>
          </w:p>
        </w:tc>
        <w:tc>
          <w:tcPr>
            <w:tcW w:w="4876" w:type="dxa"/>
          </w:tcPr>
          <w:p w:rsidR="00FD386D" w:rsidRPr="000A4497" w:rsidRDefault="00FD386D" w:rsidP="002D21D3">
            <w:pPr>
              <w:pStyle w:val="Normal6"/>
              <w:jc w:val="center"/>
              <w:rPr>
                <w:b/>
                <w:bCs/>
                <w:i/>
                <w:iCs/>
              </w:rPr>
            </w:pPr>
            <w:r w:rsidRPr="000A4497">
              <w:rPr>
                <w:b/>
                <w:bCs/>
                <w:i/>
                <w:iCs/>
              </w:rPr>
              <w:t>15a. cikk</w:t>
            </w:r>
          </w:p>
        </w:tc>
      </w:tr>
      <w:tr w:rsidR="00FD386D" w:rsidRPr="000A4497" w:rsidTr="002D21D3">
        <w:trPr>
          <w:jc w:val="center"/>
        </w:trPr>
        <w:tc>
          <w:tcPr>
            <w:tcW w:w="4876" w:type="dxa"/>
          </w:tcPr>
          <w:p w:rsidR="00FD386D" w:rsidRPr="000A4497" w:rsidRDefault="00FD386D" w:rsidP="002D21D3">
            <w:pPr>
              <w:pStyle w:val="Normal6"/>
              <w:jc w:val="center"/>
              <w:rPr>
                <w:b/>
                <w:bCs/>
                <w:i/>
                <w:iCs/>
              </w:rPr>
            </w:pPr>
          </w:p>
        </w:tc>
        <w:tc>
          <w:tcPr>
            <w:tcW w:w="4876" w:type="dxa"/>
          </w:tcPr>
          <w:p w:rsidR="00FD386D" w:rsidRPr="000A4497" w:rsidRDefault="00FD386D" w:rsidP="002D21D3">
            <w:pPr>
              <w:pStyle w:val="Normal6"/>
              <w:jc w:val="center"/>
              <w:rPr>
                <w:b/>
                <w:bCs/>
                <w:i/>
                <w:iCs/>
              </w:rPr>
            </w:pPr>
            <w:r w:rsidRPr="000A4497">
              <w:rPr>
                <w:b/>
                <w:bCs/>
                <w:i/>
                <w:iCs/>
              </w:rPr>
              <w:t>Jogi képviselet és díjak</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A tagállamok biztosítják, hogy az ügyvédek díjazása és annak kiszámítási módja ne ösztönözze a bármely fél érdekeinek szempontjából szükségtelen pereskedést. A tagállamok megtiltják a sikerdíjakat.</w:t>
            </w:r>
          </w:p>
        </w:tc>
      </w:tr>
    </w:tbl>
    <w:p w:rsidR="00FD386D" w:rsidRPr="000A4497" w:rsidRDefault="00FD386D" w:rsidP="00FD386D"/>
    <w:p w:rsidR="00FD386D" w:rsidRPr="000A4497" w:rsidRDefault="00FD386D" w:rsidP="00FD386D">
      <w:pPr>
        <w:pStyle w:val="AMNumberTabs"/>
        <w:keepNext/>
      </w:pPr>
      <w:r w:rsidRPr="000A4497">
        <w:lastRenderedPageBreak/>
        <w:t>Módosítás</w:t>
      </w:r>
      <w:r w:rsidRPr="000A4497">
        <w:tab/>
      </w:r>
      <w:r w:rsidRPr="000A4497">
        <w:tab/>
        <w:t>97</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16 cikk – 1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(1)</w:t>
            </w:r>
            <w:r w:rsidRPr="000A4497">
              <w:tab/>
              <w:t xml:space="preserve">A tagállamok megteszik a szükséges intézkedéseket annak biztosítására, hogy bármely, a valamely tagállamban a 4. cikk (1) bekezdésével összhangban előzetesen kijelölt feljogosított egység az ott említett, nyilvánosan hozzáférhető jegyzék bemutatása esetén más tagállam bíróságaihoz vagy közigazgatási hatóságaihoz is fordulhasson. A bíróságok vagy közigazgatási hatóságok a feljogosított egység eljárásindítási </w:t>
            </w:r>
            <w:r w:rsidRPr="000A4497">
              <w:rPr>
                <w:b/>
                <w:i/>
              </w:rPr>
              <w:t>jogosultságának bizonyítékaként elfogadják ezt a jegyzéket</w:t>
            </w:r>
            <w:r w:rsidRPr="000A4497">
              <w:t xml:space="preserve">, </w:t>
            </w:r>
            <w:r w:rsidRPr="000A4497">
              <w:rPr>
                <w:b/>
                <w:i/>
              </w:rPr>
              <w:t>de ez nem érinti azon jogukat, hogy megvizsgálhassák</w:t>
            </w:r>
            <w:r w:rsidRPr="000A4497">
              <w:t>, hogy a feljogosított egység célja indokolja-e azt, hogy az egység az adott ügyben eljárást indítson.</w:t>
            </w:r>
          </w:p>
        </w:tc>
        <w:tc>
          <w:tcPr>
            <w:tcW w:w="4876" w:type="dxa"/>
            <w:hideMark/>
          </w:tcPr>
          <w:p w:rsidR="00FD386D" w:rsidRPr="000A4497" w:rsidRDefault="00FD386D" w:rsidP="002D21D3">
            <w:pPr>
              <w:pStyle w:val="Normal6"/>
              <w:rPr>
                <w:szCs w:val="24"/>
              </w:rPr>
            </w:pPr>
            <w:r w:rsidRPr="000A4497">
              <w:t>(1)</w:t>
            </w:r>
            <w:r w:rsidRPr="000A4497">
              <w:tab/>
              <w:t xml:space="preserve">A tagállamok megteszik a szükséges intézkedéseket annak biztosítására, hogy bármely, a valamely tagállamban a 4. cikk (1) bekezdésével összhangban előzetesen kijelölt feljogosított </w:t>
            </w:r>
            <w:r w:rsidRPr="000A4497">
              <w:rPr>
                <w:b/>
                <w:i/>
              </w:rPr>
              <w:t xml:space="preserve">képviseleti </w:t>
            </w:r>
            <w:r w:rsidRPr="000A4497">
              <w:t xml:space="preserve">egység az ott említett, nyilvánosan hozzáférhető jegyzék bemutatása esetén más tagállam bíróságaihoz vagy közigazgatási hatóságaihoz is fordulhasson. A bíróságok vagy közigazgatási hatóságok </w:t>
            </w:r>
            <w:r w:rsidRPr="000A4497">
              <w:rPr>
                <w:b/>
                <w:i/>
              </w:rPr>
              <w:t xml:space="preserve">elbírálhatják </w:t>
            </w:r>
            <w:r w:rsidRPr="000A4497">
              <w:t xml:space="preserve">a feljogosított </w:t>
            </w:r>
            <w:r w:rsidRPr="000A4497">
              <w:rPr>
                <w:b/>
                <w:i/>
              </w:rPr>
              <w:t xml:space="preserve">képviseleti </w:t>
            </w:r>
            <w:r w:rsidRPr="000A4497">
              <w:t xml:space="preserve">egység eljárásindítási </w:t>
            </w:r>
            <w:r w:rsidRPr="000A4497">
              <w:rPr>
                <w:b/>
                <w:i/>
              </w:rPr>
              <w:t>jogosultságát</w:t>
            </w:r>
            <w:r w:rsidRPr="000A4497">
              <w:t xml:space="preserve">, </w:t>
            </w:r>
            <w:r w:rsidRPr="000A4497">
              <w:rPr>
                <w:b/>
                <w:i/>
              </w:rPr>
              <w:t>és jogukban áll megvizsgálni</w:t>
            </w:r>
            <w:r w:rsidRPr="000A4497">
              <w:t>, hogy a feljogosított</w:t>
            </w:r>
            <w:r w:rsidRPr="000A4497">
              <w:rPr>
                <w:b/>
                <w:i/>
              </w:rPr>
              <w:t xml:space="preserve"> képviseleti</w:t>
            </w:r>
            <w:r w:rsidRPr="000A4497">
              <w:t xml:space="preserve"> egység célja indokolja-e azt, hogy az egység az adott ügyben eljárást indítson.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98</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16 cikk – 2 a bekezdés (új)</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hideMark/>
          </w:tcPr>
          <w:p w:rsidR="00FD386D" w:rsidRPr="000A4497" w:rsidRDefault="00FD386D" w:rsidP="002D21D3">
            <w:pPr>
              <w:pStyle w:val="Normal6"/>
              <w:rPr>
                <w:szCs w:val="24"/>
              </w:rPr>
            </w:pPr>
            <w:r w:rsidRPr="000A4497">
              <w:rPr>
                <w:b/>
                <w:i/>
              </w:rPr>
              <w:t>(2a)</w:t>
            </w:r>
            <w:r w:rsidRPr="000A4497">
              <w:rPr>
                <w:b/>
                <w:i/>
              </w:rPr>
              <w:tab/>
              <w:t>Az a tagállam, ahol kollektív jogorvoslatra kerül sor, a tagállamban lakóhellyel rendelkező fogyasztóktól felhatalmazást kérhet. A határon átnyúló ügyek esetén a tagállam a másik tagállamban lakóhellyel rendelkező fogyasztóktól felhatalmazást kér. Ebben az esetben a felhatalmazást adó, egy másik tagállamban lakóhellyel rendelkező fogyasztók konszolidált listáját az eljárás kezdetekor el kell juttatni a bírósághoz vagy a közigazgatási hatósághoz, valamint az alpereshez.</w:t>
            </w:r>
          </w:p>
        </w:tc>
      </w:tr>
    </w:tbl>
    <w:p w:rsidR="00FD386D" w:rsidRPr="000A4497" w:rsidRDefault="00FD386D" w:rsidP="00FD386D"/>
    <w:p w:rsidR="00FD386D" w:rsidRPr="000A4497" w:rsidRDefault="00FD386D" w:rsidP="00FD386D">
      <w:pPr>
        <w:pStyle w:val="AMNumberTabs"/>
        <w:keepNext/>
      </w:pPr>
      <w:r w:rsidRPr="000A4497">
        <w:lastRenderedPageBreak/>
        <w:t>Módosítás</w:t>
      </w:r>
      <w:r w:rsidRPr="000A4497">
        <w:tab/>
      </w:r>
      <w:r w:rsidRPr="000A4497">
        <w:tab/>
        <w:t>99</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16 cikk – 4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t>(4)</w:t>
            </w:r>
            <w:r w:rsidRPr="000A4497">
              <w:tab/>
              <w:t xml:space="preserve">Ha egy tagállam vagy a </w:t>
            </w:r>
            <w:r w:rsidRPr="000A4497">
              <w:rPr>
                <w:b/>
                <w:i/>
              </w:rPr>
              <w:t>Bizottság</w:t>
            </w:r>
            <w:r w:rsidRPr="000A4497">
              <w:t xml:space="preserve"> aggályokat fogalmaz meg azzal kapcsolatban, hogy egy feljogosított egység megfelel-e a 4. cikk (1) bekezdésében meghatározott feltételeknek, az egységet kijelölő tagállam kivizsgálja az aggályokat, és adott esetben visszavonja a kijelölést, amennyiben egy vagy több feltétel nem teljesül.</w:t>
            </w:r>
          </w:p>
        </w:tc>
        <w:tc>
          <w:tcPr>
            <w:tcW w:w="4876" w:type="dxa"/>
            <w:hideMark/>
          </w:tcPr>
          <w:p w:rsidR="00FD386D" w:rsidRPr="000A4497" w:rsidRDefault="00FD386D" w:rsidP="002D21D3">
            <w:pPr>
              <w:pStyle w:val="Normal6"/>
              <w:rPr>
                <w:szCs w:val="24"/>
              </w:rPr>
            </w:pPr>
            <w:r w:rsidRPr="000A4497">
              <w:t>(4)</w:t>
            </w:r>
            <w:r w:rsidRPr="000A4497">
              <w:tab/>
              <w:t>Ha egy tagállam</w:t>
            </w:r>
            <w:r w:rsidRPr="000A4497">
              <w:rPr>
                <w:b/>
                <w:i/>
              </w:rPr>
              <w:t>, a Bizottság</w:t>
            </w:r>
            <w:r w:rsidRPr="000A4497">
              <w:t xml:space="preserve"> vagy a </w:t>
            </w:r>
            <w:r w:rsidRPr="000A4497">
              <w:rPr>
                <w:b/>
                <w:i/>
              </w:rPr>
              <w:t>kereskedő</w:t>
            </w:r>
            <w:r w:rsidRPr="000A4497">
              <w:t xml:space="preserve"> aggályokat fogalmaz meg azzal kapcsolatban, hogy egy feljogosított</w:t>
            </w:r>
            <w:r w:rsidRPr="000A4497">
              <w:rPr>
                <w:b/>
                <w:i/>
              </w:rPr>
              <w:t xml:space="preserve"> képviseleti</w:t>
            </w:r>
            <w:r w:rsidRPr="000A4497">
              <w:t xml:space="preserve"> egység megfelel-e a 4. cikk (1) bekezdésében meghatározott feltételeknek, az egységet kijelölő tagállam kivizsgálja az aggályokat, és adott esetben visszavonja a kijelölést, amennyiben egy vagy több feltétel nem teljesül.</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100</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16 a cikk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jc w:val="center"/>
              <w:rPr>
                <w:b/>
                <w:bCs/>
                <w:i/>
                <w:iCs/>
              </w:rPr>
            </w:pPr>
          </w:p>
        </w:tc>
        <w:tc>
          <w:tcPr>
            <w:tcW w:w="4876" w:type="dxa"/>
          </w:tcPr>
          <w:p w:rsidR="00FD386D" w:rsidRPr="000A4497" w:rsidRDefault="00FD386D" w:rsidP="002D21D3">
            <w:pPr>
              <w:pStyle w:val="Normal6"/>
              <w:jc w:val="center"/>
              <w:rPr>
                <w:b/>
                <w:bCs/>
                <w:i/>
                <w:iCs/>
              </w:rPr>
            </w:pPr>
            <w:r w:rsidRPr="000A4497">
              <w:rPr>
                <w:b/>
                <w:bCs/>
                <w:i/>
                <w:iCs/>
              </w:rPr>
              <w:t>16a. cikk</w:t>
            </w:r>
          </w:p>
        </w:tc>
      </w:tr>
      <w:tr w:rsidR="00FD386D" w:rsidRPr="000A4497" w:rsidTr="002D21D3">
        <w:trPr>
          <w:jc w:val="center"/>
        </w:trPr>
        <w:tc>
          <w:tcPr>
            <w:tcW w:w="4876" w:type="dxa"/>
          </w:tcPr>
          <w:p w:rsidR="00FD386D" w:rsidRPr="000A4497" w:rsidRDefault="00FD386D" w:rsidP="002D21D3">
            <w:pPr>
              <w:pStyle w:val="Normal6"/>
              <w:jc w:val="center"/>
              <w:rPr>
                <w:b/>
                <w:bCs/>
                <w:i/>
                <w:iCs/>
              </w:rPr>
            </w:pPr>
          </w:p>
        </w:tc>
        <w:tc>
          <w:tcPr>
            <w:tcW w:w="4876" w:type="dxa"/>
          </w:tcPr>
          <w:p w:rsidR="00FD386D" w:rsidRPr="000A4497" w:rsidRDefault="00FD386D" w:rsidP="002D21D3">
            <w:pPr>
              <w:pStyle w:val="Normal6"/>
              <w:jc w:val="center"/>
              <w:rPr>
                <w:b/>
                <w:bCs/>
                <w:i/>
                <w:iCs/>
              </w:rPr>
            </w:pPr>
            <w:r w:rsidRPr="000A4497">
              <w:rPr>
                <w:b/>
                <w:bCs/>
                <w:i/>
                <w:iCs/>
              </w:rPr>
              <w:t>Nyilvántartás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A tagállamok gondoskodnak arról, hogy az érintett illetékes nemzeti hatóságok a nyilvánosság számára hozzáférhető nyilvántartást hozzanak létre a jogellenes cselekményekről, amelyek jogsértés megszüntetésére irányuló rendelkezés hatálya alá tartoznak ezen irányelv rendelkezései értelmében.</w:t>
            </w:r>
          </w:p>
        </w:tc>
      </w:tr>
    </w:tbl>
    <w:p w:rsidR="00FD386D" w:rsidRPr="000A4497" w:rsidRDefault="00FD386D" w:rsidP="00FD386D"/>
    <w:p w:rsidR="00FD386D" w:rsidRPr="000A4497" w:rsidRDefault="00FD386D" w:rsidP="00FD386D">
      <w:pPr>
        <w:pStyle w:val="AMNumberTabs"/>
        <w:keepNext/>
      </w:pPr>
      <w:r w:rsidRPr="000A4497">
        <w:t>Módosítás</w:t>
      </w:r>
      <w:r w:rsidRPr="000A4497">
        <w:tab/>
      </w:r>
      <w:r w:rsidRPr="000A4497">
        <w:tab/>
        <w:t>101</w:t>
      </w:r>
    </w:p>
    <w:p w:rsidR="00FD386D" w:rsidRPr="000A4497" w:rsidRDefault="00FD386D" w:rsidP="00FD386D"/>
    <w:p w:rsidR="00FD386D" w:rsidRPr="000A4497" w:rsidRDefault="00FD386D" w:rsidP="00FD386D">
      <w:pPr>
        <w:pStyle w:val="NormalBold"/>
        <w:keepNext/>
      </w:pPr>
      <w:r w:rsidRPr="000A4497">
        <w:t>Irányelvre irányuló javaslat</w:t>
      </w:r>
    </w:p>
    <w:p w:rsidR="00FD386D" w:rsidRPr="000A4497" w:rsidRDefault="00FD386D" w:rsidP="00FD386D">
      <w:pPr>
        <w:pStyle w:val="NormalBold"/>
      </w:pPr>
      <w:r w:rsidRPr="000A4497">
        <w:t>18 cikk – 2 bekezdés</w:t>
      </w:r>
    </w:p>
    <w:p w:rsidR="00FD386D" w:rsidRPr="000A4497" w:rsidRDefault="00FD386D" w:rsidP="00FD386D"/>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jc w:val="center"/>
        </w:trPr>
        <w:tc>
          <w:tcPr>
            <w:tcW w:w="9752" w:type="dxa"/>
            <w:gridSpan w:val="2"/>
          </w:tcPr>
          <w:p w:rsidR="00FD386D" w:rsidRPr="000A4497" w:rsidRDefault="00FD386D" w:rsidP="002D21D3">
            <w:pPr>
              <w:keepNext/>
            </w:pPr>
          </w:p>
        </w:tc>
      </w:tr>
      <w:tr w:rsidR="00FD386D" w:rsidRPr="000A4497" w:rsidTr="002D21D3">
        <w:trPr>
          <w:jc w:val="center"/>
        </w:trPr>
        <w:tc>
          <w:tcPr>
            <w:tcW w:w="4876" w:type="dxa"/>
            <w:hideMark/>
          </w:tcPr>
          <w:p w:rsidR="00FD386D" w:rsidRPr="000A4497" w:rsidRDefault="00FD386D" w:rsidP="002D21D3">
            <w:pPr>
              <w:pStyle w:val="ColumnHeading"/>
              <w:keepNext/>
            </w:pPr>
            <w:r w:rsidRPr="000A4497">
              <w:t>A Bizottság által javasolt szöveg</w:t>
            </w:r>
          </w:p>
        </w:tc>
        <w:tc>
          <w:tcPr>
            <w:tcW w:w="4876" w:type="dxa"/>
            <w:hideMark/>
          </w:tcPr>
          <w:p w:rsidR="00FD386D" w:rsidRPr="000A4497" w:rsidRDefault="00FD386D" w:rsidP="002D21D3">
            <w:pPr>
              <w:pStyle w:val="ColumnHeading"/>
              <w:keepNext/>
            </w:pPr>
            <w:r w:rsidRPr="000A4497">
              <w:t>Módosítás</w:t>
            </w:r>
          </w:p>
        </w:tc>
      </w:tr>
      <w:tr w:rsidR="00FD386D" w:rsidRPr="000A4497" w:rsidTr="002D21D3">
        <w:trPr>
          <w:jc w:val="center"/>
        </w:trPr>
        <w:tc>
          <w:tcPr>
            <w:tcW w:w="4876" w:type="dxa"/>
            <w:hideMark/>
          </w:tcPr>
          <w:p w:rsidR="00FD386D" w:rsidRPr="000A4497" w:rsidRDefault="00FD386D" w:rsidP="002D21D3">
            <w:pPr>
              <w:pStyle w:val="Normal6"/>
            </w:pPr>
            <w:r w:rsidRPr="000A4497">
              <w:rPr>
                <w:b/>
                <w:i/>
              </w:rPr>
              <w:t>(2)</w:t>
            </w:r>
            <w:r w:rsidRPr="000A4497">
              <w:rPr>
                <w:b/>
                <w:i/>
              </w:rPr>
              <w:tab/>
              <w:t xml:space="preserve">Legkésőbb az ezen irányelv hatálybalépését követő egy éven belül a Bizottság értékeli, hogy a légi és a vasúti </w:t>
            </w:r>
            <w:r w:rsidRPr="000A4497">
              <w:rPr>
                <w:b/>
                <w:i/>
              </w:rPr>
              <w:lastRenderedPageBreak/>
              <w:t>utasok jogaira vonatkozó szabályok az ezen irányelvben előírtakhoz hasonló mértékben védik-e a fogyasztók jogait. Amennyiben ez az eset áll fenn, a Bizottság megfelelő javaslatokat kíván tenni, amelyek különösen az I. melléklet 10. és 15. pontjában említett aktusok ezen irányelv 2. cikkében meghatározott hatálya alól való kivonásából állhatnak.</w:t>
            </w:r>
          </w:p>
        </w:tc>
        <w:tc>
          <w:tcPr>
            <w:tcW w:w="4876" w:type="dxa"/>
            <w:hideMark/>
          </w:tcPr>
          <w:p w:rsidR="00FD386D" w:rsidRPr="000A4497" w:rsidRDefault="00FD386D" w:rsidP="002D21D3">
            <w:pPr>
              <w:pStyle w:val="Normal6"/>
              <w:rPr>
                <w:szCs w:val="24"/>
              </w:rPr>
            </w:pPr>
            <w:r w:rsidRPr="000A4497">
              <w:rPr>
                <w:b/>
                <w:i/>
              </w:rPr>
              <w:lastRenderedPageBreak/>
              <w:t>törölve</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102</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18 a cikk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jc w:val="center"/>
              <w:rPr>
                <w:b/>
                <w:bCs/>
                <w:i/>
                <w:iCs/>
              </w:rPr>
            </w:pPr>
          </w:p>
        </w:tc>
        <w:tc>
          <w:tcPr>
            <w:tcW w:w="4876" w:type="dxa"/>
          </w:tcPr>
          <w:p w:rsidR="00FD386D" w:rsidRPr="000A4497" w:rsidRDefault="00FD386D" w:rsidP="002D21D3">
            <w:pPr>
              <w:pStyle w:val="Normal6"/>
              <w:jc w:val="center"/>
              <w:rPr>
                <w:b/>
                <w:bCs/>
                <w:i/>
                <w:iCs/>
              </w:rPr>
            </w:pPr>
            <w:r w:rsidRPr="000A4497">
              <w:rPr>
                <w:b/>
                <w:bCs/>
                <w:i/>
                <w:iCs/>
              </w:rPr>
              <w:t>18a. cikk</w:t>
            </w:r>
          </w:p>
        </w:tc>
      </w:tr>
      <w:tr w:rsidR="00FD386D" w:rsidRPr="000A4497" w:rsidTr="002D21D3">
        <w:trPr>
          <w:jc w:val="center"/>
        </w:trPr>
        <w:tc>
          <w:tcPr>
            <w:tcW w:w="4876" w:type="dxa"/>
          </w:tcPr>
          <w:p w:rsidR="00FD386D" w:rsidRPr="000A4497" w:rsidRDefault="00FD386D" w:rsidP="002D21D3">
            <w:pPr>
              <w:pStyle w:val="Normal6"/>
              <w:jc w:val="center"/>
              <w:rPr>
                <w:b/>
                <w:bCs/>
                <w:i/>
                <w:iCs/>
              </w:rPr>
            </w:pPr>
          </w:p>
        </w:tc>
        <w:tc>
          <w:tcPr>
            <w:tcW w:w="4876" w:type="dxa"/>
          </w:tcPr>
          <w:p w:rsidR="00FD386D" w:rsidRPr="000A4497" w:rsidRDefault="00FD386D" w:rsidP="002D21D3">
            <w:pPr>
              <w:pStyle w:val="Normal6"/>
              <w:jc w:val="center"/>
              <w:rPr>
                <w:b/>
                <w:bCs/>
                <w:i/>
                <w:iCs/>
              </w:rPr>
            </w:pPr>
            <w:r w:rsidRPr="000A4497">
              <w:rPr>
                <w:b/>
                <w:bCs/>
                <w:i/>
                <w:iCs/>
              </w:rPr>
              <w:t>Felülvizsgálati záradék</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A 16. cikk sérelme nélkül a Bizottság felméri, hogy a határokon átnyúló képviseleti eljárásokat uniós szinten lehetne-e a legjobban kezelni egy a kollektív jogorvoslatokkal foglalkozó európai ombudsman intézményének létrehozásával. Legkésőbb három évvel ezen irányelv hatálybalépését követően a Bizottság jelentést készít erről, és azt benyújtja az Európai Parlamentnek és a Tanácsnak, adott esetben az erre vonatkozó javaslattal együtt.</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103</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I melléklet – 59 a pont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59a.</w:t>
            </w:r>
            <w:r w:rsidRPr="000A4497">
              <w:tab/>
            </w:r>
            <w:r w:rsidRPr="000A4497">
              <w:rPr>
                <w:b/>
                <w:i/>
              </w:rPr>
              <w:t>Az Európai Parlament és a Tanács 2001/95/EK irányelve (2001. december 3.) az általános termékbiztonságról (HL L 11., 2002.1.15., 4. o.).</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104</w:t>
      </w:r>
    </w:p>
    <w:p w:rsidR="00FD386D" w:rsidRPr="000A4497" w:rsidRDefault="00FD386D" w:rsidP="00FD386D">
      <w:pPr>
        <w:pStyle w:val="NormalBold12b"/>
      </w:pPr>
      <w:r w:rsidRPr="000A4497">
        <w:lastRenderedPageBreak/>
        <w:t>Irányelvre irányuló javaslat</w:t>
      </w:r>
    </w:p>
    <w:p w:rsidR="00FD386D" w:rsidRPr="000A4497" w:rsidRDefault="00FD386D" w:rsidP="00FD386D">
      <w:pPr>
        <w:pStyle w:val="NormalBold"/>
      </w:pPr>
      <w:r w:rsidRPr="000A4497">
        <w:t>I melléklet – 59 b pont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59b.</w:t>
            </w:r>
            <w:r w:rsidRPr="000A4497">
              <w:tab/>
            </w:r>
            <w:r w:rsidRPr="000A4497">
              <w:rPr>
                <w:b/>
                <w:i/>
              </w:rPr>
              <w:t>Az Európai Parlament és a Tanács 2014/35/EU irányelve (2014. február 26.) a meghatározott feszültséghatáron belüli használatra tervezett elektromos berendezések forgalmazására vonatkozó tagállami jogszabályok harmonizációjáról (átdolgozás) (HL L 96., 2014.3.29., 357. o.).</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105</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I melléklet – 59 c pont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59c.</w:t>
            </w:r>
            <w:r w:rsidRPr="000A4497">
              <w:tab/>
            </w:r>
            <w:r w:rsidRPr="000A4497">
              <w:rPr>
                <w:b/>
                <w:i/>
              </w:rPr>
              <w:t>Az Európai Parlament és a Tanács 178/2002/EK rendelete (2002. január 28.) az élelmiszerjog általános elveiről és követelményeiről, az Európai Élelmiszerbiztonsági Hatóság létrehozásáról és az élelmiszer-biztonságra vonatkozó eljárások megállapításáról.</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106</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I melléklet – 59 d pont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pPr>
            <w:r w:rsidRPr="000A4497">
              <w:rPr>
                <w:b/>
                <w:i/>
              </w:rPr>
              <w:t>59d.</w:t>
            </w:r>
            <w:r w:rsidRPr="000A4497">
              <w:tab/>
            </w:r>
            <w:r w:rsidRPr="000A4497">
              <w:rPr>
                <w:b/>
                <w:i/>
              </w:rPr>
              <w:t>Az Európai Parlament és a Tanács 2014/31/EU irányelve (2014. február 26.) a nem automatikus működésű mérlegek forgalmazására vonatkozó tagállami jogszabályok harmonizációjáról (HL L 96., 2014.3.29., 107. o.).</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107</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lastRenderedPageBreak/>
        <w:t>I melléklet – 59 e pont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C03570">
            <w:pPr>
              <w:pStyle w:val="Normal6"/>
            </w:pPr>
            <w:r w:rsidRPr="000A4497">
              <w:rPr>
                <w:b/>
                <w:i/>
              </w:rPr>
              <w:t>59e.</w:t>
            </w:r>
            <w:r w:rsidRPr="000A4497">
              <w:tab/>
            </w:r>
            <w:r w:rsidRPr="000A4497">
              <w:rPr>
                <w:b/>
                <w:i/>
              </w:rPr>
              <w:t>A Tanács 2136/89/EGK rendelete (1989. június 21.) a tartósított szardínia forgalmazására vonatkozó közös előírások, valamint a tartósított szardínia és szardíniához hasonló termékek kereskedelmi megnevezésének megállapításáról.</w:t>
            </w:r>
          </w:p>
        </w:tc>
      </w:tr>
    </w:tbl>
    <w:p w:rsidR="00FD386D" w:rsidRPr="000A4497" w:rsidRDefault="00FD386D" w:rsidP="00FD386D"/>
    <w:p w:rsidR="00FD386D" w:rsidRPr="000A4497" w:rsidRDefault="00FD386D" w:rsidP="00FD386D">
      <w:pPr>
        <w:pStyle w:val="AMNumberTabs"/>
      </w:pPr>
      <w:r w:rsidRPr="000A4497">
        <w:t>Módosítás</w:t>
      </w:r>
      <w:r w:rsidRPr="000A4497">
        <w:tab/>
      </w:r>
      <w:r w:rsidRPr="000A4497">
        <w:tab/>
        <w:t>108</w:t>
      </w:r>
    </w:p>
    <w:p w:rsidR="00FD386D" w:rsidRPr="000A4497" w:rsidRDefault="00FD386D" w:rsidP="00FD386D">
      <w:pPr>
        <w:pStyle w:val="NormalBold12b"/>
      </w:pPr>
      <w:r w:rsidRPr="000A4497">
        <w:t>Irányelvre irányuló javaslat</w:t>
      </w:r>
    </w:p>
    <w:p w:rsidR="00FD386D" w:rsidRPr="000A4497" w:rsidRDefault="00FD386D" w:rsidP="00FD386D">
      <w:pPr>
        <w:pStyle w:val="NormalBold"/>
      </w:pPr>
      <w:r w:rsidRPr="000A4497">
        <w:t>I melléklet – 59 f pont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D386D" w:rsidRPr="000A4497" w:rsidTr="002D21D3">
        <w:trPr>
          <w:trHeight w:hRule="exact" w:val="240"/>
          <w:jc w:val="center"/>
        </w:trPr>
        <w:tc>
          <w:tcPr>
            <w:tcW w:w="9752" w:type="dxa"/>
            <w:gridSpan w:val="2"/>
          </w:tcPr>
          <w:p w:rsidR="00FD386D" w:rsidRPr="000A4497" w:rsidRDefault="00FD386D" w:rsidP="002D21D3"/>
        </w:tc>
      </w:tr>
      <w:tr w:rsidR="00FD386D" w:rsidRPr="000A4497" w:rsidTr="002D21D3">
        <w:trPr>
          <w:trHeight w:val="240"/>
          <w:jc w:val="center"/>
        </w:trPr>
        <w:tc>
          <w:tcPr>
            <w:tcW w:w="4876" w:type="dxa"/>
          </w:tcPr>
          <w:p w:rsidR="00FD386D" w:rsidRPr="000A4497" w:rsidRDefault="00FD386D" w:rsidP="002D21D3">
            <w:pPr>
              <w:pStyle w:val="ColumnHeading"/>
            </w:pPr>
            <w:r w:rsidRPr="000A4497">
              <w:t>A Bizottság által javasolt szöveg</w:t>
            </w:r>
          </w:p>
        </w:tc>
        <w:tc>
          <w:tcPr>
            <w:tcW w:w="4876" w:type="dxa"/>
          </w:tcPr>
          <w:p w:rsidR="00FD386D" w:rsidRPr="000A4497" w:rsidRDefault="00FD386D" w:rsidP="002D21D3">
            <w:pPr>
              <w:pStyle w:val="ColumnHeading"/>
            </w:pPr>
            <w:r w:rsidRPr="000A4497">
              <w:t>Módosítás</w:t>
            </w:r>
          </w:p>
        </w:tc>
      </w:tr>
      <w:tr w:rsidR="00FD386D" w:rsidRPr="000A4497" w:rsidTr="002D21D3">
        <w:trPr>
          <w:jc w:val="center"/>
        </w:trPr>
        <w:tc>
          <w:tcPr>
            <w:tcW w:w="4876" w:type="dxa"/>
          </w:tcPr>
          <w:p w:rsidR="00FD386D" w:rsidRPr="000A4497" w:rsidRDefault="00FD386D" w:rsidP="002D21D3">
            <w:pPr>
              <w:pStyle w:val="Normal6"/>
            </w:pPr>
          </w:p>
        </w:tc>
        <w:tc>
          <w:tcPr>
            <w:tcW w:w="4876" w:type="dxa"/>
          </w:tcPr>
          <w:p w:rsidR="00FD386D" w:rsidRPr="000A4497" w:rsidRDefault="00FD386D" w:rsidP="002D21D3">
            <w:pPr>
              <w:pStyle w:val="Normal6"/>
              <w:rPr>
                <w:b/>
                <w:i/>
              </w:rPr>
            </w:pPr>
            <w:r w:rsidRPr="000A4497">
              <w:rPr>
                <w:b/>
                <w:i/>
              </w:rPr>
              <w:t>59f.</w:t>
            </w:r>
            <w:r w:rsidRPr="000A4497">
              <w:tab/>
            </w:r>
            <w:r w:rsidRPr="000A4497">
              <w:rPr>
                <w:b/>
                <w:i/>
              </w:rPr>
              <w:t>Az Európai Parlament és a Tanács 715/2009/EK rendelete (2009. július 13.) a földgázszállító hálózatokhoz való hozzáférés feltételeiről és az 1775/2005/EK rendelet hatályon kívül helyezéséről.</w:t>
            </w:r>
          </w:p>
        </w:tc>
      </w:tr>
    </w:tbl>
    <w:p w:rsidR="00FD386D" w:rsidRPr="000A4497" w:rsidRDefault="00FD386D" w:rsidP="00FD386D"/>
    <w:p w:rsidR="00FD386D" w:rsidRPr="000A4497" w:rsidRDefault="00FD386D" w:rsidP="00FD386D"/>
    <w:p w:rsidR="00FD386D" w:rsidRPr="000A4497" w:rsidRDefault="00FD386D" w:rsidP="00FD386D"/>
    <w:p w:rsidR="00E365E1" w:rsidRPr="000A4497" w:rsidRDefault="00E365E1" w:rsidP="00FD386D">
      <w:bookmarkStart w:id="1" w:name="TextBodyEnd"/>
      <w:bookmarkEnd w:id="1"/>
    </w:p>
    <w:sectPr w:rsidR="00E365E1" w:rsidRPr="000A4497" w:rsidSect="005F6D3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1D" w:rsidRPr="005F6D3A" w:rsidRDefault="009F461D">
      <w:r w:rsidRPr="005F6D3A">
        <w:separator/>
      </w:r>
    </w:p>
  </w:endnote>
  <w:endnote w:type="continuationSeparator" w:id="0">
    <w:p w:rsidR="009F461D" w:rsidRPr="005F6D3A" w:rsidRDefault="009F461D">
      <w:r w:rsidRPr="005F6D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97" w:rsidRDefault="000A4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3A" w:rsidRDefault="005F6D3A" w:rsidP="000A4497">
    <w:pPr>
      <w:pStyle w:val="Footer"/>
      <w:tabs>
        <w:tab w:val="clear" w:pos="9639"/>
        <w:tab w:val="right" w:pos="9184"/>
      </w:tabs>
    </w:pPr>
  </w:p>
  <w:p w:rsidR="000A4497" w:rsidRDefault="000A4497" w:rsidP="000A4497">
    <w:pPr>
      <w:pStyle w:val="Footer"/>
      <w:pBdr>
        <w:top w:val="single" w:sz="2" w:space="1" w:color="000000"/>
      </w:pBdr>
      <w:tabs>
        <w:tab w:val="clear" w:pos="9639"/>
        <w:tab w:val="right" w:pos="9184"/>
      </w:tabs>
    </w:pPr>
    <w:r>
      <w:tab/>
    </w:r>
    <w:r w:rsidRPr="000A4497">
      <w:rPr>
        <w:rStyle w:val="HideTWBExt"/>
      </w:rPr>
      <w:t>&lt;NuPE&gt;</w:t>
    </w:r>
    <w:r>
      <w:t>PE635.490</w:t>
    </w:r>
    <w:r w:rsidRPr="000A4497">
      <w:rPr>
        <w:rStyle w:val="HideTWBExt"/>
      </w:rPr>
      <w:t>&lt;/NuPE&gt;</w:t>
    </w:r>
    <w:r>
      <w:t xml:space="preserve">/ </w:t>
    </w:r>
    <w:r>
      <w:fldChar w:fldCharType="begin"/>
    </w:r>
    <w:r>
      <w:instrText xml:space="preserve"> PAGE  \* MERGEFORMAT </w:instrText>
    </w:r>
    <w:r>
      <w:fldChar w:fldCharType="separate"/>
    </w:r>
    <w:r w:rsidR="00B51A95">
      <w:rPr>
        <w:noProof/>
      </w:rPr>
      <w:t>2</w:t>
    </w:r>
    <w:r>
      <w:fldChar w:fldCharType="end"/>
    </w:r>
  </w:p>
  <w:p w:rsidR="000A4497" w:rsidRPr="000A4497" w:rsidRDefault="000A4497" w:rsidP="000A4497">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97" w:rsidRDefault="000A4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1D" w:rsidRPr="005F6D3A" w:rsidRDefault="009F461D">
      <w:r w:rsidRPr="005F6D3A">
        <w:separator/>
      </w:r>
    </w:p>
  </w:footnote>
  <w:footnote w:type="continuationSeparator" w:id="0">
    <w:p w:rsidR="009F461D" w:rsidRPr="005F6D3A" w:rsidRDefault="009F461D">
      <w:r w:rsidRPr="005F6D3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97" w:rsidRDefault="000A4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97" w:rsidRDefault="000A4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97" w:rsidRDefault="000A4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83B692C"/>
    <w:multiLevelType w:val="hybridMultilevel"/>
    <w:tmpl w:val="549E9126"/>
    <w:lvl w:ilvl="0" w:tplc="868639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63DE0FF1"/>
    <w:multiLevelType w:val="hybridMultilevel"/>
    <w:tmpl w:val="78F0F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447/2018"/>
    <w:docVar w:name="dvlangue" w:val="HU"/>
    <w:docVar w:name="dvnumam" w:val="0"/>
    <w:docVar w:name="dvpe" w:val="628.647"/>
    <w:docVar w:name="dvrapporteur" w:val="Előadó: "/>
    <w:docVar w:name="dvtitre" w:val="Az Európai Parlament 2019.  ...-i jogalkotási állásfoglalása a fogyasztók kollektív érdekeinek védelmére irányuló képviseleti eljárásokról és a 2009/22/EK irányelv hatályon kívül helyezéséről szóló európai parlamenti és tanácsi irányelvre irányuló javaslatról(COM(2018)0184 – C8-0149/2018 – 2018/0089(COD))"/>
    <w:docVar w:name="TA_Comm_A5Nr" w:val="A8-0447/2018"/>
    <w:docVar w:name="TA_Comm_Langue" w:val="HU"/>
    <w:docVar w:name="TA_Comm_NrAM" w:val="001-108"/>
    <w:docVar w:name="TA_Type" w:val="TA_COMM"/>
  </w:docVars>
  <w:rsids>
    <w:rsidRoot w:val="009F461D"/>
    <w:rsid w:val="00002272"/>
    <w:rsid w:val="000677B9"/>
    <w:rsid w:val="000A4497"/>
    <w:rsid w:val="000E7DD9"/>
    <w:rsid w:val="0010095E"/>
    <w:rsid w:val="001077F9"/>
    <w:rsid w:val="00125B37"/>
    <w:rsid w:val="002767FF"/>
    <w:rsid w:val="002B5493"/>
    <w:rsid w:val="00361C00"/>
    <w:rsid w:val="00395FA1"/>
    <w:rsid w:val="003E15D4"/>
    <w:rsid w:val="00411CCE"/>
    <w:rsid w:val="0041666E"/>
    <w:rsid w:val="00421060"/>
    <w:rsid w:val="0043190B"/>
    <w:rsid w:val="00494A28"/>
    <w:rsid w:val="0050519A"/>
    <w:rsid w:val="005072A1"/>
    <w:rsid w:val="00514517"/>
    <w:rsid w:val="005F6D3A"/>
    <w:rsid w:val="006037C0"/>
    <w:rsid w:val="00680577"/>
    <w:rsid w:val="006F74FA"/>
    <w:rsid w:val="00731ADD"/>
    <w:rsid w:val="00734777"/>
    <w:rsid w:val="00751A4A"/>
    <w:rsid w:val="00756632"/>
    <w:rsid w:val="007D1690"/>
    <w:rsid w:val="00865F67"/>
    <w:rsid w:val="00881A7B"/>
    <w:rsid w:val="008840E5"/>
    <w:rsid w:val="008C2AC6"/>
    <w:rsid w:val="009509D8"/>
    <w:rsid w:val="00981893"/>
    <w:rsid w:val="009E3DFC"/>
    <w:rsid w:val="009F461D"/>
    <w:rsid w:val="00A4678D"/>
    <w:rsid w:val="00AD707E"/>
    <w:rsid w:val="00AF3B82"/>
    <w:rsid w:val="00B51A95"/>
    <w:rsid w:val="00B558F0"/>
    <w:rsid w:val="00BC0E7C"/>
    <w:rsid w:val="00BD7BD8"/>
    <w:rsid w:val="00C03570"/>
    <w:rsid w:val="00C05BFE"/>
    <w:rsid w:val="00C23CD4"/>
    <w:rsid w:val="00C941CB"/>
    <w:rsid w:val="00C942DC"/>
    <w:rsid w:val="00CC2357"/>
    <w:rsid w:val="00D058B8"/>
    <w:rsid w:val="00D834A0"/>
    <w:rsid w:val="00D91E21"/>
    <w:rsid w:val="00DC4F7F"/>
    <w:rsid w:val="00E365E1"/>
    <w:rsid w:val="00ED4235"/>
    <w:rsid w:val="00F04346"/>
    <w:rsid w:val="00F075DC"/>
    <w:rsid w:val="00F5134D"/>
    <w:rsid w:val="00FD0C70"/>
    <w:rsid w:val="00FD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C0A233-598D-498D-9214-3E1E34FA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FD386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FD386D"/>
    <w:rPr>
      <w:sz w:val="24"/>
      <w:lang w:val="fr-FR" w:eastAsia="fr-FR"/>
    </w:rPr>
  </w:style>
  <w:style w:type="character" w:customStyle="1" w:styleId="Heading3Char">
    <w:name w:val="Heading 3 Char"/>
    <w:link w:val="Heading3"/>
    <w:rsid w:val="00FD386D"/>
    <w:rPr>
      <w:rFonts w:ascii="Arial" w:hAnsi="Arial"/>
      <w:sz w:val="24"/>
      <w:lang w:val="fr-FR" w:eastAsia="fr-FR"/>
    </w:rPr>
  </w:style>
  <w:style w:type="character" w:customStyle="1" w:styleId="Heading4Char">
    <w:name w:val="Heading 4 Char"/>
    <w:link w:val="Heading4"/>
    <w:rsid w:val="00FD386D"/>
    <w:rPr>
      <w:sz w:val="24"/>
      <w:lang w:val="en-US" w:eastAsia="fr-FR"/>
    </w:rPr>
  </w:style>
  <w:style w:type="character" w:customStyle="1" w:styleId="Heading5Char">
    <w:name w:val="Heading 5 Char"/>
    <w:link w:val="Heading5"/>
    <w:rsid w:val="00FD386D"/>
    <w:rPr>
      <w:sz w:val="24"/>
      <w:lang w:val="en-US" w:eastAsia="fr-FR"/>
    </w:rPr>
  </w:style>
  <w:style w:type="character" w:customStyle="1" w:styleId="Heading6Char">
    <w:name w:val="Heading 6 Char"/>
    <w:link w:val="Heading6"/>
    <w:rsid w:val="00FD386D"/>
    <w:rPr>
      <w:i/>
      <w:sz w:val="22"/>
      <w:lang w:val="hu-HU"/>
    </w:rPr>
  </w:style>
  <w:style w:type="character" w:customStyle="1" w:styleId="Heading7Char">
    <w:name w:val="Heading 7 Char"/>
    <w:link w:val="Heading7"/>
    <w:rsid w:val="00FD386D"/>
    <w:rPr>
      <w:rFonts w:ascii="Arial" w:hAnsi="Arial"/>
      <w:sz w:val="24"/>
      <w:lang w:val="hu-HU"/>
    </w:rPr>
  </w:style>
  <w:style w:type="character" w:customStyle="1" w:styleId="Heading8Char">
    <w:name w:val="Heading 8 Char"/>
    <w:link w:val="Heading8"/>
    <w:rsid w:val="00FD386D"/>
    <w:rPr>
      <w:rFonts w:ascii="Arial" w:hAnsi="Arial"/>
      <w:i/>
      <w:sz w:val="24"/>
      <w:lang w:val="hu-HU"/>
    </w:rPr>
  </w:style>
  <w:style w:type="character" w:customStyle="1" w:styleId="Heading9Char">
    <w:name w:val="Heading 9 Char"/>
    <w:link w:val="Heading9"/>
    <w:rsid w:val="00FD386D"/>
    <w:rPr>
      <w:rFonts w:ascii="Arial" w:hAnsi="Arial"/>
      <w:b/>
      <w:i/>
      <w:sz w:val="18"/>
      <w:lang w:val="hu-HU"/>
    </w:rPr>
  </w:style>
  <w:style w:type="character" w:customStyle="1" w:styleId="FooterChar">
    <w:name w:val="Footer Char"/>
    <w:link w:val="Footer"/>
    <w:rsid w:val="00FD386D"/>
    <w:rPr>
      <w:sz w:val="22"/>
      <w:lang w:val="fr-FR" w:eastAsia="fr-FR"/>
    </w:rPr>
  </w:style>
  <w:style w:type="character" w:customStyle="1" w:styleId="Normal6Char">
    <w:name w:val="Normal6 Char"/>
    <w:link w:val="Normal6"/>
    <w:rsid w:val="00FD386D"/>
    <w:rPr>
      <w:sz w:val="24"/>
      <w:lang w:val="hu-HU"/>
    </w:rPr>
  </w:style>
  <w:style w:type="character" w:customStyle="1" w:styleId="NormalBoldChar">
    <w:name w:val="NormalBold Char"/>
    <w:link w:val="NormalBold"/>
    <w:rsid w:val="00FD386D"/>
    <w:rPr>
      <w:b/>
      <w:sz w:val="24"/>
      <w:lang w:val="hu-HU"/>
    </w:rPr>
  </w:style>
  <w:style w:type="paragraph" w:customStyle="1" w:styleId="Normal12Italic">
    <w:name w:val="Normal12Italic"/>
    <w:basedOn w:val="Normal"/>
    <w:rsid w:val="00FD386D"/>
    <w:pPr>
      <w:spacing w:before="240"/>
    </w:pPr>
    <w:rPr>
      <w:i/>
    </w:rPr>
  </w:style>
  <w:style w:type="paragraph" w:customStyle="1" w:styleId="CrossRef">
    <w:name w:val="CrossRef"/>
    <w:basedOn w:val="Normal"/>
    <w:rsid w:val="00FD386D"/>
    <w:pPr>
      <w:spacing w:before="240"/>
      <w:jc w:val="center"/>
    </w:pPr>
    <w:rPr>
      <w:i/>
    </w:rPr>
  </w:style>
  <w:style w:type="paragraph" w:customStyle="1" w:styleId="JustificationTitle">
    <w:name w:val="JustificationTitle"/>
    <w:basedOn w:val="Normal"/>
    <w:next w:val="Normal12"/>
    <w:rsid w:val="00FD386D"/>
    <w:pPr>
      <w:keepNext/>
      <w:spacing w:before="240"/>
      <w:jc w:val="center"/>
    </w:pPr>
    <w:rPr>
      <w:i/>
    </w:rPr>
  </w:style>
  <w:style w:type="paragraph" w:customStyle="1" w:styleId="Normal12Centre">
    <w:name w:val="Normal12Centre"/>
    <w:basedOn w:val="Normal12"/>
    <w:rsid w:val="00FD386D"/>
    <w:pPr>
      <w:jc w:val="center"/>
    </w:pPr>
  </w:style>
  <w:style w:type="paragraph" w:customStyle="1" w:styleId="Normal12Keep">
    <w:name w:val="Normal12Keep"/>
    <w:basedOn w:val="Normal12"/>
    <w:rsid w:val="00FD386D"/>
    <w:pPr>
      <w:keepNext/>
    </w:pPr>
  </w:style>
  <w:style w:type="paragraph" w:customStyle="1" w:styleId="Normal12Tab">
    <w:name w:val="Normal12Tab"/>
    <w:basedOn w:val="Normal12"/>
    <w:rsid w:val="00FD386D"/>
    <w:pPr>
      <w:tabs>
        <w:tab w:val="left" w:pos="567"/>
      </w:tabs>
    </w:pPr>
  </w:style>
  <w:style w:type="paragraph" w:customStyle="1" w:styleId="StarsAndIs">
    <w:name w:val="StarsAndIs"/>
    <w:basedOn w:val="Normal"/>
    <w:rsid w:val="00FD386D"/>
    <w:pPr>
      <w:ind w:left="1418"/>
    </w:pPr>
    <w:rPr>
      <w:rFonts w:ascii="Arial" w:hAnsi="Arial"/>
      <w:b/>
      <w:sz w:val="48"/>
    </w:rPr>
  </w:style>
  <w:style w:type="paragraph" w:customStyle="1" w:styleId="Lgendesigne">
    <w:name w:val="Légende signe"/>
    <w:basedOn w:val="Normal"/>
    <w:rsid w:val="00FD386D"/>
    <w:pPr>
      <w:tabs>
        <w:tab w:val="right" w:pos="454"/>
        <w:tab w:val="left" w:pos="737"/>
      </w:tabs>
      <w:ind w:left="737" w:hanging="737"/>
    </w:pPr>
    <w:rPr>
      <w:snapToGrid w:val="0"/>
      <w:sz w:val="18"/>
      <w:lang w:eastAsia="en-US"/>
    </w:rPr>
  </w:style>
  <w:style w:type="paragraph" w:customStyle="1" w:styleId="TypeDoc">
    <w:name w:val="TypeDoc"/>
    <w:basedOn w:val="Normal24"/>
    <w:rsid w:val="00FD386D"/>
    <w:pPr>
      <w:ind w:left="1418"/>
    </w:pPr>
    <w:rPr>
      <w:rFonts w:ascii="Arial" w:hAnsi="Arial"/>
      <w:b/>
      <w:sz w:val="48"/>
    </w:rPr>
  </w:style>
  <w:style w:type="paragraph" w:customStyle="1" w:styleId="ZDate">
    <w:name w:val="ZDate"/>
    <w:basedOn w:val="Normal"/>
    <w:rsid w:val="00FD386D"/>
    <w:pPr>
      <w:spacing w:after="1200"/>
    </w:pPr>
  </w:style>
  <w:style w:type="character" w:customStyle="1" w:styleId="HeaderChar">
    <w:name w:val="Header Char"/>
    <w:link w:val="Header"/>
    <w:rsid w:val="00FD386D"/>
    <w:rPr>
      <w:sz w:val="24"/>
      <w:lang w:val="fr-FR" w:eastAsia="fr-FR"/>
    </w:rPr>
  </w:style>
  <w:style w:type="paragraph" w:customStyle="1" w:styleId="Olang">
    <w:name w:val="Olang"/>
    <w:basedOn w:val="Normal"/>
    <w:rsid w:val="00FD386D"/>
    <w:pPr>
      <w:spacing w:before="240" w:after="240"/>
      <w:jc w:val="right"/>
    </w:pPr>
    <w:rPr>
      <w:noProof/>
    </w:rPr>
  </w:style>
  <w:style w:type="paragraph" w:customStyle="1" w:styleId="ColumnHeading">
    <w:name w:val="ColumnHeading"/>
    <w:basedOn w:val="Normal"/>
    <w:rsid w:val="00FD386D"/>
    <w:pPr>
      <w:spacing w:after="240"/>
      <w:jc w:val="center"/>
    </w:pPr>
    <w:rPr>
      <w:i/>
    </w:rPr>
  </w:style>
  <w:style w:type="paragraph" w:customStyle="1" w:styleId="AMNumberTabs">
    <w:name w:val="AMNumberTabs"/>
    <w:basedOn w:val="Normal"/>
    <w:rsid w:val="00FD386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FD386D"/>
    <w:pPr>
      <w:spacing w:before="240"/>
    </w:pPr>
    <w:rPr>
      <w:b/>
    </w:rPr>
  </w:style>
  <w:style w:type="paragraph" w:customStyle="1" w:styleId="ZCommittee">
    <w:name w:val="ZCommittee"/>
    <w:basedOn w:val="Normal"/>
    <w:next w:val="Normal"/>
    <w:rsid w:val="00FD386D"/>
    <w:pPr>
      <w:jc w:val="center"/>
    </w:pPr>
    <w:rPr>
      <w:rFonts w:ascii="Arial" w:hAnsi="Arial" w:cs="Arial"/>
      <w:i/>
      <w:sz w:val="22"/>
      <w:szCs w:val="22"/>
    </w:rPr>
  </w:style>
  <w:style w:type="paragraph" w:customStyle="1" w:styleId="Lgendetitre">
    <w:name w:val="Légende titre"/>
    <w:basedOn w:val="Normal"/>
    <w:rsid w:val="00FD386D"/>
    <w:pPr>
      <w:spacing w:before="240" w:after="240"/>
    </w:pPr>
    <w:rPr>
      <w:b/>
      <w:i/>
      <w:snapToGrid w:val="0"/>
      <w:lang w:eastAsia="en-US"/>
    </w:rPr>
  </w:style>
  <w:style w:type="paragraph" w:customStyle="1" w:styleId="Lgendestandard">
    <w:name w:val="Légende standard"/>
    <w:basedOn w:val="Lgendesigne"/>
    <w:rsid w:val="00FD386D"/>
    <w:pPr>
      <w:ind w:left="0" w:firstLine="0"/>
    </w:pPr>
  </w:style>
  <w:style w:type="character" w:customStyle="1" w:styleId="Normal12Char">
    <w:name w:val="Normal12 Char"/>
    <w:link w:val="Normal12"/>
    <w:locked/>
    <w:rsid w:val="00FD386D"/>
    <w:rPr>
      <w:sz w:val="24"/>
      <w:lang w:val="hu-HU"/>
    </w:rPr>
  </w:style>
  <w:style w:type="paragraph" w:styleId="BalloonText">
    <w:name w:val="Balloon Text"/>
    <w:basedOn w:val="Normal"/>
    <w:link w:val="BalloonTextChar"/>
    <w:rsid w:val="00FD386D"/>
    <w:rPr>
      <w:rFonts w:ascii="Segoe UI" w:hAnsi="Segoe UI" w:cs="Segoe UI"/>
      <w:sz w:val="18"/>
      <w:szCs w:val="18"/>
    </w:rPr>
  </w:style>
  <w:style w:type="character" w:customStyle="1" w:styleId="BalloonTextChar">
    <w:name w:val="Balloon Text Char"/>
    <w:basedOn w:val="DefaultParagraphFont"/>
    <w:link w:val="BalloonText"/>
    <w:rsid w:val="00FD386D"/>
    <w:rPr>
      <w:rFonts w:ascii="Segoe UI" w:hAnsi="Segoe UI" w:cs="Segoe UI"/>
      <w:sz w:val="18"/>
      <w:szCs w:val="18"/>
      <w:lang w:val="hu-HU"/>
    </w:rPr>
  </w:style>
  <w:style w:type="character" w:styleId="CommentReference">
    <w:name w:val="annotation reference"/>
    <w:rsid w:val="00FD386D"/>
    <w:rPr>
      <w:sz w:val="16"/>
      <w:szCs w:val="16"/>
    </w:rPr>
  </w:style>
  <w:style w:type="paragraph" w:styleId="CommentText">
    <w:name w:val="annotation text"/>
    <w:basedOn w:val="Normal"/>
    <w:link w:val="CommentTextChar"/>
    <w:rsid w:val="00FD386D"/>
    <w:rPr>
      <w:sz w:val="20"/>
    </w:rPr>
  </w:style>
  <w:style w:type="character" w:customStyle="1" w:styleId="CommentTextChar">
    <w:name w:val="Comment Text Char"/>
    <w:basedOn w:val="DefaultParagraphFont"/>
    <w:link w:val="CommentText"/>
    <w:rsid w:val="00FD386D"/>
    <w:rPr>
      <w:lang w:val="hu-HU"/>
    </w:rPr>
  </w:style>
  <w:style w:type="paragraph" w:styleId="CommentSubject">
    <w:name w:val="annotation subject"/>
    <w:basedOn w:val="CommentText"/>
    <w:next w:val="CommentText"/>
    <w:link w:val="CommentSubjectChar"/>
    <w:rsid w:val="00FD386D"/>
    <w:rPr>
      <w:b/>
      <w:bCs/>
    </w:rPr>
  </w:style>
  <w:style w:type="character" w:customStyle="1" w:styleId="CommentSubjectChar">
    <w:name w:val="Comment Subject Char"/>
    <w:basedOn w:val="CommentTextChar"/>
    <w:link w:val="CommentSubject"/>
    <w:rsid w:val="00FD386D"/>
    <w:rPr>
      <w:b/>
      <w:bCs/>
      <w:lang w:val="hu-HU"/>
    </w:rPr>
  </w:style>
  <w:style w:type="paragraph" w:customStyle="1" w:styleId="Normal6Center">
    <w:name w:val="Normal6 + Center"/>
    <w:qFormat/>
    <w:rsid w:val="00FD386D"/>
    <w:pPr>
      <w:spacing w:after="120"/>
      <w:jc w:val="center"/>
    </w:pPr>
    <w:rPr>
      <w:b/>
      <w:i/>
      <w:color w:val="000000"/>
      <w:sz w:val="24"/>
      <w:szCs w:val="24"/>
      <w:lang w:val="hu-HU"/>
    </w:rPr>
  </w:style>
  <w:style w:type="paragraph" w:customStyle="1" w:styleId="PageHeadingNotTOC">
    <w:name w:val="PageHeadingNotTOC"/>
    <w:basedOn w:val="Normal"/>
    <w:rsid w:val="00FD386D"/>
    <w:pPr>
      <w:keepNext/>
      <w:spacing w:before="240" w:after="240"/>
      <w:jc w:val="center"/>
    </w:pPr>
    <w:rPr>
      <w:rFonts w:ascii="Arial" w:hAnsi="Arial"/>
      <w:b/>
    </w:rPr>
  </w:style>
  <w:style w:type="paragraph" w:styleId="NoSpacing">
    <w:name w:val="No Spacing"/>
    <w:uiPriority w:val="1"/>
    <w:qFormat/>
    <w:rsid w:val="00FD386D"/>
    <w:rPr>
      <w:rFonts w:ascii="Calibri" w:eastAsia="Calibri" w:hAnsi="Calibri"/>
      <w:sz w:val="22"/>
      <w:szCs w:val="22"/>
      <w:lang w:val="hu-HU" w:eastAsia="en-US"/>
    </w:rPr>
  </w:style>
  <w:style w:type="paragraph" w:customStyle="1" w:styleId="ConclusionsPA">
    <w:name w:val="ConclusionsPA"/>
    <w:basedOn w:val="Normal12"/>
    <w:rsid w:val="00FD386D"/>
    <w:pPr>
      <w:spacing w:before="480"/>
      <w:jc w:val="center"/>
    </w:pPr>
    <w:rPr>
      <w:rFonts w:ascii="Arial" w:hAnsi="Arial"/>
      <w:b/>
      <w:caps/>
      <w:snapToGrid w:val="0"/>
      <w:lang w:eastAsia="en-US"/>
    </w:rPr>
  </w:style>
  <w:style w:type="character" w:customStyle="1" w:styleId="SupBoldItalic">
    <w:name w:val="SupBoldItalic"/>
    <w:rsid w:val="00FD386D"/>
    <w:rPr>
      <w:b/>
      <w:i/>
      <w:color w:val="000000"/>
      <w:vertAlign w:val="superscript"/>
    </w:rPr>
  </w:style>
  <w:style w:type="paragraph" w:customStyle="1" w:styleId="Normal24a12b">
    <w:name w:val="Normal24a12b"/>
    <w:basedOn w:val="Normal"/>
    <w:qFormat/>
    <w:rsid w:val="00FD386D"/>
    <w:pPr>
      <w:spacing w:before="240" w:after="480"/>
    </w:pPr>
  </w:style>
  <w:style w:type="paragraph" w:customStyle="1" w:styleId="NormalBoldCentre">
    <w:name w:val="NormalBoldCentre"/>
    <w:basedOn w:val="Normal"/>
    <w:next w:val="Normal"/>
    <w:qFormat/>
    <w:rsid w:val="00FD386D"/>
    <w:pPr>
      <w:jc w:val="center"/>
    </w:pPr>
    <w:rPr>
      <w:b/>
    </w:rPr>
  </w:style>
  <w:style w:type="paragraph" w:customStyle="1" w:styleId="NormalTabs">
    <w:name w:val="NormalTabs"/>
    <w:basedOn w:val="Normal"/>
    <w:qFormat/>
    <w:rsid w:val="00FD386D"/>
    <w:pPr>
      <w:tabs>
        <w:tab w:val="center" w:pos="284"/>
        <w:tab w:val="left" w:pos="426"/>
      </w:tabs>
    </w:pPr>
    <w:rPr>
      <w:snapToGrid w:val="0"/>
      <w:lang w:eastAsia="en-US"/>
    </w:rPr>
  </w:style>
  <w:style w:type="paragraph" w:customStyle="1" w:styleId="NormalBold0">
    <w:name w:val="Normal Bold"/>
    <w:basedOn w:val="Normal"/>
    <w:rsid w:val="00FD386D"/>
    <w:rPr>
      <w:b/>
      <w:snapToGrid w:val="0"/>
      <w:lang w:eastAsia="en-US"/>
    </w:rPr>
  </w:style>
  <w:style w:type="character" w:styleId="Hyperlink">
    <w:name w:val="Hyperlink"/>
    <w:rsid w:val="00FD38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885A-7DAE-487C-B22C-DB01A970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10515</Words>
  <Characters>74880</Characters>
  <Application>Microsoft Office Word</Application>
  <DocSecurity>0</DocSecurity>
  <Lines>2995</Lines>
  <Paragraphs>871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SALAT Adriana</dc:creator>
  <cp:keywords/>
  <cp:lastModifiedBy>ILLY_D</cp:lastModifiedBy>
  <cp:revision>2</cp:revision>
  <cp:lastPrinted>2004-11-19T15:42:00Z</cp:lastPrinted>
  <dcterms:created xsi:type="dcterms:W3CDTF">2019-03-19T14:12:00Z</dcterms:created>
  <dcterms:modified xsi:type="dcterms:W3CDTF">2019-03-19T14:12:00Z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A8-0447/2018</vt:lpwstr>
  </property>
  <property fmtid="{D5CDD505-2E9C-101B-9397-08002B2CF9AE}" pid="4" name="&lt;Type&gt;">
    <vt:lpwstr>RR</vt:lpwstr>
  </property>
</Properties>
</file>