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EF6091" w14:paraId="76516401" w14:textId="77777777" w:rsidTr="006F7907">
        <w:trPr>
          <w:trHeight w:hRule="exact" w:val="1418"/>
        </w:trPr>
        <w:tc>
          <w:tcPr>
            <w:tcW w:w="6804" w:type="dxa"/>
            <w:shd w:val="clear" w:color="auto" w:fill="auto"/>
            <w:vAlign w:val="center"/>
          </w:tcPr>
          <w:p w14:paraId="4F1E1234" w14:textId="77777777" w:rsidR="006F7907" w:rsidRPr="00EF6091" w:rsidRDefault="00701A0F" w:rsidP="00FD1DEF">
            <w:pPr>
              <w:pStyle w:val="EPName"/>
            </w:pPr>
            <w:bookmarkStart w:id="0" w:name="_GoBack"/>
            <w:bookmarkEnd w:id="0"/>
            <w:r w:rsidRPr="00EF6091">
              <w:t>Európsky parlament</w:t>
            </w:r>
          </w:p>
          <w:p w14:paraId="4FAD243D" w14:textId="77777777" w:rsidR="006F7907" w:rsidRPr="00EF6091" w:rsidRDefault="009F1A66" w:rsidP="009F1A66">
            <w:pPr>
              <w:pStyle w:val="EPTerm"/>
              <w:rPr>
                <w:rStyle w:val="HideTWBExt"/>
                <w:noProof w:val="0"/>
                <w:vanish w:val="0"/>
                <w:color w:val="auto"/>
              </w:rPr>
            </w:pPr>
            <w:r w:rsidRPr="00EF6091">
              <w:t>2014-2019</w:t>
            </w:r>
          </w:p>
        </w:tc>
        <w:tc>
          <w:tcPr>
            <w:tcW w:w="2268" w:type="dxa"/>
            <w:shd w:val="clear" w:color="auto" w:fill="auto"/>
          </w:tcPr>
          <w:p w14:paraId="40541FB6" w14:textId="77777777" w:rsidR="006F7907" w:rsidRPr="00EF6091" w:rsidRDefault="00EF6091" w:rsidP="00896BB4">
            <w:pPr>
              <w:pStyle w:val="EPLogo"/>
            </w:pPr>
            <w:r w:rsidRPr="00EF6091">
              <w:pict w14:anchorId="6D73B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v:imagedata r:id="rId8" o:title="EP logo RGB_Mute"/>
                </v:shape>
              </w:pict>
            </w:r>
          </w:p>
        </w:tc>
      </w:tr>
    </w:tbl>
    <w:p w14:paraId="2B7660DE" w14:textId="77777777" w:rsidR="00461601" w:rsidRPr="00EF6091" w:rsidRDefault="00461601" w:rsidP="00461601">
      <w:pPr>
        <w:pStyle w:val="LineTop"/>
      </w:pPr>
    </w:p>
    <w:p w14:paraId="776EEAB4" w14:textId="11099599" w:rsidR="00461601" w:rsidRPr="00EF6091" w:rsidRDefault="0063487A" w:rsidP="00461601">
      <w:pPr>
        <w:pStyle w:val="ZCommittee"/>
      </w:pPr>
      <w:r w:rsidRPr="00EF6091">
        <w:t>Dokument na schôdzu</w:t>
      </w:r>
    </w:p>
    <w:p w14:paraId="752EF539" w14:textId="77777777" w:rsidR="00461601" w:rsidRPr="00EF6091" w:rsidRDefault="00461601" w:rsidP="00461601">
      <w:pPr>
        <w:pStyle w:val="LineBottom"/>
      </w:pPr>
    </w:p>
    <w:p w14:paraId="25827309" w14:textId="562C77D7" w:rsidR="00793EA9" w:rsidRPr="00EF6091" w:rsidRDefault="0063487A">
      <w:pPr>
        <w:pStyle w:val="RefProc"/>
      </w:pPr>
      <w:r w:rsidRPr="00EF6091">
        <w:rPr>
          <w:rStyle w:val="HideTWBExt"/>
          <w:noProof w:val="0"/>
        </w:rPr>
        <w:t>&lt;NoDocSe&gt;</w:t>
      </w:r>
      <w:r w:rsidRPr="00EF6091">
        <w:t>A8-0473/2018</w:t>
      </w:r>
      <w:r w:rsidRPr="00EF6091">
        <w:rPr>
          <w:rStyle w:val="HideTWBExt"/>
          <w:noProof w:val="0"/>
        </w:rPr>
        <w:t>&lt;/NoDocSe&gt;</w:t>
      </w:r>
    </w:p>
    <w:p w14:paraId="1883E655" w14:textId="28077138" w:rsidR="00793EA9" w:rsidRPr="00EF6091" w:rsidRDefault="00793EA9">
      <w:pPr>
        <w:pStyle w:val="ZDate"/>
      </w:pPr>
      <w:r w:rsidRPr="00EF6091">
        <w:rPr>
          <w:rStyle w:val="HideTWBExt"/>
          <w:noProof w:val="0"/>
        </w:rPr>
        <w:t>&lt;Date&gt;</w:t>
      </w:r>
      <w:r w:rsidRPr="00EF6091">
        <w:rPr>
          <w:rStyle w:val="HideTWBInt"/>
          <w:color w:val="auto"/>
        </w:rPr>
        <w:t>{18/12/2018}</w:t>
      </w:r>
      <w:r w:rsidRPr="00EF6091">
        <w:t>18.12.2018</w:t>
      </w:r>
      <w:r w:rsidRPr="00EF6091">
        <w:rPr>
          <w:rStyle w:val="HideTWBExt"/>
          <w:noProof w:val="0"/>
        </w:rPr>
        <w:t>&lt;/Date&gt;</w:t>
      </w:r>
    </w:p>
    <w:p w14:paraId="1727F7FD" w14:textId="77777777" w:rsidR="00793EA9" w:rsidRPr="00EF6091" w:rsidRDefault="00793EA9">
      <w:pPr>
        <w:pStyle w:val="StarsAndIs"/>
      </w:pPr>
      <w:r w:rsidRPr="00EF6091">
        <w:rPr>
          <w:rStyle w:val="HideTWBExt"/>
          <w:b w:val="0"/>
          <w:noProof w:val="0"/>
        </w:rPr>
        <w:t>&lt;RefProcLect&gt;</w:t>
      </w:r>
      <w:r w:rsidRPr="00EF6091">
        <w:t>***I</w:t>
      </w:r>
      <w:r w:rsidRPr="00EF6091">
        <w:rPr>
          <w:rStyle w:val="HideTWBExt"/>
          <w:b w:val="0"/>
          <w:noProof w:val="0"/>
        </w:rPr>
        <w:t>&lt;/RefProcLect&gt;</w:t>
      </w:r>
    </w:p>
    <w:p w14:paraId="736165B8" w14:textId="34EA5FF5" w:rsidR="00793EA9" w:rsidRPr="00EF6091" w:rsidRDefault="00793EA9">
      <w:pPr>
        <w:pStyle w:val="TypeDoc"/>
      </w:pPr>
      <w:r w:rsidRPr="00EF6091">
        <w:rPr>
          <w:rStyle w:val="HideTWBExt"/>
          <w:b w:val="0"/>
          <w:noProof w:val="0"/>
        </w:rPr>
        <w:t>&lt;TitreType&gt;</w:t>
      </w:r>
      <w:r w:rsidRPr="00EF6091">
        <w:t>SPRÁVA</w:t>
      </w:r>
      <w:r w:rsidRPr="00EF6091">
        <w:rPr>
          <w:rStyle w:val="HideTWBExt"/>
          <w:b w:val="0"/>
          <w:noProof w:val="0"/>
        </w:rPr>
        <w:t>&lt;/TitreType&gt;</w:t>
      </w:r>
    </w:p>
    <w:p w14:paraId="7A88489D" w14:textId="5D3AB0D3" w:rsidR="00793EA9" w:rsidRPr="00EF6091" w:rsidRDefault="00793EA9">
      <w:pPr>
        <w:pStyle w:val="CoverNormal"/>
      </w:pPr>
      <w:r w:rsidRPr="00EF6091">
        <w:rPr>
          <w:rStyle w:val="HideTWBExt"/>
          <w:noProof w:val="0"/>
        </w:rPr>
        <w:t>&lt;Titre&gt;</w:t>
      </w:r>
      <w:r w:rsidRPr="00EF6091">
        <w:t>o návrhu nariadenia Európskeho Parlamentu a Rady o uvádzaní prekurzorov výbušnín na trh a ich používaní, ktorým sa mení príloha XVII k nariadeniu (ES) č. 1907/2006 a ktorým sa zrušuje nariadenie (EÚ) č. 98/2013 o uvádzaní prekurzorov výbušnín na trh a ich používaní</w:t>
      </w:r>
      <w:r w:rsidRPr="00EF6091">
        <w:rPr>
          <w:rStyle w:val="HideTWBExt"/>
          <w:noProof w:val="0"/>
        </w:rPr>
        <w:t>&lt;/Titre&gt;</w:t>
      </w:r>
    </w:p>
    <w:p w14:paraId="5956AA24" w14:textId="77777777" w:rsidR="00793EA9" w:rsidRPr="00EF6091" w:rsidRDefault="00793EA9">
      <w:pPr>
        <w:pStyle w:val="Cover24"/>
      </w:pPr>
      <w:r w:rsidRPr="00EF6091">
        <w:rPr>
          <w:rStyle w:val="HideTWBExt"/>
          <w:noProof w:val="0"/>
        </w:rPr>
        <w:t>&lt;DocRef&gt;</w:t>
      </w:r>
      <w:r w:rsidRPr="00EF6091">
        <w:t>(COM(2018)0209 – C8</w:t>
      </w:r>
      <w:r w:rsidRPr="00EF6091">
        <w:noBreakHyphen/>
        <w:t>0151/2018 – 2018/0103(COD))</w:t>
      </w:r>
      <w:r w:rsidRPr="00EF6091">
        <w:rPr>
          <w:rStyle w:val="HideTWBExt"/>
          <w:noProof w:val="0"/>
        </w:rPr>
        <w:t>&lt;/DocRef&gt;</w:t>
      </w:r>
    </w:p>
    <w:p w14:paraId="6CCA11B3" w14:textId="77777777" w:rsidR="00793EA9" w:rsidRPr="00EF6091" w:rsidRDefault="00793EA9">
      <w:pPr>
        <w:pStyle w:val="Cover24"/>
      </w:pPr>
      <w:r w:rsidRPr="00EF6091">
        <w:rPr>
          <w:rStyle w:val="HideTWBExt"/>
          <w:noProof w:val="0"/>
        </w:rPr>
        <w:t>&lt;Commission&gt;</w:t>
      </w:r>
      <w:r w:rsidRPr="00EF6091">
        <w:rPr>
          <w:rStyle w:val="HideTWBInt"/>
          <w:color w:val="auto"/>
        </w:rPr>
        <w:t>{LIBE}</w:t>
      </w:r>
      <w:r w:rsidRPr="00EF6091">
        <w:t>Výbor pre občianske slobody, spravodlivosť a vnútorné veci</w:t>
      </w:r>
      <w:r w:rsidRPr="00EF6091">
        <w:rPr>
          <w:rStyle w:val="HideTWBExt"/>
          <w:noProof w:val="0"/>
        </w:rPr>
        <w:t>&lt;/Commission&gt;</w:t>
      </w:r>
    </w:p>
    <w:p w14:paraId="1F15EC14" w14:textId="77777777" w:rsidR="00793EA9" w:rsidRPr="00EF6091" w:rsidRDefault="00701A0F">
      <w:pPr>
        <w:pStyle w:val="Cover24"/>
      </w:pPr>
      <w:r w:rsidRPr="00EF6091">
        <w:t xml:space="preserve">Spravodajca: </w:t>
      </w:r>
      <w:r w:rsidRPr="00EF6091">
        <w:rPr>
          <w:rStyle w:val="HideTWBExt"/>
          <w:noProof w:val="0"/>
        </w:rPr>
        <w:t>&lt;Depute&gt;</w:t>
      </w:r>
      <w:r w:rsidRPr="00EF6091">
        <w:t>Andrejs Mamikins</w:t>
      </w:r>
      <w:r w:rsidRPr="00EF6091">
        <w:rPr>
          <w:rStyle w:val="HideTWBExt"/>
          <w:noProof w:val="0"/>
        </w:rPr>
        <w:t>&lt;/Depute&gt;</w:t>
      </w:r>
    </w:p>
    <w:p w14:paraId="6F53C559" w14:textId="77777777" w:rsidR="00793EA9" w:rsidRPr="00EF6091" w:rsidRDefault="00793EA9" w:rsidP="00187008">
      <w:pPr>
        <w:widowControl/>
        <w:tabs>
          <w:tab w:val="center" w:pos="4677"/>
        </w:tabs>
      </w:pPr>
      <w:r w:rsidRPr="00EF6091">
        <w:br w:type="page"/>
      </w:r>
    </w:p>
    <w:p w14:paraId="7BC6E1FC" w14:textId="0536DA1E" w:rsidR="009F1A66" w:rsidRPr="00EF6091" w:rsidRDefault="00F20209">
      <w:fldSimple w:instr=" TITLE  \* MERGEFORMAT ">
        <w:r w:rsidR="00F05A7A">
          <w:t>PR_COD_1amCom</w:t>
        </w:r>
      </w:fldSimple>
    </w:p>
    <w:p w14:paraId="17D88E17" w14:textId="77777777" w:rsidR="009F1A66" w:rsidRPr="00EF6091" w:rsidRDefault="009F1A66"/>
    <w:p w14:paraId="69CFC079" w14:textId="77777777" w:rsidR="009F1A66" w:rsidRPr="00EF6091" w:rsidRDefault="009F1A6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F1A66" w:rsidRPr="00EF6091" w14:paraId="4993ED55" w14:textId="77777777">
        <w:tc>
          <w:tcPr>
            <w:tcW w:w="5811" w:type="dxa"/>
          </w:tcPr>
          <w:p w14:paraId="6217E408" w14:textId="77777777" w:rsidR="009F1A66" w:rsidRPr="00EF6091" w:rsidRDefault="009F1A66">
            <w:pPr>
              <w:pStyle w:val="Lgendetitre"/>
            </w:pPr>
            <w:r w:rsidRPr="00EF6091">
              <w:t>Označenie postupov</w:t>
            </w:r>
          </w:p>
        </w:tc>
      </w:tr>
      <w:tr w:rsidR="009F1A66" w:rsidRPr="00EF6091" w14:paraId="2F77A9CF" w14:textId="77777777" w:rsidTr="00BC1135">
        <w:trPr>
          <w:cantSplit/>
          <w:trHeight w:val="1944"/>
        </w:trPr>
        <w:tc>
          <w:tcPr>
            <w:tcW w:w="5811" w:type="dxa"/>
            <w:tcBorders>
              <w:bottom w:val="single" w:sz="4" w:space="0" w:color="auto"/>
            </w:tcBorders>
          </w:tcPr>
          <w:p w14:paraId="4B04BB55" w14:textId="77777777" w:rsidR="009F1A66" w:rsidRPr="00EF6091" w:rsidRDefault="009F1A66">
            <w:pPr>
              <w:pStyle w:val="Lgendesigne"/>
            </w:pPr>
            <w:r w:rsidRPr="00EF6091">
              <w:tab/>
              <w:t>*</w:t>
            </w:r>
            <w:r w:rsidRPr="00EF6091">
              <w:tab/>
              <w:t>Konzultácia</w:t>
            </w:r>
          </w:p>
          <w:p w14:paraId="0F938379" w14:textId="77777777" w:rsidR="009F1A66" w:rsidRPr="00EF6091" w:rsidRDefault="009F1A66">
            <w:pPr>
              <w:pStyle w:val="Lgendesigne"/>
            </w:pPr>
            <w:r w:rsidRPr="00EF6091">
              <w:tab/>
              <w:t>***</w:t>
            </w:r>
            <w:r w:rsidRPr="00EF6091">
              <w:tab/>
              <w:t>Súhlas</w:t>
            </w:r>
          </w:p>
          <w:p w14:paraId="29277966" w14:textId="77777777" w:rsidR="009F1A66" w:rsidRPr="00EF6091" w:rsidRDefault="009F1A66">
            <w:pPr>
              <w:pStyle w:val="Lgendesigne"/>
            </w:pPr>
            <w:r w:rsidRPr="00EF6091">
              <w:tab/>
              <w:t>***I</w:t>
            </w:r>
            <w:r w:rsidRPr="00EF6091">
              <w:tab/>
              <w:t>Riadny legislatívny postup (prvé čítanie)</w:t>
            </w:r>
          </w:p>
          <w:p w14:paraId="6A68F99F" w14:textId="77777777" w:rsidR="009F1A66" w:rsidRPr="00EF6091" w:rsidRDefault="009F1A66">
            <w:pPr>
              <w:pStyle w:val="Lgendesigne"/>
            </w:pPr>
            <w:r w:rsidRPr="00EF6091">
              <w:tab/>
              <w:t>***II</w:t>
            </w:r>
            <w:r w:rsidRPr="00EF6091">
              <w:tab/>
              <w:t>Riadny legislatívny postup (druhé čítanie)</w:t>
            </w:r>
          </w:p>
          <w:p w14:paraId="583D321C" w14:textId="77777777" w:rsidR="009F1A66" w:rsidRPr="00EF6091" w:rsidRDefault="009F1A66">
            <w:pPr>
              <w:pStyle w:val="Lgendesigne"/>
            </w:pPr>
            <w:r w:rsidRPr="00EF6091">
              <w:tab/>
              <w:t>***III</w:t>
            </w:r>
            <w:r w:rsidRPr="00EF6091">
              <w:tab/>
              <w:t>Riadny legislatívny postup (tretie čítanie)</w:t>
            </w:r>
          </w:p>
          <w:p w14:paraId="3EB844D9" w14:textId="77777777" w:rsidR="009F1A66" w:rsidRPr="00EF6091" w:rsidRDefault="009F1A66">
            <w:pPr>
              <w:pStyle w:val="Lgendesigne"/>
              <w:ind w:left="0" w:firstLine="0"/>
            </w:pPr>
          </w:p>
          <w:p w14:paraId="3E360928" w14:textId="77777777" w:rsidR="009F1A66" w:rsidRPr="00EF6091" w:rsidRDefault="009F1A66">
            <w:pPr>
              <w:pStyle w:val="Lgendestandard"/>
            </w:pPr>
            <w:r w:rsidRPr="00EF6091">
              <w:t>(Typ postupu závisí od právneho základu navrhnutého v návrhu aktu.)</w:t>
            </w:r>
          </w:p>
          <w:p w14:paraId="3A0A1295" w14:textId="77777777" w:rsidR="009F1A66" w:rsidRPr="00EF6091" w:rsidRDefault="009F1A66">
            <w:pPr>
              <w:pStyle w:val="Lgendesigne"/>
              <w:ind w:left="0" w:firstLine="0"/>
            </w:pPr>
          </w:p>
        </w:tc>
      </w:tr>
    </w:tbl>
    <w:p w14:paraId="1CBA2F36" w14:textId="77777777" w:rsidR="009F1A66" w:rsidRPr="00EF6091" w:rsidRDefault="009F1A66"/>
    <w:p w14:paraId="2DB1E942" w14:textId="77777777" w:rsidR="009F1A66" w:rsidRPr="00EF6091" w:rsidRDefault="009F1A66"/>
    <w:p w14:paraId="1D4E5D20" w14:textId="77777777" w:rsidR="009F1A66" w:rsidRPr="00EF6091" w:rsidRDefault="009F1A66"/>
    <w:p w14:paraId="6257476D" w14:textId="77777777" w:rsidR="009F1A66" w:rsidRPr="00EF6091" w:rsidRDefault="009F1A6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F1A66" w:rsidRPr="00EF6091" w14:paraId="6983A245" w14:textId="77777777">
        <w:tc>
          <w:tcPr>
            <w:tcW w:w="5811" w:type="dxa"/>
          </w:tcPr>
          <w:p w14:paraId="495C0048" w14:textId="77777777" w:rsidR="009F1A66" w:rsidRPr="00EF6091" w:rsidRDefault="009F1A66">
            <w:pPr>
              <w:pStyle w:val="Lgendetitre"/>
            </w:pPr>
            <w:r w:rsidRPr="00EF6091">
              <w:t>Pozmeňujúce návrhy k návrhu aktu</w:t>
            </w:r>
          </w:p>
        </w:tc>
      </w:tr>
      <w:tr w:rsidR="009F1A66" w:rsidRPr="00EF6091" w14:paraId="7A16D2D1" w14:textId="77777777">
        <w:tc>
          <w:tcPr>
            <w:tcW w:w="5811" w:type="dxa"/>
          </w:tcPr>
          <w:p w14:paraId="79F52248" w14:textId="77777777" w:rsidR="009F1A66" w:rsidRPr="00EF6091" w:rsidRDefault="009F1A66" w:rsidP="00BC1135">
            <w:pPr>
              <w:pStyle w:val="Lgendestandard"/>
              <w:rPr>
                <w:szCs w:val="24"/>
              </w:rPr>
            </w:pPr>
            <w:r w:rsidRPr="00EF6091">
              <w:rPr>
                <w:b/>
                <w:szCs w:val="24"/>
              </w:rPr>
              <w:t>Pozmeňujúce návrhy Európskeho parlamentu v dvoch stĺpcoch</w:t>
            </w:r>
          </w:p>
          <w:p w14:paraId="4C310F9A" w14:textId="77777777" w:rsidR="009F1A66" w:rsidRPr="00EF6091" w:rsidRDefault="009F1A66" w:rsidP="00BC1135">
            <w:pPr>
              <w:pStyle w:val="Lgendestandard"/>
              <w:rPr>
                <w:szCs w:val="24"/>
              </w:rPr>
            </w:pPr>
          </w:p>
          <w:p w14:paraId="11307312" w14:textId="77777777" w:rsidR="009F1A66" w:rsidRPr="00EF6091" w:rsidRDefault="009F1A66" w:rsidP="00BC1135">
            <w:pPr>
              <w:pStyle w:val="Lgendestandard"/>
              <w:rPr>
                <w:szCs w:val="24"/>
              </w:rPr>
            </w:pPr>
            <w:r w:rsidRPr="00EF6091">
              <w:t xml:space="preserve">Vypustenia sa označujú </w:t>
            </w:r>
            <w:r w:rsidRPr="00EF6091">
              <w:rPr>
                <w:b/>
                <w:i/>
                <w:szCs w:val="24"/>
              </w:rPr>
              <w:t>hrubou kurzívou</w:t>
            </w:r>
            <w:r w:rsidRPr="00EF6091">
              <w:t xml:space="preserve"> v ľavom stĺpci. Nahradenia sa označujú </w:t>
            </w:r>
            <w:r w:rsidRPr="00EF6091">
              <w:rPr>
                <w:b/>
                <w:i/>
                <w:szCs w:val="24"/>
              </w:rPr>
              <w:t>hrubou kurzívou</w:t>
            </w:r>
            <w:r w:rsidRPr="00EF6091">
              <w:t xml:space="preserve"> v oboch stĺpcoch. Nový text sa označuje </w:t>
            </w:r>
            <w:r w:rsidRPr="00EF6091">
              <w:rPr>
                <w:b/>
                <w:i/>
                <w:szCs w:val="24"/>
              </w:rPr>
              <w:t>hrubou kurzívou</w:t>
            </w:r>
            <w:r w:rsidRPr="00EF6091">
              <w:t xml:space="preserve"> v pravom stĺpci.</w:t>
            </w:r>
          </w:p>
          <w:p w14:paraId="0ABB3124" w14:textId="77777777" w:rsidR="009F1A66" w:rsidRPr="00EF6091" w:rsidRDefault="009F1A66" w:rsidP="00BC1135">
            <w:pPr>
              <w:pStyle w:val="Lgendestandard"/>
              <w:rPr>
                <w:szCs w:val="24"/>
              </w:rPr>
            </w:pPr>
          </w:p>
          <w:p w14:paraId="4A58DD03" w14:textId="77777777" w:rsidR="009F1A66" w:rsidRPr="00EF6091" w:rsidRDefault="009F1A66" w:rsidP="00BC1135">
            <w:pPr>
              <w:pStyle w:val="Lgendestandard"/>
              <w:rPr>
                <w:szCs w:val="24"/>
              </w:rPr>
            </w:pPr>
            <w:r w:rsidRPr="00EF6091">
              <w:t>Prvý a druhý riadok záhlavia každého pozmeňujúceho návrhu vymedzujú príslušnú časť v návrhu aktu predloženého na prerokovanie. Ak sa pozmeňujúci návrh týka platného aktu, ktorý sa má návrhom aktu zmeniť, záhlavie navyše obsahuje tretí riadok uvádzajúci platný akt a štvrtý riadok uvádzajúci príslušné ustanovenie tohto aktu.</w:t>
            </w:r>
          </w:p>
          <w:p w14:paraId="4E239900" w14:textId="77777777" w:rsidR="009F1A66" w:rsidRPr="00EF6091" w:rsidRDefault="009F1A66" w:rsidP="00BC1135">
            <w:pPr>
              <w:pStyle w:val="Lgendestandard"/>
              <w:rPr>
                <w:szCs w:val="24"/>
              </w:rPr>
            </w:pPr>
          </w:p>
          <w:p w14:paraId="46B177D5" w14:textId="77777777" w:rsidR="009F1A66" w:rsidRPr="00EF6091" w:rsidRDefault="009F1A66" w:rsidP="00BC1135">
            <w:pPr>
              <w:pStyle w:val="Lgendestandard"/>
              <w:rPr>
                <w:b/>
                <w:szCs w:val="24"/>
              </w:rPr>
            </w:pPr>
            <w:r w:rsidRPr="00EF6091">
              <w:rPr>
                <w:b/>
                <w:szCs w:val="24"/>
              </w:rPr>
              <w:t>Pozmeňujúce návrhy Európskeho parlamentu v podobe konsolidovaného textu</w:t>
            </w:r>
          </w:p>
          <w:p w14:paraId="214EF043" w14:textId="77777777" w:rsidR="009F1A66" w:rsidRPr="00EF6091" w:rsidRDefault="009F1A66" w:rsidP="00BC1135">
            <w:pPr>
              <w:pStyle w:val="Lgendestandard"/>
              <w:rPr>
                <w:szCs w:val="24"/>
              </w:rPr>
            </w:pPr>
          </w:p>
          <w:p w14:paraId="6C63F18F" w14:textId="77777777" w:rsidR="009F1A66" w:rsidRPr="00EF6091" w:rsidRDefault="009F1A66" w:rsidP="00BC1135">
            <w:pPr>
              <w:pStyle w:val="Lgendestandard"/>
              <w:rPr>
                <w:szCs w:val="24"/>
              </w:rPr>
            </w:pPr>
            <w:r w:rsidRPr="00EF6091">
              <w:t xml:space="preserve">Nové časti textov sa označujú </w:t>
            </w:r>
            <w:r w:rsidRPr="00EF6091">
              <w:rPr>
                <w:b/>
                <w:i/>
              </w:rPr>
              <w:t>hrubou kurzívou</w:t>
            </w:r>
            <w:r w:rsidRPr="00EF6091">
              <w:t xml:space="preserve">. Vypustené časti textu sa označujú symbolom ▌ alebo sa prečiarkujú. V prípade nahradenia sa nový text vyznačí </w:t>
            </w:r>
            <w:r w:rsidRPr="00EF6091">
              <w:rPr>
                <w:b/>
                <w:i/>
              </w:rPr>
              <w:t>hrubou kurzívou</w:t>
            </w:r>
            <w:r w:rsidRPr="00EF6091">
              <w:t xml:space="preserve"> a nahradený text sa vymaže alebo sa prečiarkne. </w:t>
            </w:r>
          </w:p>
          <w:p w14:paraId="5136F621" w14:textId="77777777" w:rsidR="009F1A66" w:rsidRPr="00EF6091" w:rsidRDefault="009F1A66" w:rsidP="00BC1135">
            <w:pPr>
              <w:pStyle w:val="Lgendestandard"/>
              <w:rPr>
                <w:szCs w:val="24"/>
              </w:rPr>
            </w:pPr>
            <w:r w:rsidRPr="00EF6091">
              <w:t>Čisto technické zmeny, ktoré vykonávajú útvary s cieľom vypracovať konečný text, sa však nevyznačujú.</w:t>
            </w:r>
          </w:p>
          <w:p w14:paraId="448D4181" w14:textId="77777777" w:rsidR="009F1A66" w:rsidRPr="00EF6091" w:rsidRDefault="009F1A66">
            <w:pPr>
              <w:pStyle w:val="Lgendestandard"/>
            </w:pPr>
          </w:p>
        </w:tc>
      </w:tr>
    </w:tbl>
    <w:p w14:paraId="58A29DC6" w14:textId="77777777" w:rsidR="009F1A66" w:rsidRPr="00EF6091" w:rsidRDefault="009F1A66"/>
    <w:p w14:paraId="718BACE3" w14:textId="77777777" w:rsidR="00793EA9" w:rsidRPr="00EF6091" w:rsidRDefault="00793EA9" w:rsidP="00012351">
      <w:pPr>
        <w:widowControl/>
        <w:tabs>
          <w:tab w:val="center" w:pos="4677"/>
        </w:tabs>
      </w:pPr>
    </w:p>
    <w:p w14:paraId="16747941" w14:textId="77777777" w:rsidR="00793EA9" w:rsidRPr="00EF6091" w:rsidRDefault="00793EA9">
      <w:pPr>
        <w:pStyle w:val="TOCHeading"/>
      </w:pPr>
      <w:r w:rsidRPr="00EF6091">
        <w:br w:type="page"/>
      </w:r>
      <w:r w:rsidRPr="00EF6091">
        <w:lastRenderedPageBreak/>
        <w:t>OBSAH</w:t>
      </w:r>
    </w:p>
    <w:p w14:paraId="0D5C5E9A" w14:textId="77777777" w:rsidR="00793EA9" w:rsidRPr="00EF6091" w:rsidRDefault="00701A0F">
      <w:pPr>
        <w:pStyle w:val="TOCPage"/>
      </w:pPr>
      <w:r w:rsidRPr="00EF6091">
        <w:t>strana</w:t>
      </w:r>
    </w:p>
    <w:p w14:paraId="15A938E2" w14:textId="6F6434AA" w:rsidR="00F05A7A" w:rsidRDefault="001767E2">
      <w:pPr>
        <w:pStyle w:val="TOC1"/>
        <w:tabs>
          <w:tab w:val="right" w:leader="dot" w:pos="9060"/>
        </w:tabs>
        <w:rPr>
          <w:rFonts w:asciiTheme="minorHAnsi" w:eastAsiaTheme="minorEastAsia" w:hAnsiTheme="minorHAnsi" w:cstheme="minorBidi"/>
          <w:noProof/>
          <w:sz w:val="22"/>
          <w:szCs w:val="22"/>
          <w:lang w:val="en-GB"/>
        </w:rPr>
      </w:pPr>
      <w:r w:rsidRPr="00EF6091">
        <w:rPr>
          <w:b/>
        </w:rPr>
        <w:fldChar w:fldCharType="begin"/>
      </w:r>
      <w:r w:rsidRPr="00EF6091">
        <w:rPr>
          <w:b/>
        </w:rPr>
        <w:instrText xml:space="preserve"> TOC \t "PageHeading</w:instrText>
      </w:r>
      <w:r w:rsidR="00556158" w:rsidRPr="00EF6091">
        <w:rPr>
          <w:b/>
        </w:rPr>
        <w:instrText>;</w:instrText>
      </w:r>
      <w:r w:rsidRPr="00EF6091">
        <w:rPr>
          <w:b/>
        </w:rPr>
        <w:instrText xml:space="preserve">1" </w:instrText>
      </w:r>
      <w:r w:rsidRPr="00EF6091">
        <w:rPr>
          <w:b/>
        </w:rPr>
        <w:fldChar w:fldCharType="separate"/>
      </w:r>
      <w:r w:rsidR="00F05A7A">
        <w:rPr>
          <w:noProof/>
        </w:rPr>
        <w:t>NÁVRH LEGISLATÍVNEHO UZNESENIA EURÓPSKEHO PARLAMENTU</w:t>
      </w:r>
      <w:r w:rsidR="00F05A7A">
        <w:rPr>
          <w:noProof/>
        </w:rPr>
        <w:tab/>
      </w:r>
      <w:r w:rsidR="00F05A7A">
        <w:rPr>
          <w:noProof/>
        </w:rPr>
        <w:fldChar w:fldCharType="begin"/>
      </w:r>
      <w:r w:rsidR="00F05A7A">
        <w:rPr>
          <w:noProof/>
        </w:rPr>
        <w:instrText xml:space="preserve"> PAGEREF _Toc535912265 \h </w:instrText>
      </w:r>
      <w:r w:rsidR="00F05A7A">
        <w:rPr>
          <w:noProof/>
        </w:rPr>
      </w:r>
      <w:r w:rsidR="00F05A7A">
        <w:rPr>
          <w:noProof/>
        </w:rPr>
        <w:fldChar w:fldCharType="separate"/>
      </w:r>
      <w:r w:rsidR="00F05A7A">
        <w:rPr>
          <w:noProof/>
        </w:rPr>
        <w:t>5</w:t>
      </w:r>
      <w:r w:rsidR="00F05A7A">
        <w:rPr>
          <w:noProof/>
        </w:rPr>
        <w:fldChar w:fldCharType="end"/>
      </w:r>
    </w:p>
    <w:p w14:paraId="17F8012F" w14:textId="6672634F" w:rsidR="00F05A7A" w:rsidRDefault="00F05A7A">
      <w:pPr>
        <w:pStyle w:val="TOC1"/>
        <w:tabs>
          <w:tab w:val="right" w:leader="dot" w:pos="9060"/>
        </w:tabs>
        <w:rPr>
          <w:rFonts w:asciiTheme="minorHAnsi" w:eastAsiaTheme="minorEastAsia" w:hAnsiTheme="minorHAnsi" w:cstheme="minorBidi"/>
          <w:noProof/>
          <w:sz w:val="22"/>
          <w:szCs w:val="22"/>
          <w:lang w:val="en-GB"/>
        </w:rPr>
      </w:pPr>
      <w:r>
        <w:rPr>
          <w:noProof/>
        </w:rPr>
        <w:t>DÔVODOVÁ SPRÁVA</w:t>
      </w:r>
      <w:r>
        <w:rPr>
          <w:noProof/>
        </w:rPr>
        <w:tab/>
      </w:r>
      <w:r>
        <w:rPr>
          <w:noProof/>
        </w:rPr>
        <w:fldChar w:fldCharType="begin"/>
      </w:r>
      <w:r>
        <w:rPr>
          <w:noProof/>
        </w:rPr>
        <w:instrText xml:space="preserve"> PAGEREF _Toc535912266 \h </w:instrText>
      </w:r>
      <w:r>
        <w:rPr>
          <w:noProof/>
        </w:rPr>
      </w:r>
      <w:r>
        <w:rPr>
          <w:noProof/>
        </w:rPr>
        <w:fldChar w:fldCharType="separate"/>
      </w:r>
      <w:r>
        <w:rPr>
          <w:noProof/>
        </w:rPr>
        <w:t>24</w:t>
      </w:r>
      <w:r>
        <w:rPr>
          <w:noProof/>
        </w:rPr>
        <w:fldChar w:fldCharType="end"/>
      </w:r>
    </w:p>
    <w:p w14:paraId="20521BB4" w14:textId="5D6AE771" w:rsidR="00F05A7A" w:rsidRDefault="00F05A7A">
      <w:pPr>
        <w:pStyle w:val="TOC1"/>
        <w:tabs>
          <w:tab w:val="right" w:leader="dot" w:pos="9060"/>
        </w:tabs>
        <w:rPr>
          <w:rFonts w:asciiTheme="minorHAnsi" w:eastAsiaTheme="minorEastAsia" w:hAnsiTheme="minorHAnsi" w:cstheme="minorBidi"/>
          <w:noProof/>
          <w:sz w:val="22"/>
          <w:szCs w:val="22"/>
          <w:lang w:val="en-GB"/>
        </w:rPr>
      </w:pPr>
      <w:r>
        <w:rPr>
          <w:noProof/>
        </w:rPr>
        <w:t>POSTUP – GESTORSKÝ VÝBOR</w:t>
      </w:r>
      <w:r>
        <w:rPr>
          <w:noProof/>
        </w:rPr>
        <w:tab/>
      </w:r>
      <w:r>
        <w:rPr>
          <w:noProof/>
        </w:rPr>
        <w:fldChar w:fldCharType="begin"/>
      </w:r>
      <w:r>
        <w:rPr>
          <w:noProof/>
        </w:rPr>
        <w:instrText xml:space="preserve"> PAGEREF _Toc535912267 \h </w:instrText>
      </w:r>
      <w:r>
        <w:rPr>
          <w:noProof/>
        </w:rPr>
      </w:r>
      <w:r>
        <w:rPr>
          <w:noProof/>
        </w:rPr>
        <w:fldChar w:fldCharType="separate"/>
      </w:r>
      <w:r>
        <w:rPr>
          <w:noProof/>
        </w:rPr>
        <w:t>26</w:t>
      </w:r>
      <w:r>
        <w:rPr>
          <w:noProof/>
        </w:rPr>
        <w:fldChar w:fldCharType="end"/>
      </w:r>
    </w:p>
    <w:p w14:paraId="08FD81A4" w14:textId="004A7692" w:rsidR="00F05A7A" w:rsidRDefault="00F05A7A">
      <w:pPr>
        <w:pStyle w:val="TOC1"/>
        <w:tabs>
          <w:tab w:val="right" w:leader="dot" w:pos="9060"/>
        </w:tabs>
        <w:rPr>
          <w:rFonts w:asciiTheme="minorHAnsi" w:eastAsiaTheme="minorEastAsia" w:hAnsiTheme="minorHAnsi" w:cstheme="minorBidi"/>
          <w:noProof/>
          <w:sz w:val="22"/>
          <w:szCs w:val="22"/>
          <w:lang w:val="en-GB"/>
        </w:rPr>
      </w:pPr>
      <w:r>
        <w:rPr>
          <w:noProof/>
        </w:rPr>
        <w:t>ZÁVEREČNÉ HLASOVANIE PODĽA MIEN V GESTORSKOM VÝBORE</w:t>
      </w:r>
      <w:r>
        <w:rPr>
          <w:noProof/>
        </w:rPr>
        <w:tab/>
      </w:r>
      <w:r>
        <w:rPr>
          <w:noProof/>
        </w:rPr>
        <w:fldChar w:fldCharType="begin"/>
      </w:r>
      <w:r>
        <w:rPr>
          <w:noProof/>
        </w:rPr>
        <w:instrText xml:space="preserve"> PAGEREF _Toc535912268 \h </w:instrText>
      </w:r>
      <w:r>
        <w:rPr>
          <w:noProof/>
        </w:rPr>
      </w:r>
      <w:r>
        <w:rPr>
          <w:noProof/>
        </w:rPr>
        <w:fldChar w:fldCharType="separate"/>
      </w:r>
      <w:r>
        <w:rPr>
          <w:noProof/>
        </w:rPr>
        <w:t>27</w:t>
      </w:r>
      <w:r>
        <w:rPr>
          <w:noProof/>
        </w:rPr>
        <w:fldChar w:fldCharType="end"/>
      </w:r>
    </w:p>
    <w:p w14:paraId="37E2DDC6" w14:textId="58F3A261" w:rsidR="00793EA9" w:rsidRPr="00EF6091" w:rsidRDefault="001767E2" w:rsidP="002346B0">
      <w:r w:rsidRPr="00EF6091">
        <w:rPr>
          <w:b/>
        </w:rPr>
        <w:fldChar w:fldCharType="end"/>
      </w:r>
    </w:p>
    <w:p w14:paraId="1562C794" w14:textId="77777777" w:rsidR="002346B0" w:rsidRPr="00EF6091" w:rsidRDefault="002346B0" w:rsidP="002346B0"/>
    <w:p w14:paraId="098F39A8" w14:textId="77777777" w:rsidR="002346B0" w:rsidRPr="00EF6091" w:rsidRDefault="002346B0">
      <w:pPr>
        <w:pStyle w:val="PageHeading"/>
      </w:pPr>
    </w:p>
    <w:p w14:paraId="56A3A10B" w14:textId="77777777" w:rsidR="00793EA9" w:rsidRPr="00EF6091" w:rsidRDefault="00793EA9">
      <w:pPr>
        <w:pStyle w:val="PageHeading"/>
      </w:pPr>
      <w:r w:rsidRPr="00EF6091">
        <w:br w:type="page"/>
      </w:r>
      <w:r w:rsidRPr="00EF6091">
        <w:lastRenderedPageBreak/>
        <w:br w:type="page"/>
      </w:r>
      <w:bookmarkStart w:id="1" w:name="_Toc535912265"/>
      <w:r w:rsidRPr="00EF6091">
        <w:lastRenderedPageBreak/>
        <w:t>NÁVRH LEGISLATÍVNEHO UZNESENIA EURÓPSKEHO PARLAMENTU</w:t>
      </w:r>
      <w:bookmarkEnd w:id="1"/>
    </w:p>
    <w:p w14:paraId="5E6619FB" w14:textId="1E665260" w:rsidR="00793EA9" w:rsidRPr="00EF6091" w:rsidRDefault="00701A0F">
      <w:pPr>
        <w:pStyle w:val="NormalBold"/>
      </w:pPr>
      <w:r w:rsidRPr="00EF6091">
        <w:t>o návrhu nariadenia Európskeho Parlamentu a Rady o uvádzaní prekurzorov výbušnín na trh a ich používaní, ktorým sa mení príloha XVII k nariadeniu (ES) č. 1907/2006 a ktorým sa zrušuje nariadenie (EÚ) č. 98/2013 o uvádzaní prekurzorov výbušnín na trh a ich používaní</w:t>
      </w:r>
    </w:p>
    <w:p w14:paraId="0DFF9D1C" w14:textId="77777777" w:rsidR="00793EA9" w:rsidRPr="00EF6091" w:rsidRDefault="00701A0F">
      <w:pPr>
        <w:pStyle w:val="Normal12Bold"/>
      </w:pPr>
      <w:r w:rsidRPr="00EF6091">
        <w:t>(COM(2018)0209 – C8</w:t>
      </w:r>
      <w:r w:rsidRPr="00EF6091">
        <w:noBreakHyphen/>
        <w:t>0151/2018 – 2018/0103(COD))</w:t>
      </w:r>
    </w:p>
    <w:p w14:paraId="223AF65E" w14:textId="77777777" w:rsidR="00793EA9" w:rsidRPr="00EF6091" w:rsidRDefault="00701A0F">
      <w:pPr>
        <w:pStyle w:val="Normal12Bold"/>
      </w:pPr>
      <w:r w:rsidRPr="00EF6091">
        <w:t>(Riadny legislatívny postup: prvé čítanie)</w:t>
      </w:r>
    </w:p>
    <w:p w14:paraId="4B0A3AA8" w14:textId="77777777" w:rsidR="009F1A66" w:rsidRPr="00EF6091" w:rsidRDefault="009F1A66" w:rsidP="009F1A66">
      <w:pPr>
        <w:pStyle w:val="Normal12"/>
      </w:pPr>
      <w:r w:rsidRPr="00EF6091">
        <w:rPr>
          <w:i/>
        </w:rPr>
        <w:t>Európsky parlament</w:t>
      </w:r>
      <w:r w:rsidRPr="00EF6091">
        <w:t>,</w:t>
      </w:r>
    </w:p>
    <w:p w14:paraId="627915F2" w14:textId="77777777" w:rsidR="009F1A66" w:rsidRPr="00EF6091" w:rsidRDefault="009F1A66" w:rsidP="009F1A66">
      <w:pPr>
        <w:pStyle w:val="Normal12Hanging"/>
      </w:pPr>
      <w:r w:rsidRPr="00EF6091">
        <w:t>–</w:t>
      </w:r>
      <w:r w:rsidRPr="00EF6091">
        <w:tab/>
        <w:t>so zreteľom na návrh Komisie pre Európsky parlament a Radu (COM(2018)0209),</w:t>
      </w:r>
    </w:p>
    <w:p w14:paraId="5A4BD9BA" w14:textId="405C3BA0" w:rsidR="009F1A66" w:rsidRPr="00EF6091" w:rsidRDefault="009F1A66" w:rsidP="009F1A66">
      <w:pPr>
        <w:pStyle w:val="Normal12Hanging"/>
      </w:pPr>
      <w:r w:rsidRPr="00EF6091">
        <w:t>–</w:t>
      </w:r>
      <w:r w:rsidRPr="00EF6091">
        <w:tab/>
        <w:t>so zreteľom na článok 294 ods. 2 a článok 114 Zmluvy o fungovaní Európskej únie, v</w:t>
      </w:r>
      <w:r w:rsidR="001566F4">
        <w:t> </w:t>
      </w:r>
      <w:r w:rsidRPr="00EF6091">
        <w:t>súlade s ktorými Komisia predložila návrh Európskemu parlamentu (C8-0151/2018),</w:t>
      </w:r>
    </w:p>
    <w:p w14:paraId="2AEC953B" w14:textId="77777777" w:rsidR="009F1A66" w:rsidRPr="00EF6091" w:rsidRDefault="009F1A66" w:rsidP="009F1A66">
      <w:pPr>
        <w:pStyle w:val="Normal12Hanging"/>
      </w:pPr>
      <w:r w:rsidRPr="00EF6091">
        <w:t>–</w:t>
      </w:r>
      <w:r w:rsidRPr="00EF6091">
        <w:tab/>
        <w:t>so zreteľom na článok 294 ods. 3 Zmluvy o fungovaní Európskej únie,</w:t>
      </w:r>
    </w:p>
    <w:p w14:paraId="5125B80C" w14:textId="6C3DCE62" w:rsidR="009F1A66" w:rsidRPr="00EF6091" w:rsidRDefault="009F1A66" w:rsidP="009F1A66">
      <w:pPr>
        <w:pStyle w:val="Normal12Hanging"/>
      </w:pPr>
      <w:r w:rsidRPr="00EF6091">
        <w:t>–</w:t>
      </w:r>
      <w:r w:rsidRPr="00EF6091">
        <w:tab/>
        <w:t>so zreteľom na stanovisko Európskeho hospodárskeho a sociálneho výboru z 11. júla 2018</w:t>
      </w:r>
      <w:r w:rsidR="00B40C60" w:rsidRPr="00EF6091">
        <w:rPr>
          <w:rStyle w:val="FootnoteReference"/>
        </w:rPr>
        <w:footnoteReference w:id="1"/>
      </w:r>
      <w:r w:rsidRPr="00EF6091">
        <w:t>,</w:t>
      </w:r>
    </w:p>
    <w:p w14:paraId="2F12865E" w14:textId="77777777" w:rsidR="009F1A66" w:rsidRPr="00EF6091" w:rsidRDefault="009F1A66" w:rsidP="009F1A66">
      <w:pPr>
        <w:pStyle w:val="Normal12Hanging"/>
      </w:pPr>
      <w:r w:rsidRPr="00EF6091">
        <w:t>–</w:t>
      </w:r>
      <w:r w:rsidRPr="00EF6091">
        <w:tab/>
        <w:t>so zreteľom na článok 59 rokovacieho poriadku,</w:t>
      </w:r>
    </w:p>
    <w:p w14:paraId="74B98E1A" w14:textId="2D7DB789" w:rsidR="009F1A66" w:rsidRPr="00EF6091" w:rsidRDefault="009F1A66" w:rsidP="009F1A66">
      <w:pPr>
        <w:pStyle w:val="Normal12Hanging"/>
      </w:pPr>
      <w:r w:rsidRPr="00EF6091">
        <w:t>–</w:t>
      </w:r>
      <w:r w:rsidRPr="00EF6091">
        <w:tab/>
        <w:t>so zreteľom na správu Výboru pre občianske slobody, spravodlivosť a vnútorné veci (A8-0473/2018),</w:t>
      </w:r>
    </w:p>
    <w:p w14:paraId="0D8D6001" w14:textId="77777777" w:rsidR="009F1A66" w:rsidRPr="00EF6091" w:rsidRDefault="009F1A66" w:rsidP="009F1A66">
      <w:pPr>
        <w:pStyle w:val="Normal12Hanging"/>
      </w:pPr>
      <w:r w:rsidRPr="00EF6091">
        <w:t>1.</w:t>
      </w:r>
      <w:r w:rsidRPr="00EF6091">
        <w:tab/>
        <w:t>prijíma nasledujúcu pozíciu v prvom čítaní;</w:t>
      </w:r>
    </w:p>
    <w:p w14:paraId="03A8B0DA" w14:textId="59DE33C2" w:rsidR="009F1A66" w:rsidRPr="00EF6091" w:rsidRDefault="009F1A66" w:rsidP="009F1A66">
      <w:pPr>
        <w:pStyle w:val="Normal12Hanging"/>
      </w:pPr>
      <w:r w:rsidRPr="00EF6091">
        <w:t>2.</w:t>
      </w:r>
      <w:r w:rsidRPr="00EF6091">
        <w:tab/>
        <w:t>žiada Komisiu, aby mu vec znovu predložila,</w:t>
      </w:r>
      <w:r w:rsidRPr="00EF6091">
        <w:rPr>
          <w:snapToGrid w:val="0"/>
          <w:szCs w:val="24"/>
        </w:rPr>
        <w:t xml:space="preserve"> ak nahrádza, podstatne mení alebo má v</w:t>
      </w:r>
      <w:r w:rsidR="001566F4">
        <w:rPr>
          <w:snapToGrid w:val="0"/>
          <w:szCs w:val="24"/>
        </w:rPr>
        <w:t> </w:t>
      </w:r>
      <w:r w:rsidRPr="00EF6091">
        <w:rPr>
          <w:snapToGrid w:val="0"/>
          <w:szCs w:val="24"/>
        </w:rPr>
        <w:t>úmysle podstatne zmeniť svoj návrh</w:t>
      </w:r>
      <w:r w:rsidRPr="00EF6091">
        <w:t>;</w:t>
      </w:r>
    </w:p>
    <w:p w14:paraId="79954E4B" w14:textId="77777777" w:rsidR="009F6C2F" w:rsidRPr="00EF6091" w:rsidRDefault="009F1A66" w:rsidP="009F1A66">
      <w:pPr>
        <w:pStyle w:val="Normal12Hanging"/>
      </w:pPr>
      <w:r w:rsidRPr="00EF6091">
        <w:t>3.</w:t>
      </w:r>
      <w:r w:rsidRPr="00EF6091">
        <w:tab/>
        <w:t>poveruje svojho predsedu, aby postúpil túto pozíciu Rade, Komisii a národným parlamentom.</w:t>
      </w:r>
    </w:p>
    <w:p w14:paraId="6FE98ECD" w14:textId="77777777" w:rsidR="00B40C60" w:rsidRPr="00EF6091" w:rsidRDefault="00B40C60" w:rsidP="009F1A66">
      <w:pPr>
        <w:pStyle w:val="Normal12Hanging"/>
      </w:pPr>
    </w:p>
    <w:p w14:paraId="6E183C8A" w14:textId="77777777" w:rsidR="00B40C60" w:rsidRPr="00EF6091" w:rsidRDefault="00B40C60" w:rsidP="009F1A66">
      <w:pPr>
        <w:pStyle w:val="Normal12Hanging"/>
      </w:pPr>
    </w:p>
    <w:p w14:paraId="32D773E4" w14:textId="77777777" w:rsidR="00B40C60" w:rsidRPr="00EF6091" w:rsidRDefault="00B40C60" w:rsidP="009F1A66">
      <w:pPr>
        <w:pStyle w:val="Normal12Hanging"/>
      </w:pPr>
    </w:p>
    <w:p w14:paraId="028A12C7" w14:textId="23E186DB" w:rsidR="001566F4" w:rsidRDefault="001566F4" w:rsidP="009F1A66">
      <w:pPr>
        <w:pStyle w:val="Normal12Hanging"/>
      </w:pPr>
    </w:p>
    <w:p w14:paraId="1DFF4252" w14:textId="77777777" w:rsidR="001566F4" w:rsidRPr="00EF6091" w:rsidRDefault="001566F4" w:rsidP="009F1A66">
      <w:pPr>
        <w:pStyle w:val="Normal12Hanging"/>
      </w:pPr>
    </w:p>
    <w:p w14:paraId="3EDA65AC" w14:textId="77777777" w:rsidR="009F6C2F" w:rsidRPr="00EF6091" w:rsidRDefault="009F6C2F" w:rsidP="009F6C2F">
      <w:pPr>
        <w:pStyle w:val="Normal12Hanging"/>
      </w:pPr>
    </w:p>
    <w:p w14:paraId="33C11EFF" w14:textId="5EE96A69" w:rsidR="00A25082" w:rsidRPr="00EF6091" w:rsidRDefault="000440FA" w:rsidP="00A25082">
      <w:bookmarkStart w:id="2" w:name="PasteOldAMStart"/>
      <w:bookmarkStart w:id="3" w:name="PasteOldAMEnd"/>
      <w:bookmarkEnd w:id="2"/>
      <w:bookmarkEnd w:id="3"/>
      <w:r w:rsidRPr="00EF6091">
        <w:rPr>
          <w:rStyle w:val="HideTWBExt"/>
          <w:noProof w:val="0"/>
        </w:rPr>
        <w:t>&lt;RepeatBlock-Amend&gt;</w:t>
      </w:r>
    </w:p>
    <w:p w14:paraId="01AE9EB9" w14:textId="26159839"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1</w:t>
      </w:r>
      <w:r w:rsidRPr="00EF6091">
        <w:rPr>
          <w:rStyle w:val="HideTWBExt"/>
          <w:noProof w:val="0"/>
        </w:rPr>
        <w:t>&lt;/NumAm&gt;</w:t>
      </w:r>
    </w:p>
    <w:p w14:paraId="230BBF0E" w14:textId="77777777" w:rsidR="00A25082" w:rsidRPr="00EF6091" w:rsidRDefault="00A25082" w:rsidP="00A25082">
      <w:pPr>
        <w:pStyle w:val="NormalBold12b"/>
      </w:pPr>
      <w:r w:rsidRPr="00EF6091">
        <w:rPr>
          <w:rStyle w:val="HideTWBExt"/>
          <w:noProof w:val="0"/>
        </w:rPr>
        <w:lastRenderedPageBreak/>
        <w:t>&lt;DocAmend&gt;</w:t>
      </w:r>
      <w:r w:rsidRPr="00EF6091">
        <w:t>Návrh nariadenia</w:t>
      </w:r>
      <w:r w:rsidRPr="00EF6091">
        <w:rPr>
          <w:rStyle w:val="HideTWBExt"/>
          <w:noProof w:val="0"/>
        </w:rPr>
        <w:t>&lt;/DocAmend&gt;</w:t>
      </w:r>
    </w:p>
    <w:p w14:paraId="14AD3722" w14:textId="77777777" w:rsidR="00A25082" w:rsidRPr="00EF6091" w:rsidRDefault="00A25082" w:rsidP="00A25082">
      <w:pPr>
        <w:pStyle w:val="NormalBold"/>
      </w:pPr>
      <w:r w:rsidRPr="00EF6091">
        <w:rPr>
          <w:rStyle w:val="HideTWBExt"/>
          <w:noProof w:val="0"/>
        </w:rPr>
        <w:t>&lt;Article&gt;</w:t>
      </w:r>
      <w:r w:rsidRPr="00EF6091">
        <w:t>Odôvodnenie 6</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3F967431" w14:textId="77777777" w:rsidTr="00BC1135">
        <w:trPr>
          <w:trHeight w:hRule="exact" w:val="240"/>
          <w:jc w:val="center"/>
        </w:trPr>
        <w:tc>
          <w:tcPr>
            <w:tcW w:w="9752" w:type="dxa"/>
            <w:gridSpan w:val="2"/>
          </w:tcPr>
          <w:p w14:paraId="5428E2ED" w14:textId="77777777" w:rsidR="00A25082" w:rsidRPr="00EF6091" w:rsidRDefault="00A25082" w:rsidP="00BC1135"/>
        </w:tc>
      </w:tr>
      <w:tr w:rsidR="00A25082" w:rsidRPr="00EF6091" w14:paraId="17B96927" w14:textId="77777777" w:rsidTr="00BC1135">
        <w:trPr>
          <w:trHeight w:val="240"/>
          <w:jc w:val="center"/>
        </w:trPr>
        <w:tc>
          <w:tcPr>
            <w:tcW w:w="4876" w:type="dxa"/>
          </w:tcPr>
          <w:p w14:paraId="09F44A54" w14:textId="77777777" w:rsidR="00A25082" w:rsidRPr="00EF6091" w:rsidRDefault="00A25082" w:rsidP="00BC1135">
            <w:pPr>
              <w:pStyle w:val="ColumnHeading"/>
            </w:pPr>
            <w:r w:rsidRPr="00EF6091">
              <w:t>Text predložený Komisiou</w:t>
            </w:r>
          </w:p>
        </w:tc>
        <w:tc>
          <w:tcPr>
            <w:tcW w:w="4876" w:type="dxa"/>
          </w:tcPr>
          <w:p w14:paraId="7BD439C6" w14:textId="77777777" w:rsidR="00A25082" w:rsidRPr="00EF6091" w:rsidRDefault="00A25082" w:rsidP="00BC1135">
            <w:pPr>
              <w:pStyle w:val="ColumnHeading"/>
            </w:pPr>
            <w:r w:rsidRPr="00EF6091">
              <w:t>Pozmeňujúci návrh</w:t>
            </w:r>
          </w:p>
        </w:tc>
      </w:tr>
      <w:tr w:rsidR="00A25082" w:rsidRPr="00EF6091" w14:paraId="05270ABF" w14:textId="77777777" w:rsidTr="00BC1135">
        <w:trPr>
          <w:jc w:val="center"/>
        </w:trPr>
        <w:tc>
          <w:tcPr>
            <w:tcW w:w="4876" w:type="dxa"/>
          </w:tcPr>
          <w:p w14:paraId="3F03B956" w14:textId="681F3028" w:rsidR="00A25082" w:rsidRPr="00EF6091" w:rsidRDefault="00A25082" w:rsidP="00BC1135">
            <w:pPr>
              <w:pStyle w:val="Normal6"/>
            </w:pPr>
            <w:r w:rsidRPr="00EF6091">
              <w:t>(6)</w:t>
            </w:r>
            <w:r w:rsidRPr="00EF6091">
              <w:tab/>
            </w:r>
            <w:r w:rsidRPr="00EF6091">
              <w:rPr>
                <w:b/>
                <w:i/>
              </w:rPr>
              <w:t>Členovia</w:t>
            </w:r>
            <w:r w:rsidRPr="00EF6091">
              <w:t xml:space="preserve"> širokej verejnosti by </w:t>
            </w:r>
            <w:r w:rsidRPr="00EF6091">
              <w:rPr>
                <w:b/>
                <w:i/>
              </w:rPr>
              <w:t>nemali mať možnosť získavať</w:t>
            </w:r>
            <w:r w:rsidRPr="00EF6091">
              <w:t xml:space="preserve">, </w:t>
            </w:r>
            <w:r w:rsidRPr="00EF6091">
              <w:rPr>
                <w:b/>
                <w:i/>
              </w:rPr>
              <w:t>dovážať</w:t>
            </w:r>
            <w:r w:rsidRPr="00EF6091">
              <w:t xml:space="preserve">, </w:t>
            </w:r>
            <w:r w:rsidRPr="00EF6091">
              <w:rPr>
                <w:b/>
                <w:i/>
              </w:rPr>
              <w:t>vlastniť</w:t>
            </w:r>
            <w:r w:rsidRPr="00EF6091">
              <w:t xml:space="preserve"> ani </w:t>
            </w:r>
            <w:r w:rsidRPr="00EF6091">
              <w:rPr>
                <w:b/>
                <w:i/>
              </w:rPr>
              <w:t>používať tieto prekurzory</w:t>
            </w:r>
            <w:r w:rsidRPr="00EF6091">
              <w:t xml:space="preserve"> výbušnín v koncentráciách na úrovni alebo nad úrovňou týchto prahových hodnôt. </w:t>
            </w:r>
            <w:r w:rsidRPr="00EF6091">
              <w:rPr>
                <w:b/>
                <w:i/>
              </w:rPr>
              <w:t>Je však vhodné, aby členovia</w:t>
            </w:r>
            <w:r w:rsidRPr="00EF6091">
              <w:t xml:space="preserve"> širokej verejnosti </w:t>
            </w:r>
            <w:r w:rsidRPr="00EF6091">
              <w:rPr>
                <w:b/>
                <w:i/>
              </w:rPr>
              <w:t>mali možnosť</w:t>
            </w:r>
            <w:r w:rsidRPr="00EF6091">
              <w:t xml:space="preserve"> získavať, dovážať, </w:t>
            </w:r>
            <w:r w:rsidRPr="00EF6091">
              <w:rPr>
                <w:b/>
                <w:i/>
              </w:rPr>
              <w:t>vlastniť</w:t>
            </w:r>
            <w:r w:rsidRPr="00EF6091">
              <w:t xml:space="preserve"> alebo používať niektoré prekurzory výbušnín v koncentráciách nad úrovňou limitov na legitímne účely, len ak sú držiteľmi príslušného povolenia.</w:t>
            </w:r>
          </w:p>
        </w:tc>
        <w:tc>
          <w:tcPr>
            <w:tcW w:w="4876" w:type="dxa"/>
          </w:tcPr>
          <w:p w14:paraId="0CE9EC9D" w14:textId="542263CA" w:rsidR="00A25082" w:rsidRPr="00EF6091" w:rsidRDefault="00A25082" w:rsidP="0078142B">
            <w:pPr>
              <w:pStyle w:val="Normal6"/>
            </w:pPr>
            <w:r w:rsidRPr="00EF6091">
              <w:t>(6)</w:t>
            </w:r>
            <w:r w:rsidRPr="00EF6091">
              <w:tab/>
            </w:r>
            <w:r w:rsidRPr="00EF6091">
              <w:rPr>
                <w:b/>
                <w:i/>
              </w:rPr>
              <w:t>Členom</w:t>
            </w:r>
            <w:r w:rsidRPr="00EF6091">
              <w:t xml:space="preserve"> širokej verejnosti by </w:t>
            </w:r>
            <w:r w:rsidRPr="00EF6091">
              <w:rPr>
                <w:b/>
                <w:i/>
              </w:rPr>
              <w:t>sa nemalo povoliť získavanie</w:t>
            </w:r>
            <w:r w:rsidRPr="00EF6091">
              <w:t xml:space="preserve">, </w:t>
            </w:r>
            <w:r w:rsidRPr="00EF6091">
              <w:rPr>
                <w:b/>
                <w:i/>
              </w:rPr>
              <w:t>dovážanie</w:t>
            </w:r>
            <w:r w:rsidRPr="00EF6091">
              <w:t xml:space="preserve">, </w:t>
            </w:r>
            <w:r w:rsidRPr="00EF6091">
              <w:rPr>
                <w:b/>
                <w:i/>
              </w:rPr>
              <w:t>držba</w:t>
            </w:r>
            <w:r w:rsidRPr="00EF6091">
              <w:t xml:space="preserve"> ani </w:t>
            </w:r>
            <w:r w:rsidRPr="00EF6091">
              <w:rPr>
                <w:b/>
                <w:i/>
              </w:rPr>
              <w:t>používanie týchto prekurzorov</w:t>
            </w:r>
            <w:r w:rsidRPr="00EF6091">
              <w:t xml:space="preserve"> výbušnín v koncentráciách na úrovni alebo nad úrovňou týchto prahových hodnôt. </w:t>
            </w:r>
            <w:r w:rsidRPr="00EF6091">
              <w:rPr>
                <w:b/>
                <w:i/>
              </w:rPr>
              <w:t>Členom</w:t>
            </w:r>
            <w:r w:rsidRPr="00EF6091">
              <w:t xml:space="preserve"> širokej verejnosti </w:t>
            </w:r>
            <w:r w:rsidRPr="00EF6091">
              <w:rPr>
                <w:b/>
                <w:i/>
              </w:rPr>
              <w:t>by však malo byť povolené</w:t>
            </w:r>
            <w:r w:rsidRPr="00EF6091">
              <w:t xml:space="preserve"> získavať, dovážať, </w:t>
            </w:r>
            <w:r w:rsidRPr="00EF6091">
              <w:rPr>
                <w:b/>
                <w:i/>
              </w:rPr>
              <w:t>držať</w:t>
            </w:r>
            <w:r w:rsidRPr="00EF6091">
              <w:t xml:space="preserve"> alebo používať niektoré prekurzory výbušnín v koncentráciách nad úrovňou limitov na legitímne účely, len ak sú držiteľmi príslušného povolenia.</w:t>
            </w:r>
          </w:p>
        </w:tc>
      </w:tr>
    </w:tbl>
    <w:p w14:paraId="282E9F5E" w14:textId="45D3EE58" w:rsidR="00A25082" w:rsidRPr="00EF6091" w:rsidRDefault="00A25082" w:rsidP="00A25082">
      <w:r w:rsidRPr="00EF6091">
        <w:rPr>
          <w:rStyle w:val="HideTWBExt"/>
          <w:noProof w:val="0"/>
        </w:rPr>
        <w:t>&lt;/Amend&gt;</w:t>
      </w:r>
    </w:p>
    <w:p w14:paraId="48D88D20" w14:textId="15C1EC3F"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2</w:t>
      </w:r>
      <w:r w:rsidRPr="00EF6091">
        <w:rPr>
          <w:rStyle w:val="HideTWBExt"/>
          <w:noProof w:val="0"/>
        </w:rPr>
        <w:t>&lt;/NumAm&gt;</w:t>
      </w:r>
    </w:p>
    <w:p w14:paraId="36AAEE33"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5680F1BE" w14:textId="77777777" w:rsidR="00A25082" w:rsidRPr="00EF6091" w:rsidRDefault="00A25082" w:rsidP="00A25082">
      <w:pPr>
        <w:pStyle w:val="NormalBold"/>
      </w:pPr>
      <w:r w:rsidRPr="00EF6091">
        <w:rPr>
          <w:rStyle w:val="HideTWBExt"/>
          <w:noProof w:val="0"/>
        </w:rPr>
        <w:t>&lt;Article&gt;</w:t>
      </w:r>
      <w:r w:rsidRPr="00EF6091">
        <w:t>Odôvodnenie 7</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09FF5682" w14:textId="77777777" w:rsidTr="00BC1135">
        <w:trPr>
          <w:trHeight w:hRule="exact" w:val="240"/>
          <w:jc w:val="center"/>
        </w:trPr>
        <w:tc>
          <w:tcPr>
            <w:tcW w:w="9752" w:type="dxa"/>
            <w:gridSpan w:val="2"/>
          </w:tcPr>
          <w:p w14:paraId="2BC6F059" w14:textId="77777777" w:rsidR="00A25082" w:rsidRPr="00EF6091" w:rsidRDefault="00A25082" w:rsidP="00BC1135"/>
        </w:tc>
      </w:tr>
      <w:tr w:rsidR="00A25082" w:rsidRPr="00EF6091" w14:paraId="361C124E" w14:textId="77777777" w:rsidTr="00BC1135">
        <w:trPr>
          <w:trHeight w:val="240"/>
          <w:jc w:val="center"/>
        </w:trPr>
        <w:tc>
          <w:tcPr>
            <w:tcW w:w="4876" w:type="dxa"/>
          </w:tcPr>
          <w:p w14:paraId="23A67A57" w14:textId="77777777" w:rsidR="00A25082" w:rsidRPr="00EF6091" w:rsidRDefault="00A25082" w:rsidP="00BC1135">
            <w:pPr>
              <w:pStyle w:val="ColumnHeading"/>
            </w:pPr>
            <w:r w:rsidRPr="00EF6091">
              <w:t>Text predložený Komisiou</w:t>
            </w:r>
          </w:p>
        </w:tc>
        <w:tc>
          <w:tcPr>
            <w:tcW w:w="4876" w:type="dxa"/>
          </w:tcPr>
          <w:p w14:paraId="44B02F86" w14:textId="77777777" w:rsidR="00A25082" w:rsidRPr="00EF6091" w:rsidRDefault="00A25082" w:rsidP="00BC1135">
            <w:pPr>
              <w:pStyle w:val="ColumnHeading"/>
            </w:pPr>
            <w:r w:rsidRPr="00EF6091">
              <w:t>Pozmeňujúci návrh</w:t>
            </w:r>
          </w:p>
        </w:tc>
      </w:tr>
      <w:tr w:rsidR="00A25082" w:rsidRPr="00EF6091" w14:paraId="254E58B2" w14:textId="77777777" w:rsidTr="00BC1135">
        <w:trPr>
          <w:jc w:val="center"/>
        </w:trPr>
        <w:tc>
          <w:tcPr>
            <w:tcW w:w="4876" w:type="dxa"/>
          </w:tcPr>
          <w:p w14:paraId="6DF70004" w14:textId="77777777" w:rsidR="00A25082" w:rsidRPr="00EF6091" w:rsidRDefault="00A25082" w:rsidP="00BC1135">
            <w:pPr>
              <w:pStyle w:val="Normal6"/>
            </w:pPr>
            <w:r w:rsidRPr="00EF6091">
              <w:t>(7)</w:t>
            </w:r>
            <w:r w:rsidRPr="00EF6091">
              <w:tab/>
              <w:t>Povolenia je možné poskytnúť len pre látky v koncentráciách nepresahujúcich horný limit stanovený v tomto nariadení. Nad týmto horným limitom riziko súvisiace s nedovolenou výrobou výbušnín prevažuje nad zanedbateľným legitímnym používaním týchto prekurzorov výbušnín zo strany širokej verejnosti, pre ktorú možno rovnaký účinok dosiahnuť s alternatívami alebo s nižšími koncentráciami. V</w:t>
            </w:r>
            <w:r w:rsidRPr="00EF6091">
              <w:rPr>
                <w:b/>
                <w:i/>
              </w:rPr>
              <w:t> </w:t>
            </w:r>
            <w:r w:rsidRPr="00EF6091">
              <w:t xml:space="preserve">tomto nariadení by sa </w:t>
            </w:r>
            <w:r w:rsidRPr="00EF6091">
              <w:rPr>
                <w:b/>
                <w:i/>
              </w:rPr>
              <w:t>okrem toho malo určiť, aké okolnosti by príslušné orgány mali prinajmenšom</w:t>
            </w:r>
            <w:r w:rsidRPr="00EF6091">
              <w:t xml:space="preserve"> zohľadniť pri rozhodovaní o udelení povolenia. To by malo spolu s formulárom pripojeným k tomuto nariadeniu uľahčiť uznávanie povolení v iných členských štátoch, ktoré uplatňujú režim povoľovania.</w:t>
            </w:r>
          </w:p>
        </w:tc>
        <w:tc>
          <w:tcPr>
            <w:tcW w:w="4876" w:type="dxa"/>
          </w:tcPr>
          <w:p w14:paraId="37C896CF" w14:textId="129FA312" w:rsidR="00A25082" w:rsidRPr="00EF6091" w:rsidRDefault="00A25082" w:rsidP="00030031">
            <w:pPr>
              <w:pStyle w:val="Normal6"/>
            </w:pPr>
            <w:r w:rsidRPr="00EF6091">
              <w:t>(7)</w:t>
            </w:r>
            <w:r w:rsidRPr="00EF6091">
              <w:tab/>
              <w:t>Povolenia je možné poskytnúť len pre látky v koncentráciách nepresahujúcich horný limit stanovený v tomto nariadení. Nad týmto horným limitom riziko súvisiace s nedovolenou výrobou výbušnín prevažuje nad zanedbateľným legitímnym používaním týchto prekurzorov výbušnín zo strany širokej verejnosti, pre ktorú možno rovnaký účinok dosiahnuť s alternatívami alebo s nižšími koncentráciami. V</w:t>
            </w:r>
            <w:r w:rsidRPr="00EF6091">
              <w:rPr>
                <w:b/>
                <w:i/>
              </w:rPr>
              <w:t xml:space="preserve"> </w:t>
            </w:r>
            <w:r w:rsidRPr="00EF6091">
              <w:t xml:space="preserve">tomto nariadení by sa </w:t>
            </w:r>
            <w:r w:rsidRPr="00EF6091">
              <w:rPr>
                <w:b/>
                <w:i/>
              </w:rPr>
              <w:t>orgánom mal poskytnúť aj úplný súbor objektívnych kritérií, ktoré sa majú</w:t>
            </w:r>
            <w:r w:rsidRPr="00EF6091">
              <w:t xml:space="preserve"> zohľadniť pri rozhodovaní o udelení povolenia. To by malo spolu s formulárom pripojeným k tomuto nariadeniu uľahčiť uznávanie povolení v iných členských štátoch, ktoré uplatňujú režim povoľovania.</w:t>
            </w:r>
          </w:p>
        </w:tc>
      </w:tr>
    </w:tbl>
    <w:p w14:paraId="261ED649" w14:textId="49AD61CE" w:rsidR="00A25082" w:rsidRPr="00EF6091" w:rsidRDefault="00A25082" w:rsidP="00A25082">
      <w:r w:rsidRPr="00EF6091">
        <w:rPr>
          <w:rStyle w:val="HideTWBExt"/>
          <w:noProof w:val="0"/>
        </w:rPr>
        <w:t>&lt;/Amend&gt;</w:t>
      </w:r>
    </w:p>
    <w:p w14:paraId="5C172E14" w14:textId="4EFEE511"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3</w:t>
      </w:r>
      <w:r w:rsidRPr="00EF6091">
        <w:rPr>
          <w:rStyle w:val="HideTWBExt"/>
          <w:noProof w:val="0"/>
        </w:rPr>
        <w:t>&lt;/NumAm&gt;</w:t>
      </w:r>
    </w:p>
    <w:p w14:paraId="004FACC8"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0BA41D45" w14:textId="77777777" w:rsidR="00A25082" w:rsidRPr="00EF6091" w:rsidRDefault="00A25082" w:rsidP="00A25082">
      <w:pPr>
        <w:pStyle w:val="NormalBold"/>
      </w:pPr>
      <w:r w:rsidRPr="00EF6091">
        <w:rPr>
          <w:rStyle w:val="HideTWBExt"/>
          <w:noProof w:val="0"/>
        </w:rPr>
        <w:lastRenderedPageBreak/>
        <w:t>&lt;Article&gt;</w:t>
      </w:r>
      <w:r w:rsidRPr="00EF6091">
        <w:t>Odôvodnenie 8</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50D53DCD" w14:textId="77777777" w:rsidTr="00BC1135">
        <w:trPr>
          <w:trHeight w:hRule="exact" w:val="240"/>
          <w:jc w:val="center"/>
        </w:trPr>
        <w:tc>
          <w:tcPr>
            <w:tcW w:w="9752" w:type="dxa"/>
            <w:gridSpan w:val="2"/>
          </w:tcPr>
          <w:p w14:paraId="3203A4C7" w14:textId="77777777" w:rsidR="00A25082" w:rsidRPr="00EF6091" w:rsidRDefault="00A25082" w:rsidP="00BC1135"/>
        </w:tc>
      </w:tr>
      <w:tr w:rsidR="00A25082" w:rsidRPr="00EF6091" w14:paraId="4F982941" w14:textId="77777777" w:rsidTr="00BC1135">
        <w:trPr>
          <w:trHeight w:val="240"/>
          <w:jc w:val="center"/>
        </w:trPr>
        <w:tc>
          <w:tcPr>
            <w:tcW w:w="4876" w:type="dxa"/>
          </w:tcPr>
          <w:p w14:paraId="1FB0B20F" w14:textId="77777777" w:rsidR="00A25082" w:rsidRPr="00EF6091" w:rsidRDefault="00A25082" w:rsidP="00BC1135">
            <w:pPr>
              <w:pStyle w:val="ColumnHeading"/>
            </w:pPr>
            <w:r w:rsidRPr="00EF6091">
              <w:t>Text predložený Komisiou</w:t>
            </w:r>
          </w:p>
        </w:tc>
        <w:tc>
          <w:tcPr>
            <w:tcW w:w="4876" w:type="dxa"/>
          </w:tcPr>
          <w:p w14:paraId="58ABBDAB" w14:textId="77777777" w:rsidR="00A25082" w:rsidRPr="00EF6091" w:rsidRDefault="00A25082" w:rsidP="00BC1135">
            <w:pPr>
              <w:pStyle w:val="ColumnHeading"/>
            </w:pPr>
            <w:r w:rsidRPr="00EF6091">
              <w:t>Pozmeňujúci návrh</w:t>
            </w:r>
          </w:p>
        </w:tc>
      </w:tr>
      <w:tr w:rsidR="00A25082" w:rsidRPr="00EF6091" w14:paraId="2D426B70" w14:textId="77777777" w:rsidTr="00BC1135">
        <w:trPr>
          <w:jc w:val="center"/>
        </w:trPr>
        <w:tc>
          <w:tcPr>
            <w:tcW w:w="4876" w:type="dxa"/>
          </w:tcPr>
          <w:p w14:paraId="1B737E2E" w14:textId="77777777" w:rsidR="00A25082" w:rsidRPr="00EF6091" w:rsidRDefault="00A25082" w:rsidP="00BC1135">
            <w:pPr>
              <w:pStyle w:val="Normal6"/>
            </w:pPr>
            <w:r w:rsidRPr="00EF6091">
              <w:t>(8)</w:t>
            </w:r>
            <w:r w:rsidRPr="00EF6091">
              <w:tab/>
              <w:t xml:space="preserve">S cieľom uplatňovať obmedzenia a kontroly podľa tohto nariadenia by hospodárske subjekty, ktoré uskutočňujú predaj profesionálnym používateľom alebo členom širokej verejnosti s povolením, mali vychádzať z informácií sprístupnených v predchádzajúcej časti dodávateľského reťazca. Každý hospodársky subjekt v dodávateľskom reťazci by preto mal informovať príjemcu príslušného obmedzeného prekurzora výbušnín o tom, že sprístupňovanie, dovoz, </w:t>
            </w:r>
            <w:r w:rsidRPr="00EF6091">
              <w:rPr>
                <w:b/>
                <w:i/>
              </w:rPr>
              <w:t>vlastníctvo</w:t>
            </w:r>
            <w:r w:rsidRPr="00EF6091">
              <w:t xml:space="preserve"> alebo používanie tohto obmedzeného prekurzora výbušnín zo strany členov širokej verejnosti podlieha obmedzeniu stanovenému v tomto nariadení, a to napríklad nalepením náležitého označenia alebo overením toho, či sa náležité označenie nalepilo, </w:t>
            </w:r>
            <w:r w:rsidRPr="00EF6091">
              <w:rPr>
                <w:b/>
                <w:i/>
              </w:rPr>
              <w:t>alebo</w:t>
            </w:r>
            <w:r w:rsidRPr="00EF6091">
              <w:t xml:space="preserve"> uvedením týchto informácií v karte bezpečnostných údajov vypracovanej v súlade s prílohou II k nariadeniu Európskeho parlamentu a Rady (ES) č. 1907/2006</w:t>
            </w:r>
            <w:r w:rsidRPr="00EF6091">
              <w:rPr>
                <w:rStyle w:val="Sup"/>
                <w:color w:val="auto"/>
              </w:rPr>
              <w:t>32</w:t>
            </w:r>
            <w:r w:rsidRPr="00EF6091">
              <w:t>.</w:t>
            </w:r>
          </w:p>
        </w:tc>
        <w:tc>
          <w:tcPr>
            <w:tcW w:w="4876" w:type="dxa"/>
          </w:tcPr>
          <w:p w14:paraId="38BC5CD7" w14:textId="77777777" w:rsidR="00A25082" w:rsidRPr="00EF6091" w:rsidRDefault="00A25082" w:rsidP="00BC1135">
            <w:pPr>
              <w:pStyle w:val="Normal6"/>
            </w:pPr>
            <w:r w:rsidRPr="00EF6091">
              <w:t>(8)</w:t>
            </w:r>
            <w:r w:rsidRPr="00EF6091">
              <w:tab/>
              <w:t xml:space="preserve">S cieľom uplatňovať obmedzenia a kontroly podľa tohto nariadenia by hospodárske subjekty, ktoré uskutočňujú predaj profesionálnym používateľom alebo členom širokej verejnosti s povolením, mali vychádzať z informácií sprístupnených v predchádzajúcej časti dodávateľského reťazca. Každý hospodársky subjekt v dodávateľskom reťazci by preto mal informovať príjemcu príslušného obmedzeného prekurzora výbušnín o tom, že sprístupňovanie, dovoz, </w:t>
            </w:r>
            <w:r w:rsidRPr="00EF6091">
              <w:rPr>
                <w:b/>
                <w:i/>
              </w:rPr>
              <w:t>držba</w:t>
            </w:r>
            <w:r w:rsidRPr="00EF6091">
              <w:t xml:space="preserve"> alebo používanie tohto obmedzeného prekurzora výbušnín zo strany členov širokej verejnosti podlieha obmedzeniu stanovenému v tomto nariadení, a to napríklad nalepením náležitého označenia alebo overením toho, či sa náležité označenie nalepilo, </w:t>
            </w:r>
            <w:r w:rsidRPr="00EF6091">
              <w:rPr>
                <w:b/>
                <w:i/>
              </w:rPr>
              <w:t>a</w:t>
            </w:r>
            <w:r w:rsidRPr="00EF6091">
              <w:t xml:space="preserve"> uvedením týchto informácií v karte bezpečnostných údajov vypracovanej v súlade s prílohou II k nariadeniu Európskeho parlamentu a Rady (ES) č. 1907/2006</w:t>
            </w:r>
            <w:r w:rsidRPr="00EF6091">
              <w:rPr>
                <w:rStyle w:val="Sup"/>
                <w:color w:val="auto"/>
              </w:rPr>
              <w:t>32</w:t>
            </w:r>
            <w:r w:rsidRPr="00EF6091">
              <w:t>.</w:t>
            </w:r>
          </w:p>
        </w:tc>
      </w:tr>
      <w:tr w:rsidR="00A25082" w:rsidRPr="00EF6091" w14:paraId="22B35F3F" w14:textId="77777777" w:rsidTr="00BC1135">
        <w:trPr>
          <w:jc w:val="center"/>
        </w:trPr>
        <w:tc>
          <w:tcPr>
            <w:tcW w:w="4876" w:type="dxa"/>
          </w:tcPr>
          <w:p w14:paraId="68207E87" w14:textId="77777777" w:rsidR="00A25082" w:rsidRPr="00EF6091" w:rsidRDefault="00A25082" w:rsidP="00BC1135">
            <w:pPr>
              <w:pStyle w:val="Normal6"/>
            </w:pPr>
            <w:r w:rsidRPr="00EF6091">
              <w:t>_________________</w:t>
            </w:r>
          </w:p>
        </w:tc>
        <w:tc>
          <w:tcPr>
            <w:tcW w:w="4876" w:type="dxa"/>
          </w:tcPr>
          <w:p w14:paraId="41A2EEE3" w14:textId="77777777" w:rsidR="00A25082" w:rsidRPr="00EF6091" w:rsidRDefault="00A25082" w:rsidP="00BC1135">
            <w:pPr>
              <w:pStyle w:val="Normal6"/>
            </w:pPr>
            <w:r w:rsidRPr="00EF6091">
              <w:t>_________________</w:t>
            </w:r>
          </w:p>
        </w:tc>
      </w:tr>
      <w:tr w:rsidR="00A25082" w:rsidRPr="00EF6091" w14:paraId="235A8EBB" w14:textId="77777777" w:rsidTr="00BC1135">
        <w:trPr>
          <w:jc w:val="center"/>
        </w:trPr>
        <w:tc>
          <w:tcPr>
            <w:tcW w:w="4876" w:type="dxa"/>
          </w:tcPr>
          <w:p w14:paraId="5659B320" w14:textId="77777777" w:rsidR="00A25082" w:rsidRPr="00EF6091" w:rsidRDefault="00A25082" w:rsidP="00BC1135">
            <w:pPr>
              <w:pStyle w:val="Normal6"/>
            </w:pPr>
            <w:r w:rsidRPr="00EF6091">
              <w:rPr>
                <w:rStyle w:val="Sup"/>
                <w:color w:val="auto"/>
              </w:rPr>
              <w:t>32</w:t>
            </w:r>
            <w:r w:rsidRPr="00EF6091">
              <w:t xml:space="preserve"> Nariadenie Európskeho parlamentu a Rady (ES) č. 1907/2006 o registrácii, hodnotení, autorizácii a obmedzovaní chemikálií (REACH) (Ú. v. EÚ L 396, 30.12.2006, s. 1).</w:t>
            </w:r>
          </w:p>
        </w:tc>
        <w:tc>
          <w:tcPr>
            <w:tcW w:w="4876" w:type="dxa"/>
          </w:tcPr>
          <w:p w14:paraId="4A39B827" w14:textId="77777777" w:rsidR="00A25082" w:rsidRPr="00EF6091" w:rsidRDefault="00A25082" w:rsidP="00BC1135">
            <w:pPr>
              <w:pStyle w:val="Normal6"/>
            </w:pPr>
            <w:r w:rsidRPr="00EF6091">
              <w:rPr>
                <w:rStyle w:val="Sup"/>
                <w:color w:val="auto"/>
              </w:rPr>
              <w:t>32</w:t>
            </w:r>
            <w:r w:rsidRPr="00EF6091">
              <w:t xml:space="preserve"> Nariadenie Európskeho parlamentu a Rady (ES) č. 1907/2006 o registrácii, hodnotení, autorizácii a obmedzovaní chemikálií (REACH) (Ú. v. EÚ L 396, 30.12.2006, s. 1).</w:t>
            </w:r>
          </w:p>
        </w:tc>
      </w:tr>
    </w:tbl>
    <w:p w14:paraId="537C8ACC" w14:textId="64225840" w:rsidR="00A25082" w:rsidRPr="00EF6091" w:rsidRDefault="00A25082" w:rsidP="00A25082">
      <w:r w:rsidRPr="00EF6091">
        <w:rPr>
          <w:rStyle w:val="HideTWBExt"/>
          <w:noProof w:val="0"/>
        </w:rPr>
        <w:t>&lt;/Amend&gt;</w:t>
      </w:r>
    </w:p>
    <w:p w14:paraId="4852F1BF" w14:textId="4955621E"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4</w:t>
      </w:r>
      <w:r w:rsidRPr="00EF6091">
        <w:rPr>
          <w:rStyle w:val="HideTWBExt"/>
          <w:noProof w:val="0"/>
        </w:rPr>
        <w:t>&lt;/NumAm&gt;</w:t>
      </w:r>
    </w:p>
    <w:p w14:paraId="311101A8"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747958A1" w14:textId="77777777" w:rsidR="00A25082" w:rsidRPr="00EF6091" w:rsidRDefault="00A25082" w:rsidP="00A25082">
      <w:pPr>
        <w:pStyle w:val="NormalBold"/>
      </w:pPr>
      <w:r w:rsidRPr="00EF6091">
        <w:rPr>
          <w:rStyle w:val="HideTWBExt"/>
          <w:noProof w:val="0"/>
        </w:rPr>
        <w:t>&lt;Article&gt;</w:t>
      </w:r>
      <w:r w:rsidRPr="00EF6091">
        <w:t>Odôvodnenie 10</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28FE8E5E" w14:textId="77777777" w:rsidTr="00BC1135">
        <w:trPr>
          <w:trHeight w:hRule="exact" w:val="240"/>
          <w:jc w:val="center"/>
        </w:trPr>
        <w:tc>
          <w:tcPr>
            <w:tcW w:w="9752" w:type="dxa"/>
            <w:gridSpan w:val="2"/>
          </w:tcPr>
          <w:p w14:paraId="6E4A0714" w14:textId="77777777" w:rsidR="00A25082" w:rsidRPr="00EF6091" w:rsidRDefault="00A25082" w:rsidP="00BC1135"/>
        </w:tc>
      </w:tr>
      <w:tr w:rsidR="00A25082" w:rsidRPr="00EF6091" w14:paraId="5A026461" w14:textId="77777777" w:rsidTr="00BC1135">
        <w:trPr>
          <w:trHeight w:val="240"/>
          <w:jc w:val="center"/>
        </w:trPr>
        <w:tc>
          <w:tcPr>
            <w:tcW w:w="4876" w:type="dxa"/>
          </w:tcPr>
          <w:p w14:paraId="48A8689E" w14:textId="77777777" w:rsidR="00A25082" w:rsidRPr="00EF6091" w:rsidRDefault="00A25082" w:rsidP="00BC1135">
            <w:pPr>
              <w:pStyle w:val="ColumnHeading"/>
            </w:pPr>
            <w:r w:rsidRPr="00EF6091">
              <w:t>Text predložený Komisiou</w:t>
            </w:r>
          </w:p>
        </w:tc>
        <w:tc>
          <w:tcPr>
            <w:tcW w:w="4876" w:type="dxa"/>
          </w:tcPr>
          <w:p w14:paraId="7FC23F46" w14:textId="77777777" w:rsidR="00A25082" w:rsidRPr="00EF6091" w:rsidRDefault="00A25082" w:rsidP="00BC1135">
            <w:pPr>
              <w:pStyle w:val="ColumnHeading"/>
            </w:pPr>
            <w:r w:rsidRPr="00EF6091">
              <w:t>Pozmeňujúci návrh</w:t>
            </w:r>
          </w:p>
        </w:tc>
      </w:tr>
      <w:tr w:rsidR="00A25082" w:rsidRPr="00EF6091" w14:paraId="446BC2CB" w14:textId="77777777" w:rsidTr="00BC1135">
        <w:trPr>
          <w:jc w:val="center"/>
        </w:trPr>
        <w:tc>
          <w:tcPr>
            <w:tcW w:w="4876" w:type="dxa"/>
          </w:tcPr>
          <w:p w14:paraId="28D1B222" w14:textId="77777777" w:rsidR="00A25082" w:rsidRPr="00EF6091" w:rsidRDefault="00A25082" w:rsidP="00BC1135">
            <w:pPr>
              <w:pStyle w:val="Normal6"/>
            </w:pPr>
            <w:r w:rsidRPr="00EF6091">
              <w:t>(10)</w:t>
            </w:r>
            <w:r w:rsidRPr="00EF6091">
              <w:tab/>
              <w:t xml:space="preserve">Rozdiel medzi profesionálnym používateľom, ktorému možno sprístupniť obmedzené prekurzory výbušnín a členom širokej verejnosti, ktorému nemožno sprístupniť obmedzené prekurzory </w:t>
            </w:r>
            <w:r w:rsidRPr="00EF6091">
              <w:lastRenderedPageBreak/>
              <w:t xml:space="preserve">výbušnín, závisí od toho, či osoba plánuje použiť tento prekurzor výbušnín na účely súvisiace s jej </w:t>
            </w:r>
            <w:r w:rsidRPr="00EF6091">
              <w:rPr>
                <w:b/>
                <w:i/>
              </w:rPr>
              <w:t>špecifickým obchodovaním</w:t>
            </w:r>
            <w:r w:rsidRPr="00EF6091">
              <w:t xml:space="preserve">, </w:t>
            </w:r>
            <w:r w:rsidRPr="00EF6091">
              <w:rPr>
                <w:b/>
                <w:i/>
              </w:rPr>
              <w:t>remeslom</w:t>
            </w:r>
            <w:r w:rsidRPr="00EF6091">
              <w:t xml:space="preserve"> alebo </w:t>
            </w:r>
            <w:r w:rsidRPr="00EF6091">
              <w:rPr>
                <w:b/>
                <w:i/>
              </w:rPr>
              <w:t>povolaním</w:t>
            </w:r>
            <w:r w:rsidRPr="00EF6091">
              <w:t>. Hospodárske subjekty by preto nemali sprístupňovať obmedzený prekurzor výbušnín fyzickej alebo právnickej osobe, ktorá je profesionálne aktívna v oblasti, v ktorej tento špecifický prekurzor výbušnín nezvykne byť používaný na profesionálne účely.</w:t>
            </w:r>
          </w:p>
        </w:tc>
        <w:tc>
          <w:tcPr>
            <w:tcW w:w="4876" w:type="dxa"/>
          </w:tcPr>
          <w:p w14:paraId="0FAB947A" w14:textId="77777777" w:rsidR="00A25082" w:rsidRPr="00EF6091" w:rsidRDefault="00A25082" w:rsidP="00BC1135">
            <w:pPr>
              <w:pStyle w:val="Normal6"/>
            </w:pPr>
            <w:r w:rsidRPr="00EF6091">
              <w:lastRenderedPageBreak/>
              <w:t>(10)</w:t>
            </w:r>
            <w:r w:rsidRPr="00EF6091">
              <w:tab/>
              <w:t>Rozdiel medzi profesionálnym používateľom, ktorému možno sprístupniť obmedzené prekurzory výbušnín</w:t>
            </w:r>
            <w:r w:rsidRPr="00EF6091">
              <w:rPr>
                <w:b/>
                <w:i/>
              </w:rPr>
              <w:t>,</w:t>
            </w:r>
            <w:r w:rsidRPr="00EF6091">
              <w:t xml:space="preserve"> a členom širokej verejnosti, ktorému nemožno sprístupniť obmedzené prekurzory </w:t>
            </w:r>
            <w:r w:rsidRPr="00EF6091">
              <w:lastRenderedPageBreak/>
              <w:t xml:space="preserve">výbušnín, závisí od toho, či osoba plánuje použiť tento prekurzor výbušnín na účely súvisiace s jej </w:t>
            </w:r>
            <w:r w:rsidRPr="00EF6091">
              <w:rPr>
                <w:b/>
                <w:i/>
              </w:rPr>
              <w:t>špecifickou obchodnou</w:t>
            </w:r>
            <w:r w:rsidRPr="00EF6091">
              <w:t xml:space="preserve">, </w:t>
            </w:r>
            <w:r w:rsidRPr="00EF6091">
              <w:rPr>
                <w:b/>
                <w:i/>
              </w:rPr>
              <w:t>remeselnou, poľnohospodárskou</w:t>
            </w:r>
            <w:r w:rsidRPr="00EF6091">
              <w:t xml:space="preserve"> alebo </w:t>
            </w:r>
            <w:r w:rsidRPr="00EF6091">
              <w:rPr>
                <w:b/>
                <w:i/>
              </w:rPr>
              <w:t>profesijnou činnosťou</w:t>
            </w:r>
            <w:r w:rsidRPr="00EF6091">
              <w:t>. Hospodárske subjekty by preto nemali sprístupňovať obmedzený prekurzor výbušnín fyzickej alebo právnickej osobe, ktorá je profesionálne aktívna v oblasti, v ktorej tento špecifický prekurzor výbušnín nezvykne byť používaný na profesionálne účely.</w:t>
            </w:r>
          </w:p>
        </w:tc>
      </w:tr>
    </w:tbl>
    <w:p w14:paraId="60529725" w14:textId="751CC19B" w:rsidR="00A25082" w:rsidRPr="00EF6091" w:rsidRDefault="00A25082" w:rsidP="00A25082">
      <w:r w:rsidRPr="00EF6091">
        <w:rPr>
          <w:rStyle w:val="HideTWBExt"/>
          <w:noProof w:val="0"/>
        </w:rPr>
        <w:lastRenderedPageBreak/>
        <w:t>&lt;/Amend&gt;</w:t>
      </w:r>
    </w:p>
    <w:p w14:paraId="17C387E3" w14:textId="3CF304F7" w:rsidR="00A25082" w:rsidRPr="00EF6091" w:rsidRDefault="00A25082"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5</w:t>
      </w:r>
      <w:r w:rsidRPr="00EF6091">
        <w:rPr>
          <w:rStyle w:val="HideTWBExt"/>
          <w:b w:val="0"/>
          <w:noProof w:val="0"/>
        </w:rPr>
        <w:t>&lt;/NumAm&gt;</w:t>
      </w:r>
    </w:p>
    <w:p w14:paraId="609432E4" w14:textId="77777777" w:rsidR="00A25082" w:rsidRPr="00EF6091" w:rsidRDefault="00A25082" w:rsidP="00C171D8">
      <w:pPr>
        <w:pStyle w:val="NormalBold12b"/>
      </w:pPr>
      <w:r w:rsidRPr="00EF6091">
        <w:rPr>
          <w:rStyle w:val="HideTWBExt"/>
          <w:b w:val="0"/>
          <w:noProof w:val="0"/>
        </w:rPr>
        <w:t>&lt;DocAmend&gt;</w:t>
      </w:r>
      <w:r w:rsidRPr="00EF6091">
        <w:t>Návrh nariadenia</w:t>
      </w:r>
      <w:r w:rsidRPr="00EF6091">
        <w:rPr>
          <w:rStyle w:val="HideTWBExt"/>
          <w:b w:val="0"/>
          <w:noProof w:val="0"/>
        </w:rPr>
        <w:t>&lt;/DocAmend&gt;</w:t>
      </w:r>
    </w:p>
    <w:p w14:paraId="30714094" w14:textId="77777777" w:rsidR="00A25082" w:rsidRPr="00EF6091" w:rsidRDefault="00A25082" w:rsidP="00A25082">
      <w:pPr>
        <w:pStyle w:val="NormalBold"/>
      </w:pPr>
      <w:r w:rsidRPr="00EF6091">
        <w:rPr>
          <w:rStyle w:val="HideTWBExt"/>
          <w:b w:val="0"/>
          <w:noProof w:val="0"/>
        </w:rPr>
        <w:t>&lt;Article&gt;</w:t>
      </w:r>
      <w:r w:rsidRPr="00EF6091">
        <w:t>Odôvodnenie 12</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25082" w:rsidRPr="00EF6091" w14:paraId="0A784C02" w14:textId="77777777" w:rsidTr="00BC1135">
        <w:trPr>
          <w:jc w:val="center"/>
        </w:trPr>
        <w:tc>
          <w:tcPr>
            <w:tcW w:w="9752" w:type="dxa"/>
            <w:gridSpan w:val="2"/>
          </w:tcPr>
          <w:p w14:paraId="03C728E3" w14:textId="77777777" w:rsidR="00A25082" w:rsidRPr="00EF6091" w:rsidRDefault="00A25082" w:rsidP="00BC1135">
            <w:pPr>
              <w:keepNext/>
            </w:pPr>
          </w:p>
        </w:tc>
      </w:tr>
      <w:tr w:rsidR="00A25082" w:rsidRPr="00EF6091" w14:paraId="0F1C33F5" w14:textId="77777777" w:rsidTr="00BC1135">
        <w:trPr>
          <w:jc w:val="center"/>
        </w:trPr>
        <w:tc>
          <w:tcPr>
            <w:tcW w:w="4876" w:type="dxa"/>
          </w:tcPr>
          <w:p w14:paraId="44089D67" w14:textId="77777777" w:rsidR="00A25082" w:rsidRPr="00EF6091" w:rsidRDefault="00A25082" w:rsidP="00BC1135">
            <w:pPr>
              <w:pStyle w:val="ColumnHeading"/>
              <w:keepNext/>
            </w:pPr>
            <w:r w:rsidRPr="00EF6091">
              <w:t>Text predložený Komisiou</w:t>
            </w:r>
          </w:p>
        </w:tc>
        <w:tc>
          <w:tcPr>
            <w:tcW w:w="4876" w:type="dxa"/>
          </w:tcPr>
          <w:p w14:paraId="198B467F" w14:textId="77777777" w:rsidR="00A25082" w:rsidRPr="00EF6091" w:rsidRDefault="00A25082" w:rsidP="00BC1135">
            <w:pPr>
              <w:pStyle w:val="ColumnHeading"/>
              <w:keepNext/>
            </w:pPr>
            <w:r w:rsidRPr="00EF6091">
              <w:t>Pozmeňujúci návrh</w:t>
            </w:r>
          </w:p>
        </w:tc>
      </w:tr>
      <w:tr w:rsidR="00A25082" w:rsidRPr="00EF6091" w14:paraId="11C6EFA7" w14:textId="77777777" w:rsidTr="00BC1135">
        <w:trPr>
          <w:jc w:val="center"/>
        </w:trPr>
        <w:tc>
          <w:tcPr>
            <w:tcW w:w="4876" w:type="dxa"/>
          </w:tcPr>
          <w:p w14:paraId="4801EBDC" w14:textId="77777777" w:rsidR="00A25082" w:rsidRPr="00EF6091" w:rsidRDefault="00A25082" w:rsidP="00BC1135">
            <w:pPr>
              <w:pStyle w:val="Normal6"/>
            </w:pPr>
            <w:r w:rsidRPr="00EF6091">
              <w:t>(12)</w:t>
            </w:r>
            <w:r w:rsidRPr="00EF6091">
              <w:tab/>
              <w:t>Pokiaľ online trhy fungujú len ako sprostredkovatelia medzi hospodárskymi subjektmi na jednej strane a členmi širokej verejnosti</w:t>
            </w:r>
            <w:r w:rsidRPr="00EF6091">
              <w:rPr>
                <w:b/>
                <w:i/>
              </w:rPr>
              <w:t>,</w:t>
            </w:r>
            <w:r w:rsidRPr="00EF6091">
              <w:t xml:space="preserve"> profesionálnymi používateľmi</w:t>
            </w:r>
            <w:r w:rsidRPr="00EF6091">
              <w:rPr>
                <w:b/>
                <w:i/>
              </w:rPr>
              <w:t xml:space="preserve"> alebo poľnohospodármi</w:t>
            </w:r>
            <w:r w:rsidRPr="00EF6091">
              <w:t xml:space="preserve"> na strane druhej, nemalo by sa od nich vyžadovať, aby dávali pokyny svojim zamestnancom podieľajúcim sa na predaji prekurzorov výbušnín alebo overovali totožnosť a v prípade potreby aj povolenie potenciálneho zákazníka, alebo vyžadovali ďalšie informácie od potenciálneho zákazníka. Vzhľadom na ústrednú úlohu, ktorú zohrávajú online trhy pôsobiace ako sprostredkovatelia pri ekonomických transakciách online, a to aj pokiaľ ide o predaj </w:t>
            </w:r>
            <w:r w:rsidRPr="00EF6091">
              <w:rPr>
                <w:b/>
                <w:i/>
              </w:rPr>
              <w:t>obmedzených</w:t>
            </w:r>
            <w:r w:rsidRPr="00EF6091">
              <w:t xml:space="preserve"> prekurzorov výbušnín, je vhodné, aby o povinnostiach vyplývajúcich z tohto nariadenia zrozumiteľným a účinným spôsobom informovali používateľov, ktorí plánujú sprístupňovať </w:t>
            </w:r>
            <w:r w:rsidRPr="00EF6091">
              <w:rPr>
                <w:b/>
                <w:i/>
              </w:rPr>
              <w:t>obmedzené</w:t>
            </w:r>
            <w:r w:rsidRPr="00EF6091">
              <w:t xml:space="preserve"> prekurzory výbušnín prostredníctvom ich služieb. </w:t>
            </w:r>
            <w:r w:rsidRPr="00EF6091">
              <w:rPr>
                <w:b/>
                <w:i/>
              </w:rPr>
              <w:t>Okrem toho je vhodné, aby online trhy pôsobiace ako sprostredkovatelia prijali</w:t>
            </w:r>
            <w:r w:rsidRPr="00EF6091">
              <w:t xml:space="preserve"> opatrenia na to, aby pomohli zabezpečiť, že ich používatelia dodržiavajú povinnosti týkajúce sa overovania, napríklad poskytnutím nástrojov na uľahčenie overovania povolení. </w:t>
            </w:r>
            <w:r w:rsidRPr="00EF6091">
              <w:rPr>
                <w:b/>
                <w:i/>
              </w:rPr>
              <w:t>Všetky takéto povinnosti</w:t>
            </w:r>
            <w:r w:rsidRPr="00EF6091">
              <w:t xml:space="preserve"> na </w:t>
            </w:r>
            <w:r w:rsidRPr="00EF6091">
              <w:rPr>
                <w:b/>
                <w:i/>
              </w:rPr>
              <w:t>online trhoch pôsobiacich ako sprostredkovatelia podľa tohto nariadenia by sa</w:t>
            </w:r>
            <w:r w:rsidRPr="00EF6091">
              <w:t xml:space="preserve"> mali </w:t>
            </w:r>
            <w:r w:rsidRPr="00EF6091">
              <w:rPr>
                <w:b/>
                <w:i/>
              </w:rPr>
              <w:t>uplatňovať bez toho, aby boli dotknuté články 14 a 15 smernice Európskeho parlamentu a Rady 2000/31/ES</w:t>
            </w:r>
            <w:r w:rsidRPr="00EF6091">
              <w:rPr>
                <w:b/>
                <w:i/>
                <w:vertAlign w:val="superscript"/>
              </w:rPr>
              <w:t>34</w:t>
            </w:r>
            <w:r w:rsidRPr="00EF6091">
              <w:t>.</w:t>
            </w:r>
          </w:p>
        </w:tc>
        <w:tc>
          <w:tcPr>
            <w:tcW w:w="4876" w:type="dxa"/>
          </w:tcPr>
          <w:p w14:paraId="0CC2370F" w14:textId="5212497A" w:rsidR="00A25082" w:rsidRPr="00EF6091" w:rsidRDefault="00A25082" w:rsidP="00030031">
            <w:pPr>
              <w:pStyle w:val="Normal6"/>
              <w:rPr>
                <w:szCs w:val="24"/>
              </w:rPr>
            </w:pPr>
            <w:r w:rsidRPr="00EF6091">
              <w:t>(12)</w:t>
            </w:r>
            <w:r w:rsidRPr="00EF6091">
              <w:tab/>
              <w:t>Pokiaľ online trhy fungujú len ako sprostredkovatelia medzi hospodárskymi subjektmi na jednej strane a členmi širokej verejnosti</w:t>
            </w:r>
            <w:r w:rsidRPr="00EF6091">
              <w:rPr>
                <w:b/>
                <w:i/>
              </w:rPr>
              <w:t xml:space="preserve"> a</w:t>
            </w:r>
            <w:r w:rsidRPr="00EF6091">
              <w:t xml:space="preserve"> profesionálnymi používateľmi na strane druhej, nemalo by sa od nich vyžadovať, aby dávali pokyny svojim zamestnancom podieľajúcim sa na predaji prekurzorov výbušnín alebo overovali totožnosť a v prípade potreby aj povolenie potenciálneho zákazníka, alebo vyžadovali ďalšie informácie od potenciálneho zákazníka. Vzhľadom na ústrednú úlohu, ktorú zohrávajú online trhy pôsobiace ako sprostredkovatelia pri ekonomických transakciách online, a to aj pokiaľ ide o predaj </w:t>
            </w:r>
            <w:r w:rsidRPr="00EF6091">
              <w:rPr>
                <w:b/>
                <w:i/>
              </w:rPr>
              <w:t>regulovaných</w:t>
            </w:r>
            <w:r w:rsidRPr="00EF6091">
              <w:t xml:space="preserve"> prekurzorov výbušnín, je vhodné, aby o </w:t>
            </w:r>
            <w:r w:rsidRPr="00EF6091">
              <w:rPr>
                <w:b/>
                <w:i/>
              </w:rPr>
              <w:t xml:space="preserve">ich </w:t>
            </w:r>
            <w:r w:rsidRPr="00EF6091">
              <w:t xml:space="preserve">povinnostiach vyplývajúcich z tohto nariadenia zrozumiteľným a účinným spôsobom informovali používateľov, ktorí plánujú sprístupňovať </w:t>
            </w:r>
            <w:r w:rsidRPr="00EF6091">
              <w:rPr>
                <w:b/>
                <w:i/>
              </w:rPr>
              <w:t>regulované</w:t>
            </w:r>
            <w:r w:rsidRPr="00EF6091">
              <w:t xml:space="preserve"> prekurzory výbušnín prostredníctvom ich služieb. </w:t>
            </w:r>
            <w:r w:rsidRPr="00EF6091">
              <w:rPr>
                <w:b/>
                <w:i/>
              </w:rPr>
              <w:t>Mali by takisto prijať</w:t>
            </w:r>
            <w:r w:rsidRPr="00EF6091">
              <w:t xml:space="preserve"> opatrenia na to, aby pomohli zabezpečiť, že ich používatelia dodržiavajú povinnosti týkajúce sa overovania, napríklad poskytnutím nástrojov na uľahčenie overovania povolení. </w:t>
            </w:r>
            <w:r w:rsidRPr="00EF6091">
              <w:rPr>
                <w:b/>
                <w:i/>
              </w:rPr>
              <w:t>Okrem toho by sa</w:t>
            </w:r>
            <w:r w:rsidRPr="00EF6091">
              <w:t xml:space="preserve"> na </w:t>
            </w:r>
            <w:r w:rsidRPr="00EF6091">
              <w:rPr>
                <w:b/>
                <w:i/>
              </w:rPr>
              <w:t>ne v súvislosti s podozrivými transakciami</w:t>
            </w:r>
            <w:r w:rsidRPr="00EF6091">
              <w:t xml:space="preserve"> mali </w:t>
            </w:r>
            <w:r w:rsidRPr="00EF6091">
              <w:rPr>
                <w:b/>
                <w:i/>
              </w:rPr>
              <w:t>vzťahovať rovnaké povinnosti týkajúce sa odhaľovania a nahlasovania, ako platia pre hospodárske subjekty</w:t>
            </w:r>
            <w:r w:rsidRPr="00EF6091">
              <w:t>.</w:t>
            </w:r>
          </w:p>
        </w:tc>
      </w:tr>
      <w:tr w:rsidR="00A25082" w:rsidRPr="00EF6091" w14:paraId="1B233DE5" w14:textId="77777777" w:rsidTr="00BC1135">
        <w:trPr>
          <w:jc w:val="center"/>
        </w:trPr>
        <w:tc>
          <w:tcPr>
            <w:tcW w:w="4876" w:type="dxa"/>
          </w:tcPr>
          <w:p w14:paraId="17E48BCC" w14:textId="77777777" w:rsidR="00A25082" w:rsidRPr="00EF6091" w:rsidRDefault="00A25082" w:rsidP="00BC1135">
            <w:pPr>
              <w:pStyle w:val="Normal6"/>
            </w:pPr>
            <w:r w:rsidRPr="00EF6091">
              <w:t>__________________</w:t>
            </w:r>
          </w:p>
        </w:tc>
        <w:tc>
          <w:tcPr>
            <w:tcW w:w="4876" w:type="dxa"/>
          </w:tcPr>
          <w:p w14:paraId="35D3D871" w14:textId="77777777" w:rsidR="00A25082" w:rsidRPr="00EF6091" w:rsidRDefault="00A25082" w:rsidP="00BC1135">
            <w:pPr>
              <w:pStyle w:val="Normal6"/>
              <w:rPr>
                <w:szCs w:val="24"/>
              </w:rPr>
            </w:pPr>
          </w:p>
        </w:tc>
      </w:tr>
      <w:tr w:rsidR="00A25082" w:rsidRPr="00EF6091" w14:paraId="108F17F2" w14:textId="77777777" w:rsidTr="00BC1135">
        <w:trPr>
          <w:jc w:val="center"/>
        </w:trPr>
        <w:tc>
          <w:tcPr>
            <w:tcW w:w="4876" w:type="dxa"/>
          </w:tcPr>
          <w:p w14:paraId="320A41AD" w14:textId="77777777" w:rsidR="00A25082" w:rsidRPr="00EF6091" w:rsidRDefault="00A25082" w:rsidP="00BC1135">
            <w:pPr>
              <w:pStyle w:val="Normal6"/>
            </w:pPr>
            <w:r w:rsidRPr="00EF6091">
              <w:rPr>
                <w:b/>
                <w:i/>
              </w:rPr>
              <w:t>34 Smernica Európskeho parlamentu a Rady 2000/31/ES z 8. júna 2000 o určitých právnych aspektoch služieb informačnej spoločnosti na vnútornom trhu, najmä o elektronickom obchode („smernica o elektronickom obchode“) (Ú. v. ES L 178, 17.7.2000, s. 1).</w:t>
            </w:r>
          </w:p>
        </w:tc>
        <w:tc>
          <w:tcPr>
            <w:tcW w:w="4876" w:type="dxa"/>
          </w:tcPr>
          <w:p w14:paraId="4E864843" w14:textId="77777777" w:rsidR="00A25082" w:rsidRPr="00EF6091" w:rsidRDefault="00A25082" w:rsidP="00BC1135">
            <w:pPr>
              <w:pStyle w:val="Normal6"/>
              <w:rPr>
                <w:szCs w:val="24"/>
              </w:rPr>
            </w:pPr>
          </w:p>
        </w:tc>
      </w:tr>
    </w:tbl>
    <w:p w14:paraId="73C965C4" w14:textId="5C965E14" w:rsidR="00A25082" w:rsidRPr="00EF6091" w:rsidRDefault="00A25082" w:rsidP="00A25082">
      <w:r w:rsidRPr="00EF6091">
        <w:rPr>
          <w:rStyle w:val="HideTWBExt"/>
          <w:noProof w:val="0"/>
        </w:rPr>
        <w:t>&lt;/Amend&gt;</w:t>
      </w:r>
    </w:p>
    <w:p w14:paraId="12228282" w14:textId="7CA8B650"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6</w:t>
      </w:r>
      <w:r w:rsidRPr="00EF6091">
        <w:rPr>
          <w:rStyle w:val="HideTWBExt"/>
          <w:noProof w:val="0"/>
        </w:rPr>
        <w:t>&lt;/NumAm&gt;</w:t>
      </w:r>
    </w:p>
    <w:p w14:paraId="50F5615C"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70A4DFBC" w14:textId="77777777" w:rsidR="00A25082" w:rsidRPr="00EF6091" w:rsidRDefault="00A25082" w:rsidP="00A25082">
      <w:pPr>
        <w:pStyle w:val="NormalBold"/>
      </w:pPr>
      <w:r w:rsidRPr="00EF6091">
        <w:rPr>
          <w:rStyle w:val="HideTWBExt"/>
          <w:noProof w:val="0"/>
        </w:rPr>
        <w:t>&lt;Article&gt;</w:t>
      </w:r>
      <w:r w:rsidRPr="00EF6091">
        <w:t>Odôvodnenie 14</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1DEA3352" w14:textId="77777777" w:rsidTr="00BC1135">
        <w:trPr>
          <w:trHeight w:hRule="exact" w:val="240"/>
          <w:jc w:val="center"/>
        </w:trPr>
        <w:tc>
          <w:tcPr>
            <w:tcW w:w="9752" w:type="dxa"/>
            <w:gridSpan w:val="2"/>
          </w:tcPr>
          <w:p w14:paraId="00281CEC" w14:textId="77777777" w:rsidR="00A25082" w:rsidRPr="00EF6091" w:rsidRDefault="00A25082" w:rsidP="00BC1135"/>
        </w:tc>
      </w:tr>
      <w:tr w:rsidR="00A25082" w:rsidRPr="00EF6091" w14:paraId="35E32A0F" w14:textId="77777777" w:rsidTr="00BC1135">
        <w:trPr>
          <w:trHeight w:val="240"/>
          <w:jc w:val="center"/>
        </w:trPr>
        <w:tc>
          <w:tcPr>
            <w:tcW w:w="4876" w:type="dxa"/>
          </w:tcPr>
          <w:p w14:paraId="3CBFA35D" w14:textId="77777777" w:rsidR="00A25082" w:rsidRPr="00EF6091" w:rsidRDefault="00A25082" w:rsidP="00BC1135">
            <w:pPr>
              <w:pStyle w:val="ColumnHeading"/>
            </w:pPr>
            <w:r w:rsidRPr="00EF6091">
              <w:t>Text predložený Komisiou</w:t>
            </w:r>
          </w:p>
        </w:tc>
        <w:tc>
          <w:tcPr>
            <w:tcW w:w="4876" w:type="dxa"/>
          </w:tcPr>
          <w:p w14:paraId="1EEAEF18" w14:textId="77777777" w:rsidR="00A25082" w:rsidRPr="00EF6091" w:rsidRDefault="00A25082" w:rsidP="00BC1135">
            <w:pPr>
              <w:pStyle w:val="ColumnHeading"/>
            </w:pPr>
            <w:r w:rsidRPr="00EF6091">
              <w:t>Pozmeňujúci návrh</w:t>
            </w:r>
          </w:p>
        </w:tc>
      </w:tr>
      <w:tr w:rsidR="00A25082" w:rsidRPr="00EF6091" w14:paraId="406B54FA" w14:textId="77777777" w:rsidTr="00BC1135">
        <w:trPr>
          <w:jc w:val="center"/>
        </w:trPr>
        <w:tc>
          <w:tcPr>
            <w:tcW w:w="4876" w:type="dxa"/>
          </w:tcPr>
          <w:p w14:paraId="66D16015" w14:textId="77777777" w:rsidR="00A25082" w:rsidRPr="00EF6091" w:rsidRDefault="00A25082" w:rsidP="00BC1135">
            <w:pPr>
              <w:pStyle w:val="Normal6"/>
            </w:pPr>
            <w:r w:rsidRPr="00EF6091">
              <w:t>(14)</w:t>
            </w:r>
            <w:r w:rsidRPr="00EF6091">
              <w:tab/>
              <w:t xml:space="preserve">Výber látok, ktoré páchatelia trestných činov používajú na nedovolenú výrobu výbušnín, sa môže rýchlo meniť. </w:t>
            </w:r>
            <w:r w:rsidRPr="00EF6091">
              <w:rPr>
                <w:b/>
                <w:i/>
              </w:rPr>
              <w:t>Malo by byť preto možné zahrnúť</w:t>
            </w:r>
            <w:r w:rsidRPr="00EF6091">
              <w:t xml:space="preserve"> do režimu stanoveného týmto nariadením</w:t>
            </w:r>
            <w:r w:rsidRPr="00EF6091">
              <w:rPr>
                <w:b/>
                <w:i/>
              </w:rPr>
              <w:t xml:space="preserve"> aj ďalšie látky</w:t>
            </w:r>
            <w:r w:rsidRPr="00EF6091">
              <w:t>, ak je to v prípade potreby naliehavé. S cieľom zohľadniť vývoj zneužívania látok ako prekurzorov výbušnín by sa mala na Komisiu delegovať právomoc prijímať akty v súlade s článkom 290 Zmluvy o fungovaní Európskej únie na vytvorenie zoznamu ďalších látok, ktoré sa nemajú sprístupniť širokej verejnosti, na zmeny hodnoty koncentračných limitov, pri prekročení ktorých sa určité látky obmedzené podľa tohto nariadenia nemajú sprístupniť širokej verejnosti a na vytvorenie zoznamu ďalších látok, pri ktorých sa majú nahlasovať podozrivé transakcie. Je osobitne dôležité, aby Komisia počas prípravných prác uskutočnila príslušné konzultácie, a to aj na úrovni expertov a aby tieto konzultácie vykonávala v súlade so zásadami stanovenými v Medziinštitucionálnej dohode o lepšej tvorbe práva z 13. apríla 2016</w:t>
            </w:r>
            <w:r w:rsidRPr="00EF6091">
              <w:rPr>
                <w:rStyle w:val="Sup"/>
                <w:color w:val="auto"/>
              </w:rPr>
              <w:t>35</w:t>
            </w:r>
            <w:r w:rsidRPr="00EF6091">
              <w:t>. Predovšetkým, v záujme rovnakého zastúpenia pri príprave delegovaných aktov sa všetky dokumenty doručujú Európskemu parlamentu a Rade v rovnakom čase ako odborníkom z členských štátov, a odborníci Európskeho parlamentu a Rady majú systematicky prístup na zasadnutia expertných skupín Komisie, ktoré sa zaoberajú prípravou delegovaných aktov.</w:t>
            </w:r>
          </w:p>
        </w:tc>
        <w:tc>
          <w:tcPr>
            <w:tcW w:w="4876" w:type="dxa"/>
          </w:tcPr>
          <w:p w14:paraId="095FEF48" w14:textId="6F670D8D" w:rsidR="00A25082" w:rsidRPr="00EF6091" w:rsidRDefault="00A25082" w:rsidP="00260895">
            <w:pPr>
              <w:pStyle w:val="Normal6"/>
            </w:pPr>
            <w:r w:rsidRPr="00EF6091">
              <w:t>(14)</w:t>
            </w:r>
            <w:r w:rsidRPr="00EF6091">
              <w:tab/>
              <w:t xml:space="preserve">Výber látok, ktoré páchatelia trestných činov používajú na nedovolenú výrobu výbušnín, sa môže rýchlo meniť. </w:t>
            </w:r>
            <w:r w:rsidRPr="00EF6091">
              <w:rPr>
                <w:b/>
                <w:i/>
              </w:rPr>
              <w:t>Je preto nevyhnutné umožniť zahrnutie ďalších látok</w:t>
            </w:r>
            <w:r w:rsidRPr="00EF6091">
              <w:t xml:space="preserve"> do režimu stanoveného týmto nariadením, ak je to v prípade potreby naliehavé. S cieľom zohľadniť vývoj zneužívania látok ako prekurzorov výbušnín by sa mala na Komisiu delegovať právomoc prijímať akty v súlade s článkom 290 Zmluvy o fungovaní Európskej únie na vytvorenie zoznamu ďalších látok, ktoré sa nemajú sprístupniť širokej verejnosti, na zmeny hodnoty koncentračných limitov, pri prekročení ktorých sa určité látky obmedzené podľa tohto nariadenia nemajú sprístupniť širokej verejnosti a na vytvorenie zoznamu ďalších látok, pri ktorých sa majú nahlasovať podozrivé transakcie. Je osobitne dôležité, aby Komisia počas prípravných prác uskutočnila príslušné konzultácie, a to aj na úrovni expertov a aby tieto konzultácie vykonávala v súlade so zásadami stanovenými v Medziinštitucionálnej dohode o lepšej tvorbe práva z 13. apríla 2016</w:t>
            </w:r>
            <w:r w:rsidRPr="00EF6091">
              <w:rPr>
                <w:rStyle w:val="Sup"/>
                <w:color w:val="auto"/>
              </w:rPr>
              <w:t>35</w:t>
            </w:r>
            <w:r w:rsidRPr="00EF6091">
              <w:t>. Predovšetkým, v záujme rovnakého zastúpenia pri príprave delegovaných aktov sa všetky dokumenty doručujú Európskemu parlamentu a Rade v rovnakom čase ako odborníkom z členských štátov, a odborníci Európskeho parlamentu a Rady majú systematicky prístup na zasadnutia expertných skupín Komisie, ktoré sa zaoberajú prípravou delegovaných aktov.</w:t>
            </w:r>
          </w:p>
        </w:tc>
      </w:tr>
      <w:tr w:rsidR="00A25082" w:rsidRPr="00EF6091" w14:paraId="3C148A9A" w14:textId="77777777" w:rsidTr="00BC1135">
        <w:trPr>
          <w:jc w:val="center"/>
        </w:trPr>
        <w:tc>
          <w:tcPr>
            <w:tcW w:w="4876" w:type="dxa"/>
          </w:tcPr>
          <w:p w14:paraId="70A7E105" w14:textId="77777777" w:rsidR="00A25082" w:rsidRPr="00EF6091" w:rsidRDefault="00A25082" w:rsidP="00BC1135">
            <w:pPr>
              <w:pStyle w:val="Normal6"/>
            </w:pPr>
            <w:r w:rsidRPr="00EF6091">
              <w:t>_________________</w:t>
            </w:r>
          </w:p>
        </w:tc>
        <w:tc>
          <w:tcPr>
            <w:tcW w:w="4876" w:type="dxa"/>
          </w:tcPr>
          <w:p w14:paraId="737073BA" w14:textId="77777777" w:rsidR="00A25082" w:rsidRPr="00EF6091" w:rsidRDefault="00A25082" w:rsidP="00BC1135">
            <w:pPr>
              <w:pStyle w:val="Normal6"/>
            </w:pPr>
            <w:r w:rsidRPr="00EF6091">
              <w:t>_________________</w:t>
            </w:r>
          </w:p>
        </w:tc>
      </w:tr>
      <w:tr w:rsidR="00A25082" w:rsidRPr="00EF6091" w14:paraId="7841CB44" w14:textId="77777777" w:rsidTr="00BC1135">
        <w:trPr>
          <w:jc w:val="center"/>
        </w:trPr>
        <w:tc>
          <w:tcPr>
            <w:tcW w:w="4876" w:type="dxa"/>
          </w:tcPr>
          <w:p w14:paraId="7B15FC4D" w14:textId="77777777" w:rsidR="00A25082" w:rsidRPr="00EF6091" w:rsidRDefault="00A25082" w:rsidP="00BC1135">
            <w:pPr>
              <w:pStyle w:val="Normal6"/>
            </w:pPr>
            <w:r w:rsidRPr="00EF6091">
              <w:rPr>
                <w:rStyle w:val="Sup"/>
                <w:color w:val="auto"/>
              </w:rPr>
              <w:t>35</w:t>
            </w:r>
            <w:r w:rsidRPr="00EF6091">
              <w:t xml:space="preserve"> Ú. v. EÚ L 123, 12.5.2016, s. 1.</w:t>
            </w:r>
          </w:p>
        </w:tc>
        <w:tc>
          <w:tcPr>
            <w:tcW w:w="4876" w:type="dxa"/>
          </w:tcPr>
          <w:p w14:paraId="157D0552" w14:textId="77777777" w:rsidR="00A25082" w:rsidRPr="00EF6091" w:rsidRDefault="00A25082" w:rsidP="00BC1135">
            <w:pPr>
              <w:pStyle w:val="Normal6"/>
            </w:pPr>
            <w:r w:rsidRPr="00EF6091">
              <w:rPr>
                <w:rStyle w:val="Sup"/>
                <w:color w:val="auto"/>
              </w:rPr>
              <w:t>35</w:t>
            </w:r>
            <w:r w:rsidRPr="00EF6091">
              <w:t xml:space="preserve"> Ú. v. EÚ L 123, 12.5.2016, s. 1.</w:t>
            </w:r>
          </w:p>
        </w:tc>
      </w:tr>
    </w:tbl>
    <w:p w14:paraId="37CAB1D7" w14:textId="0F1FDD8D" w:rsidR="00A25082" w:rsidRPr="00EF6091" w:rsidRDefault="00A25082" w:rsidP="00A25082">
      <w:r w:rsidRPr="00EF6091">
        <w:rPr>
          <w:rStyle w:val="HideTWBExt"/>
          <w:noProof w:val="0"/>
        </w:rPr>
        <w:t>&lt;/Amend&gt;</w:t>
      </w:r>
    </w:p>
    <w:p w14:paraId="617227DC" w14:textId="44507759"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7</w:t>
      </w:r>
      <w:r w:rsidRPr="00EF6091">
        <w:rPr>
          <w:rStyle w:val="HideTWBExt"/>
          <w:noProof w:val="0"/>
        </w:rPr>
        <w:t>&lt;/NumAm&gt;</w:t>
      </w:r>
    </w:p>
    <w:p w14:paraId="73700886"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2C03E236" w14:textId="77777777" w:rsidR="00A25082" w:rsidRPr="00EF6091" w:rsidRDefault="00A25082" w:rsidP="00A25082">
      <w:pPr>
        <w:pStyle w:val="NormalBold"/>
      </w:pPr>
      <w:r w:rsidRPr="00EF6091">
        <w:rPr>
          <w:rStyle w:val="HideTWBExt"/>
          <w:noProof w:val="0"/>
        </w:rPr>
        <w:t>&lt;Article&gt;</w:t>
      </w:r>
      <w:r w:rsidRPr="00EF6091">
        <w:t>Článok 3 – odsek 1 – bod 6</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135E931E" w14:textId="77777777" w:rsidTr="00BC1135">
        <w:trPr>
          <w:trHeight w:hRule="exact" w:val="240"/>
          <w:jc w:val="center"/>
        </w:trPr>
        <w:tc>
          <w:tcPr>
            <w:tcW w:w="9752" w:type="dxa"/>
            <w:gridSpan w:val="2"/>
          </w:tcPr>
          <w:p w14:paraId="2C09E9E4" w14:textId="77777777" w:rsidR="00A25082" w:rsidRPr="00EF6091" w:rsidRDefault="00A25082" w:rsidP="00BC1135"/>
        </w:tc>
      </w:tr>
      <w:tr w:rsidR="00A25082" w:rsidRPr="00EF6091" w14:paraId="26CAD6E9" w14:textId="77777777" w:rsidTr="00BC1135">
        <w:trPr>
          <w:trHeight w:val="240"/>
          <w:jc w:val="center"/>
        </w:trPr>
        <w:tc>
          <w:tcPr>
            <w:tcW w:w="4876" w:type="dxa"/>
          </w:tcPr>
          <w:p w14:paraId="2E3E9DB9" w14:textId="77777777" w:rsidR="00A25082" w:rsidRPr="00EF6091" w:rsidRDefault="00A25082" w:rsidP="00BC1135">
            <w:pPr>
              <w:pStyle w:val="ColumnHeading"/>
            </w:pPr>
            <w:r w:rsidRPr="00EF6091">
              <w:t>Text predložený Komisiou</w:t>
            </w:r>
          </w:p>
        </w:tc>
        <w:tc>
          <w:tcPr>
            <w:tcW w:w="4876" w:type="dxa"/>
          </w:tcPr>
          <w:p w14:paraId="3335820C" w14:textId="77777777" w:rsidR="00A25082" w:rsidRPr="00EF6091" w:rsidRDefault="00A25082" w:rsidP="00BC1135">
            <w:pPr>
              <w:pStyle w:val="ColumnHeading"/>
            </w:pPr>
            <w:r w:rsidRPr="00EF6091">
              <w:t>Pozmeňujúci návrh</w:t>
            </w:r>
          </w:p>
        </w:tc>
      </w:tr>
      <w:tr w:rsidR="00A25082" w:rsidRPr="00EF6091" w14:paraId="2C5D9B74" w14:textId="77777777" w:rsidTr="00BC1135">
        <w:trPr>
          <w:jc w:val="center"/>
        </w:trPr>
        <w:tc>
          <w:tcPr>
            <w:tcW w:w="4876" w:type="dxa"/>
          </w:tcPr>
          <w:p w14:paraId="4EA3663C" w14:textId="77777777" w:rsidR="00A25082" w:rsidRPr="00EF6091" w:rsidRDefault="00A25082" w:rsidP="00BC1135">
            <w:pPr>
              <w:pStyle w:val="Normal6"/>
            </w:pPr>
            <w:r w:rsidRPr="00EF6091">
              <w:t>(6)</w:t>
            </w:r>
            <w:r w:rsidRPr="00EF6091">
              <w:tab/>
              <w:t xml:space="preserve">„použitie“ je akékoľvek spracovanie, zostavenie, uskladnenie, úprava </w:t>
            </w:r>
            <w:r w:rsidRPr="00EF6091">
              <w:rPr>
                <w:b/>
                <w:i/>
              </w:rPr>
              <w:t>alebo</w:t>
            </w:r>
            <w:r w:rsidRPr="00EF6091">
              <w:t xml:space="preserve"> miešanie a</w:t>
            </w:r>
            <w:r w:rsidRPr="00EF6091">
              <w:rPr>
                <w:b/>
                <w:i/>
              </w:rPr>
              <w:t xml:space="preserve"> v rámci výroby</w:t>
            </w:r>
            <w:r w:rsidRPr="00EF6091">
              <w:t xml:space="preserve"> výrobku alebo akékoľvek iné použitie;</w:t>
            </w:r>
          </w:p>
        </w:tc>
        <w:tc>
          <w:tcPr>
            <w:tcW w:w="4876" w:type="dxa"/>
          </w:tcPr>
          <w:p w14:paraId="6D95F179" w14:textId="77777777" w:rsidR="00A25082" w:rsidRPr="00EF6091" w:rsidRDefault="00A25082" w:rsidP="00BC1135">
            <w:pPr>
              <w:pStyle w:val="Normal6"/>
            </w:pPr>
            <w:r w:rsidRPr="00EF6091">
              <w:t>(6)</w:t>
            </w:r>
            <w:r w:rsidRPr="00EF6091">
              <w:tab/>
              <w:t xml:space="preserve">„použitie“ je akékoľvek spracovanie, zostavenie, </w:t>
            </w:r>
            <w:r w:rsidRPr="00EF6091">
              <w:rPr>
                <w:b/>
                <w:i/>
              </w:rPr>
              <w:t xml:space="preserve">spotreba, </w:t>
            </w:r>
            <w:r w:rsidRPr="00EF6091">
              <w:t xml:space="preserve">uskladnenie, </w:t>
            </w:r>
            <w:r w:rsidRPr="00EF6091">
              <w:rPr>
                <w:b/>
                <w:i/>
              </w:rPr>
              <w:t xml:space="preserve">uchovávanie, </w:t>
            </w:r>
            <w:r w:rsidRPr="00EF6091">
              <w:t>úprava</w:t>
            </w:r>
            <w:r w:rsidRPr="00EF6091">
              <w:rPr>
                <w:b/>
                <w:i/>
              </w:rPr>
              <w:t>, plnenie do nádob, prenos z jednej nádoby do druhej,</w:t>
            </w:r>
            <w:r w:rsidRPr="00EF6091">
              <w:t xml:space="preserve"> miešanie</w:t>
            </w:r>
            <w:r w:rsidRPr="00EF6091">
              <w:rPr>
                <w:b/>
                <w:i/>
              </w:rPr>
              <w:t>, výroba</w:t>
            </w:r>
            <w:r w:rsidRPr="00EF6091">
              <w:t xml:space="preserve"> výrobku alebo akékoľvek iné použitie;</w:t>
            </w:r>
          </w:p>
        </w:tc>
      </w:tr>
    </w:tbl>
    <w:p w14:paraId="29B50072" w14:textId="1E218B95" w:rsidR="00A25082" w:rsidRPr="00EF6091" w:rsidRDefault="00A25082" w:rsidP="00A25082">
      <w:r w:rsidRPr="00EF6091">
        <w:rPr>
          <w:rStyle w:val="HideTWBExt"/>
          <w:noProof w:val="0"/>
        </w:rPr>
        <w:t>&lt;/Amend&gt;</w:t>
      </w:r>
    </w:p>
    <w:p w14:paraId="39910F82" w14:textId="74E0E241"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8</w:t>
      </w:r>
      <w:r w:rsidRPr="00EF6091">
        <w:rPr>
          <w:rStyle w:val="HideTWBExt"/>
          <w:noProof w:val="0"/>
        </w:rPr>
        <w:t>&lt;/NumAm&gt;</w:t>
      </w:r>
    </w:p>
    <w:p w14:paraId="0D0CD1CF"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3FD9B509" w14:textId="77777777" w:rsidR="00A25082" w:rsidRPr="00EF6091" w:rsidRDefault="00A25082" w:rsidP="00A25082">
      <w:pPr>
        <w:pStyle w:val="NormalBold"/>
      </w:pPr>
      <w:r w:rsidRPr="00EF6091">
        <w:rPr>
          <w:rStyle w:val="HideTWBExt"/>
          <w:noProof w:val="0"/>
        </w:rPr>
        <w:t>&lt;Article&gt;</w:t>
      </w:r>
      <w:r w:rsidRPr="00EF6091">
        <w:t>Článok 3 – odsek 1 – bod 6 a (nový)</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727E264A" w14:textId="77777777" w:rsidTr="00BC1135">
        <w:trPr>
          <w:trHeight w:hRule="exact" w:val="240"/>
          <w:jc w:val="center"/>
        </w:trPr>
        <w:tc>
          <w:tcPr>
            <w:tcW w:w="9752" w:type="dxa"/>
            <w:gridSpan w:val="2"/>
          </w:tcPr>
          <w:p w14:paraId="1E02F503" w14:textId="77777777" w:rsidR="00A25082" w:rsidRPr="00EF6091" w:rsidRDefault="00A25082" w:rsidP="00BC1135"/>
        </w:tc>
      </w:tr>
      <w:tr w:rsidR="00A25082" w:rsidRPr="00EF6091" w14:paraId="5201D5EE" w14:textId="77777777" w:rsidTr="00BC1135">
        <w:trPr>
          <w:trHeight w:val="240"/>
          <w:jc w:val="center"/>
        </w:trPr>
        <w:tc>
          <w:tcPr>
            <w:tcW w:w="4876" w:type="dxa"/>
          </w:tcPr>
          <w:p w14:paraId="6C8FD98B" w14:textId="77777777" w:rsidR="00A25082" w:rsidRPr="00EF6091" w:rsidRDefault="00A25082" w:rsidP="00BC1135">
            <w:pPr>
              <w:pStyle w:val="ColumnHeading"/>
            </w:pPr>
            <w:r w:rsidRPr="00EF6091">
              <w:t>Text predložený Komisiou</w:t>
            </w:r>
          </w:p>
        </w:tc>
        <w:tc>
          <w:tcPr>
            <w:tcW w:w="4876" w:type="dxa"/>
          </w:tcPr>
          <w:p w14:paraId="6599A2A7" w14:textId="77777777" w:rsidR="00A25082" w:rsidRPr="00EF6091" w:rsidRDefault="00A25082" w:rsidP="00BC1135">
            <w:pPr>
              <w:pStyle w:val="ColumnHeading"/>
            </w:pPr>
            <w:r w:rsidRPr="00EF6091">
              <w:t>Pozmeňujúci návrh</w:t>
            </w:r>
          </w:p>
        </w:tc>
      </w:tr>
      <w:tr w:rsidR="00A25082" w:rsidRPr="00EF6091" w14:paraId="522C1A5A" w14:textId="77777777" w:rsidTr="00BC1135">
        <w:trPr>
          <w:jc w:val="center"/>
        </w:trPr>
        <w:tc>
          <w:tcPr>
            <w:tcW w:w="4876" w:type="dxa"/>
          </w:tcPr>
          <w:p w14:paraId="2B78EF91" w14:textId="77777777" w:rsidR="00A25082" w:rsidRPr="00EF6091" w:rsidRDefault="00A25082" w:rsidP="00BC1135">
            <w:pPr>
              <w:pStyle w:val="Normal6"/>
            </w:pPr>
          </w:p>
        </w:tc>
        <w:tc>
          <w:tcPr>
            <w:tcW w:w="4876" w:type="dxa"/>
          </w:tcPr>
          <w:p w14:paraId="598B5AED" w14:textId="77777777" w:rsidR="00A25082" w:rsidRPr="00EF6091" w:rsidRDefault="00A25082" w:rsidP="00BC1135">
            <w:pPr>
              <w:pStyle w:val="Normal6"/>
            </w:pPr>
            <w:r w:rsidRPr="00EF6091">
              <w:rPr>
                <w:b/>
                <w:i/>
              </w:rPr>
              <w:t>6a)</w:t>
            </w:r>
            <w:r w:rsidRPr="00EF6091">
              <w:tab/>
            </w:r>
            <w:r w:rsidRPr="00EF6091">
              <w:rPr>
                <w:b/>
                <w:i/>
              </w:rPr>
              <w:t>„podozrivá transakcia” je akákoľvek transakcia, pri ktorej po zohľadnení všetkých relevantných okolností existuje dôvodné podozrenie, že látka alebo zmes je určená na nedovolenú výrobu výbušnín;</w:t>
            </w:r>
          </w:p>
        </w:tc>
      </w:tr>
    </w:tbl>
    <w:p w14:paraId="44CE66E9" w14:textId="00FBC9E3" w:rsidR="00A25082" w:rsidRPr="00EF6091" w:rsidRDefault="00A25082" w:rsidP="00A25082">
      <w:r w:rsidRPr="00EF6091">
        <w:rPr>
          <w:rStyle w:val="HideTWBExt"/>
          <w:noProof w:val="0"/>
        </w:rPr>
        <w:t>&lt;/Amend&gt;</w:t>
      </w:r>
    </w:p>
    <w:p w14:paraId="15DE23C9" w14:textId="396A1B62"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9</w:t>
      </w:r>
      <w:r w:rsidRPr="00EF6091">
        <w:rPr>
          <w:rStyle w:val="HideTWBExt"/>
          <w:noProof w:val="0"/>
        </w:rPr>
        <w:t>&lt;/NumAm&gt;</w:t>
      </w:r>
    </w:p>
    <w:p w14:paraId="060F93D7"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1EA74CF7" w14:textId="77777777" w:rsidR="00A25082" w:rsidRPr="00EF6091" w:rsidRDefault="00A25082" w:rsidP="00A25082">
      <w:pPr>
        <w:pStyle w:val="NormalBold"/>
      </w:pPr>
      <w:r w:rsidRPr="00EF6091">
        <w:rPr>
          <w:rStyle w:val="HideTWBExt"/>
          <w:noProof w:val="0"/>
        </w:rPr>
        <w:t>&lt;Article&gt;</w:t>
      </w:r>
      <w:r w:rsidRPr="00EF6091">
        <w:t>Článok 3 – odsek 1 – bod 7</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26B65F10" w14:textId="77777777" w:rsidTr="00BC1135">
        <w:trPr>
          <w:trHeight w:hRule="exact" w:val="240"/>
          <w:jc w:val="center"/>
        </w:trPr>
        <w:tc>
          <w:tcPr>
            <w:tcW w:w="9752" w:type="dxa"/>
            <w:gridSpan w:val="2"/>
          </w:tcPr>
          <w:p w14:paraId="13405981" w14:textId="77777777" w:rsidR="00A25082" w:rsidRPr="00EF6091" w:rsidRDefault="00A25082" w:rsidP="00BC1135"/>
        </w:tc>
      </w:tr>
      <w:tr w:rsidR="00A25082" w:rsidRPr="00EF6091" w14:paraId="5F393AF6" w14:textId="77777777" w:rsidTr="00BC1135">
        <w:trPr>
          <w:trHeight w:val="240"/>
          <w:jc w:val="center"/>
        </w:trPr>
        <w:tc>
          <w:tcPr>
            <w:tcW w:w="4876" w:type="dxa"/>
          </w:tcPr>
          <w:p w14:paraId="3D69C14E" w14:textId="77777777" w:rsidR="00A25082" w:rsidRPr="00EF6091" w:rsidRDefault="00A25082" w:rsidP="00BC1135">
            <w:pPr>
              <w:pStyle w:val="ColumnHeading"/>
            </w:pPr>
            <w:r w:rsidRPr="00EF6091">
              <w:t>Text predložený Komisiou</w:t>
            </w:r>
          </w:p>
        </w:tc>
        <w:tc>
          <w:tcPr>
            <w:tcW w:w="4876" w:type="dxa"/>
          </w:tcPr>
          <w:p w14:paraId="1D2994AC" w14:textId="77777777" w:rsidR="00A25082" w:rsidRPr="00EF6091" w:rsidRDefault="00A25082" w:rsidP="00BC1135">
            <w:pPr>
              <w:pStyle w:val="ColumnHeading"/>
            </w:pPr>
            <w:r w:rsidRPr="00EF6091">
              <w:t>Pozmeňujúci návrh</w:t>
            </w:r>
          </w:p>
        </w:tc>
      </w:tr>
      <w:tr w:rsidR="00A25082" w:rsidRPr="00EF6091" w14:paraId="0089194C" w14:textId="77777777" w:rsidTr="00BC1135">
        <w:trPr>
          <w:jc w:val="center"/>
        </w:trPr>
        <w:tc>
          <w:tcPr>
            <w:tcW w:w="4876" w:type="dxa"/>
          </w:tcPr>
          <w:p w14:paraId="3197DD37" w14:textId="77777777" w:rsidR="00A25082" w:rsidRPr="00EF6091" w:rsidRDefault="00A25082" w:rsidP="00BC1135">
            <w:pPr>
              <w:pStyle w:val="Normal6"/>
            </w:pPr>
            <w:r w:rsidRPr="00EF6091">
              <w:t>(7)</w:t>
            </w:r>
            <w:r w:rsidRPr="00EF6091">
              <w:tab/>
              <w:t xml:space="preserve">„člen širokej verejnosti“ je každá fyzická alebo právnická osoba, ktorá potrebuje obmedzený prekurzor výbušnín na účely, ktoré nie sú spojené s jej </w:t>
            </w:r>
            <w:r w:rsidRPr="00EF6091">
              <w:rPr>
                <w:b/>
                <w:i/>
              </w:rPr>
              <w:t>obchodovaním</w:t>
            </w:r>
            <w:r w:rsidRPr="00EF6091">
              <w:t xml:space="preserve">, </w:t>
            </w:r>
            <w:r w:rsidRPr="00EF6091">
              <w:rPr>
                <w:b/>
                <w:i/>
              </w:rPr>
              <w:t>podnikaním</w:t>
            </w:r>
            <w:r w:rsidRPr="00EF6091">
              <w:t xml:space="preserve">, </w:t>
            </w:r>
            <w:r w:rsidRPr="00EF6091">
              <w:rPr>
                <w:b/>
                <w:i/>
              </w:rPr>
              <w:t>remeslom</w:t>
            </w:r>
            <w:r w:rsidRPr="00EF6091">
              <w:t xml:space="preserve"> alebo </w:t>
            </w:r>
            <w:r w:rsidRPr="00EF6091">
              <w:rPr>
                <w:b/>
                <w:i/>
              </w:rPr>
              <w:t>výkonom povolania</w:t>
            </w:r>
            <w:r w:rsidRPr="00EF6091">
              <w:t>;</w:t>
            </w:r>
          </w:p>
        </w:tc>
        <w:tc>
          <w:tcPr>
            <w:tcW w:w="4876" w:type="dxa"/>
          </w:tcPr>
          <w:p w14:paraId="2A0E4566" w14:textId="77777777" w:rsidR="00A25082" w:rsidRPr="00EF6091" w:rsidRDefault="00A25082" w:rsidP="00BC1135">
            <w:pPr>
              <w:pStyle w:val="Normal6"/>
            </w:pPr>
            <w:r w:rsidRPr="00EF6091">
              <w:t>(7)</w:t>
            </w:r>
            <w:r w:rsidRPr="00EF6091">
              <w:tab/>
              <w:t xml:space="preserve">„člen širokej verejnosti“ je každá fyzická alebo právnická osoba, ktorá potrebuje obmedzený prekurzor výbušnín na účely, ktoré nie sú spojené s jej </w:t>
            </w:r>
            <w:r w:rsidRPr="00EF6091">
              <w:rPr>
                <w:b/>
                <w:i/>
              </w:rPr>
              <w:t>obchodnou, podnikateľskou</w:t>
            </w:r>
            <w:r w:rsidRPr="00EF6091">
              <w:t xml:space="preserve">, </w:t>
            </w:r>
            <w:r w:rsidRPr="00EF6091">
              <w:rPr>
                <w:b/>
                <w:i/>
              </w:rPr>
              <w:t>remeselnou</w:t>
            </w:r>
            <w:r w:rsidRPr="00EF6091">
              <w:t xml:space="preserve">, </w:t>
            </w:r>
            <w:r w:rsidRPr="00EF6091">
              <w:rPr>
                <w:b/>
                <w:i/>
              </w:rPr>
              <w:t>poľnohospodárskou</w:t>
            </w:r>
            <w:r w:rsidRPr="00EF6091">
              <w:t xml:space="preserve"> alebo </w:t>
            </w:r>
            <w:r w:rsidRPr="00EF6091">
              <w:rPr>
                <w:b/>
                <w:i/>
              </w:rPr>
              <w:t>profesijnou činnosťou</w:t>
            </w:r>
            <w:r w:rsidRPr="00EF6091">
              <w:t>;</w:t>
            </w:r>
          </w:p>
        </w:tc>
      </w:tr>
    </w:tbl>
    <w:p w14:paraId="269C37C7" w14:textId="77777777" w:rsidR="00A25082" w:rsidRPr="00EF6091" w:rsidRDefault="00A25082" w:rsidP="00A25082">
      <w:pPr>
        <w:pStyle w:val="JustificationTitle"/>
      </w:pPr>
      <w:r w:rsidRPr="00EF6091">
        <w:rPr>
          <w:rStyle w:val="HideTWBExt"/>
          <w:noProof w:val="0"/>
        </w:rPr>
        <w:t>&lt;TitreJust&gt;</w:t>
      </w:r>
      <w:r w:rsidRPr="00EF6091">
        <w:t>Odôvodnenie</w:t>
      </w:r>
      <w:r w:rsidRPr="00EF6091">
        <w:rPr>
          <w:rStyle w:val="HideTWBExt"/>
          <w:noProof w:val="0"/>
        </w:rPr>
        <w:t>&lt;/TitreJust&gt;</w:t>
      </w:r>
    </w:p>
    <w:p w14:paraId="5214857D" w14:textId="77777777" w:rsidR="00A25082" w:rsidRPr="00EF6091" w:rsidRDefault="00A25082" w:rsidP="00A25082">
      <w:pPr>
        <w:pStyle w:val="Normal12Italic"/>
      </w:pPr>
      <w:r w:rsidRPr="00EF6091">
        <w:t>Cieľom tohto pozmeňujúceho návrhu je objasniť, že podľa tohto nariadenia poľnohospodári nie sú členmi širokej verejnosti.</w:t>
      </w:r>
    </w:p>
    <w:p w14:paraId="14F06515" w14:textId="7851FA97" w:rsidR="00A25082" w:rsidRPr="00EF6091" w:rsidRDefault="00A25082" w:rsidP="00A25082">
      <w:r w:rsidRPr="00EF6091">
        <w:rPr>
          <w:rStyle w:val="HideTWBExt"/>
          <w:noProof w:val="0"/>
        </w:rPr>
        <w:t>&lt;/Amend&gt;</w:t>
      </w:r>
    </w:p>
    <w:p w14:paraId="71DCF4DF" w14:textId="19CF776F" w:rsidR="00C171D8" w:rsidRPr="00EF6091" w:rsidRDefault="00A25082"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10</w:t>
      </w:r>
      <w:r w:rsidRPr="00EF6091">
        <w:rPr>
          <w:rStyle w:val="HideTWBExt"/>
          <w:b w:val="0"/>
          <w:noProof w:val="0"/>
        </w:rPr>
        <w:t>&lt;/NumAm&gt;</w:t>
      </w:r>
    </w:p>
    <w:p w14:paraId="5973897D" w14:textId="56861B95" w:rsidR="00A25082" w:rsidRPr="00EF6091" w:rsidRDefault="00A25082" w:rsidP="00C171D8">
      <w:pPr>
        <w:pStyle w:val="NormalBold12b"/>
      </w:pPr>
      <w:r w:rsidRPr="00EF6091">
        <w:rPr>
          <w:rStyle w:val="HideTWBExt"/>
          <w:b w:val="0"/>
          <w:noProof w:val="0"/>
        </w:rPr>
        <w:t>&lt;DocAmend&gt;</w:t>
      </w:r>
      <w:r w:rsidRPr="00EF6091">
        <w:t>Návrh nariadenia</w:t>
      </w:r>
      <w:r w:rsidRPr="00EF6091">
        <w:rPr>
          <w:rStyle w:val="HideTWBExt"/>
          <w:b w:val="0"/>
          <w:noProof w:val="0"/>
        </w:rPr>
        <w:t>&lt;/DocAmend&gt;</w:t>
      </w:r>
    </w:p>
    <w:p w14:paraId="406E7539" w14:textId="77777777" w:rsidR="00A25082" w:rsidRPr="00EF6091" w:rsidRDefault="00A25082" w:rsidP="00A25082">
      <w:pPr>
        <w:pStyle w:val="NormalBold"/>
      </w:pPr>
      <w:r w:rsidRPr="00EF6091">
        <w:rPr>
          <w:rStyle w:val="HideTWBExt"/>
          <w:b w:val="0"/>
          <w:noProof w:val="0"/>
        </w:rPr>
        <w:t>&lt;Article&gt;</w:t>
      </w:r>
      <w:r w:rsidRPr="00EF6091">
        <w:t>Článok 3 – odsek 1 – bod 8</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25082" w:rsidRPr="00EF6091" w14:paraId="0DDF91C4" w14:textId="77777777" w:rsidTr="00BC1135">
        <w:trPr>
          <w:jc w:val="center"/>
        </w:trPr>
        <w:tc>
          <w:tcPr>
            <w:tcW w:w="9752" w:type="dxa"/>
            <w:gridSpan w:val="2"/>
          </w:tcPr>
          <w:p w14:paraId="6893EC5D" w14:textId="77777777" w:rsidR="00A25082" w:rsidRPr="00EF6091" w:rsidRDefault="00A25082" w:rsidP="00BC1135">
            <w:pPr>
              <w:keepNext/>
            </w:pPr>
          </w:p>
        </w:tc>
      </w:tr>
      <w:tr w:rsidR="00A25082" w:rsidRPr="00EF6091" w14:paraId="751A9892" w14:textId="77777777" w:rsidTr="00BC1135">
        <w:trPr>
          <w:jc w:val="center"/>
        </w:trPr>
        <w:tc>
          <w:tcPr>
            <w:tcW w:w="4876" w:type="dxa"/>
          </w:tcPr>
          <w:p w14:paraId="54E7C7D8" w14:textId="77777777" w:rsidR="00A25082" w:rsidRPr="00EF6091" w:rsidRDefault="00A25082" w:rsidP="00BC1135">
            <w:pPr>
              <w:pStyle w:val="ColumnHeading"/>
              <w:keepNext/>
            </w:pPr>
            <w:r w:rsidRPr="00EF6091">
              <w:t>Text predložený Komisiou</w:t>
            </w:r>
          </w:p>
        </w:tc>
        <w:tc>
          <w:tcPr>
            <w:tcW w:w="4876" w:type="dxa"/>
          </w:tcPr>
          <w:p w14:paraId="5AEA99C9" w14:textId="77777777" w:rsidR="00A25082" w:rsidRPr="00EF6091" w:rsidRDefault="00A25082" w:rsidP="00BC1135">
            <w:pPr>
              <w:pStyle w:val="ColumnHeading"/>
              <w:keepNext/>
            </w:pPr>
            <w:r w:rsidRPr="00EF6091">
              <w:t>Pozmeňujúci návrh</w:t>
            </w:r>
          </w:p>
        </w:tc>
      </w:tr>
      <w:tr w:rsidR="00A25082" w:rsidRPr="00EF6091" w14:paraId="727D8DC3" w14:textId="77777777" w:rsidTr="00BC1135">
        <w:trPr>
          <w:jc w:val="center"/>
        </w:trPr>
        <w:tc>
          <w:tcPr>
            <w:tcW w:w="4876" w:type="dxa"/>
          </w:tcPr>
          <w:p w14:paraId="185C101A" w14:textId="77777777" w:rsidR="00A25082" w:rsidRPr="00EF6091" w:rsidRDefault="00A25082" w:rsidP="00BC1135">
            <w:pPr>
              <w:pStyle w:val="Normal6"/>
            </w:pPr>
            <w:r w:rsidRPr="00EF6091">
              <w:t>(8)</w:t>
            </w:r>
            <w:r w:rsidRPr="00EF6091">
              <w:tab/>
              <w:t xml:space="preserve">„profesionálny používateľ“ je každá fyzická alebo právnická osoba, ktorá preukázateľne potrebuje obmedzený prekurzor výbušnín na účely súvisiace s jej </w:t>
            </w:r>
            <w:r w:rsidRPr="00EF6091">
              <w:rPr>
                <w:b/>
                <w:i/>
              </w:rPr>
              <w:t>obchodovaním</w:t>
            </w:r>
            <w:r w:rsidRPr="00EF6091">
              <w:t xml:space="preserve">, </w:t>
            </w:r>
            <w:r w:rsidRPr="00EF6091">
              <w:rPr>
                <w:b/>
                <w:i/>
              </w:rPr>
              <w:t>podnikaním</w:t>
            </w:r>
            <w:r w:rsidRPr="00EF6091">
              <w:t xml:space="preserve">, </w:t>
            </w:r>
            <w:r w:rsidRPr="00EF6091">
              <w:rPr>
                <w:b/>
                <w:i/>
              </w:rPr>
              <w:t>remeslom</w:t>
            </w:r>
            <w:r w:rsidRPr="00EF6091">
              <w:t xml:space="preserve"> alebo </w:t>
            </w:r>
            <w:r w:rsidRPr="00EF6091">
              <w:rPr>
                <w:b/>
                <w:i/>
              </w:rPr>
              <w:t>výkonom povolania</w:t>
            </w:r>
            <w:r w:rsidRPr="00EF6091">
              <w:t xml:space="preserve">, ktoré vylučujú sprístupnenie daného obmedzeného prekurzora výbušnín </w:t>
            </w:r>
            <w:r w:rsidRPr="00EF6091">
              <w:rPr>
                <w:b/>
                <w:i/>
              </w:rPr>
              <w:t>inej osobe</w:t>
            </w:r>
            <w:r w:rsidRPr="00EF6091">
              <w:t>;</w:t>
            </w:r>
          </w:p>
        </w:tc>
        <w:tc>
          <w:tcPr>
            <w:tcW w:w="4876" w:type="dxa"/>
          </w:tcPr>
          <w:p w14:paraId="1EE2810D" w14:textId="47258D81" w:rsidR="00A25082" w:rsidRPr="00EF6091" w:rsidRDefault="00A25082" w:rsidP="00BC1135">
            <w:pPr>
              <w:pStyle w:val="Normal6"/>
              <w:rPr>
                <w:szCs w:val="24"/>
              </w:rPr>
            </w:pPr>
            <w:r w:rsidRPr="00EF6091">
              <w:t>(8)</w:t>
            </w:r>
            <w:r w:rsidRPr="00EF6091">
              <w:tab/>
              <w:t xml:space="preserve">„profesionálny používateľ“ je každá fyzická alebo právnická osoba, ktorá preukázateľne potrebuje obmedzený prekurzor výbušnín na účely súvisiace s jej </w:t>
            </w:r>
            <w:r w:rsidRPr="00EF6091">
              <w:rPr>
                <w:b/>
                <w:i/>
              </w:rPr>
              <w:t>obchodnou</w:t>
            </w:r>
            <w:r w:rsidRPr="00EF6091">
              <w:t xml:space="preserve">, </w:t>
            </w:r>
            <w:r w:rsidRPr="00EF6091">
              <w:rPr>
                <w:b/>
                <w:i/>
              </w:rPr>
              <w:t>podnikanikateľskou</w:t>
            </w:r>
            <w:r w:rsidRPr="00EF6091">
              <w:t xml:space="preserve">, </w:t>
            </w:r>
            <w:r w:rsidRPr="00EF6091">
              <w:rPr>
                <w:b/>
                <w:i/>
              </w:rPr>
              <w:t>remeselnou, poľnohospodárskou</w:t>
            </w:r>
            <w:r w:rsidRPr="00EF6091">
              <w:t xml:space="preserve"> alebo </w:t>
            </w:r>
            <w:r w:rsidRPr="00EF6091">
              <w:rPr>
                <w:b/>
                <w:i/>
              </w:rPr>
              <w:t>profesijnou činnosťou</w:t>
            </w:r>
            <w:r w:rsidRPr="00EF6091">
              <w:t xml:space="preserve">, ktoré vylučujú sprístupnenie daného obmedzeného prekurzora výbušnín </w:t>
            </w:r>
            <w:r w:rsidRPr="00EF6091">
              <w:rPr>
                <w:b/>
                <w:i/>
              </w:rPr>
              <w:t>členovi širokej verejnosti</w:t>
            </w:r>
            <w:r w:rsidRPr="00EF6091">
              <w:t>;</w:t>
            </w:r>
          </w:p>
        </w:tc>
      </w:tr>
    </w:tbl>
    <w:p w14:paraId="12306A46" w14:textId="55B45AF7" w:rsidR="00A25082" w:rsidRPr="00EF6091" w:rsidRDefault="00A25082" w:rsidP="00A25082">
      <w:r w:rsidRPr="00EF6091">
        <w:rPr>
          <w:rStyle w:val="HideTWBExt"/>
          <w:noProof w:val="0"/>
        </w:rPr>
        <w:t>&lt;/Amend&gt;</w:t>
      </w:r>
    </w:p>
    <w:p w14:paraId="726D978C" w14:textId="041363A5" w:rsidR="00C171D8" w:rsidRPr="00EF6091" w:rsidRDefault="00A25082"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11</w:t>
      </w:r>
      <w:r w:rsidRPr="00EF6091">
        <w:rPr>
          <w:rStyle w:val="HideTWBExt"/>
          <w:b w:val="0"/>
          <w:noProof w:val="0"/>
        </w:rPr>
        <w:t>&lt;/NumAm&gt;</w:t>
      </w:r>
    </w:p>
    <w:p w14:paraId="4DF6BFDA" w14:textId="44AB15BC" w:rsidR="00A25082" w:rsidRPr="00EF6091" w:rsidRDefault="00A25082" w:rsidP="00C171D8">
      <w:pPr>
        <w:pStyle w:val="NormalBold12b"/>
      </w:pPr>
      <w:r w:rsidRPr="00EF6091">
        <w:rPr>
          <w:rStyle w:val="HideTWBExt"/>
          <w:b w:val="0"/>
          <w:noProof w:val="0"/>
        </w:rPr>
        <w:t>&lt;DocAmend&gt;</w:t>
      </w:r>
      <w:r w:rsidRPr="00EF6091">
        <w:t>Návrh nariadenia</w:t>
      </w:r>
      <w:r w:rsidRPr="00EF6091">
        <w:rPr>
          <w:rStyle w:val="HideTWBExt"/>
          <w:b w:val="0"/>
          <w:noProof w:val="0"/>
        </w:rPr>
        <w:t>&lt;/DocAmend&gt;</w:t>
      </w:r>
    </w:p>
    <w:p w14:paraId="0E2AFEE4" w14:textId="77777777" w:rsidR="00A25082" w:rsidRPr="00EF6091" w:rsidRDefault="00A25082" w:rsidP="00A25082">
      <w:pPr>
        <w:pStyle w:val="NormalBold"/>
      </w:pPr>
      <w:r w:rsidRPr="00EF6091">
        <w:rPr>
          <w:rStyle w:val="HideTWBExt"/>
          <w:b w:val="0"/>
          <w:noProof w:val="0"/>
        </w:rPr>
        <w:t>&lt;Article&gt;</w:t>
      </w:r>
      <w:r w:rsidRPr="00EF6091">
        <w:t>Článok 3 – odsek 1 – bod 9</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25082" w:rsidRPr="00EF6091" w14:paraId="506E8998" w14:textId="77777777" w:rsidTr="00BC1135">
        <w:trPr>
          <w:jc w:val="center"/>
        </w:trPr>
        <w:tc>
          <w:tcPr>
            <w:tcW w:w="9752" w:type="dxa"/>
            <w:gridSpan w:val="2"/>
          </w:tcPr>
          <w:p w14:paraId="22812B80" w14:textId="77777777" w:rsidR="00A25082" w:rsidRPr="00EF6091" w:rsidRDefault="00A25082" w:rsidP="00BC1135">
            <w:pPr>
              <w:keepNext/>
            </w:pPr>
          </w:p>
        </w:tc>
      </w:tr>
      <w:tr w:rsidR="00A25082" w:rsidRPr="00EF6091" w14:paraId="3E6F17CD" w14:textId="77777777" w:rsidTr="00BC1135">
        <w:trPr>
          <w:jc w:val="center"/>
        </w:trPr>
        <w:tc>
          <w:tcPr>
            <w:tcW w:w="4876" w:type="dxa"/>
          </w:tcPr>
          <w:p w14:paraId="3BA1599F" w14:textId="77777777" w:rsidR="00A25082" w:rsidRPr="00EF6091" w:rsidRDefault="00A25082" w:rsidP="00BC1135">
            <w:pPr>
              <w:pStyle w:val="ColumnHeading"/>
              <w:keepNext/>
            </w:pPr>
            <w:r w:rsidRPr="00EF6091">
              <w:t>Text predložený Komisiou</w:t>
            </w:r>
          </w:p>
        </w:tc>
        <w:tc>
          <w:tcPr>
            <w:tcW w:w="4876" w:type="dxa"/>
          </w:tcPr>
          <w:p w14:paraId="37F7F497" w14:textId="77777777" w:rsidR="00A25082" w:rsidRPr="00EF6091" w:rsidRDefault="00A25082" w:rsidP="00BC1135">
            <w:pPr>
              <w:pStyle w:val="ColumnHeading"/>
              <w:keepNext/>
            </w:pPr>
            <w:r w:rsidRPr="00EF6091">
              <w:t>Pozmeňujúci návrh</w:t>
            </w:r>
          </w:p>
        </w:tc>
      </w:tr>
      <w:tr w:rsidR="00A25082" w:rsidRPr="00EF6091" w14:paraId="539D126C" w14:textId="77777777" w:rsidTr="00BC1135">
        <w:trPr>
          <w:jc w:val="center"/>
        </w:trPr>
        <w:tc>
          <w:tcPr>
            <w:tcW w:w="4876" w:type="dxa"/>
          </w:tcPr>
          <w:p w14:paraId="46F0F03C" w14:textId="77777777" w:rsidR="00A25082" w:rsidRPr="00EF6091" w:rsidRDefault="00A25082" w:rsidP="00BC1135">
            <w:pPr>
              <w:pStyle w:val="Normal6"/>
            </w:pPr>
            <w:r w:rsidRPr="00EF6091">
              <w:t>(9)</w:t>
            </w:r>
            <w:r w:rsidRPr="00EF6091">
              <w:tab/>
              <w:t xml:space="preserve">„hospodársky subjekt“ je každá fyzická alebo právnická osoba alebo verejný subjekt alebo skupina takýchto osôb a/alebo orgánov, ktorá </w:t>
            </w:r>
            <w:r w:rsidRPr="00EF6091">
              <w:rPr>
                <w:b/>
                <w:i/>
              </w:rPr>
              <w:t>dodáva na trh</w:t>
            </w:r>
            <w:r w:rsidRPr="00EF6091">
              <w:t xml:space="preserve"> regulované prekurzory výbušnín alebo služby súvisiace s regulovanými prekurzormi výbušnín, a to buď online, alebo offline, ako aj na online trhoch</w:t>
            </w:r>
            <w:r w:rsidRPr="00EF6091">
              <w:rPr>
                <w:b/>
                <w:i/>
              </w:rPr>
              <w:t>;</w:t>
            </w:r>
          </w:p>
        </w:tc>
        <w:tc>
          <w:tcPr>
            <w:tcW w:w="4876" w:type="dxa"/>
          </w:tcPr>
          <w:p w14:paraId="243D02B1" w14:textId="77777777" w:rsidR="00A25082" w:rsidRPr="00EF6091" w:rsidRDefault="00A25082" w:rsidP="00BC1135">
            <w:pPr>
              <w:pStyle w:val="Normal6"/>
              <w:rPr>
                <w:szCs w:val="24"/>
              </w:rPr>
            </w:pPr>
            <w:r w:rsidRPr="00EF6091">
              <w:t>(9)</w:t>
            </w:r>
            <w:r w:rsidRPr="00EF6091">
              <w:tab/>
              <w:t xml:space="preserve">„hospodársky subjekt“ je každá fyzická alebo právnická osoba alebo verejný subjekt alebo skupina takýchto osôb a/alebo orgánov, ktorá </w:t>
            </w:r>
            <w:r w:rsidRPr="00EF6091">
              <w:rPr>
                <w:b/>
                <w:i/>
              </w:rPr>
              <w:t>sprístupňuje</w:t>
            </w:r>
            <w:r w:rsidRPr="00EF6091">
              <w:t xml:space="preserve"> regulované prekurzory výbušnín alebo služby súvisiace s regulovanými prekurzormi výbušnín</w:t>
            </w:r>
            <w:r w:rsidRPr="00EF6091">
              <w:rPr>
                <w:b/>
                <w:i/>
              </w:rPr>
              <w:t xml:space="preserve"> na trhu</w:t>
            </w:r>
            <w:r w:rsidRPr="00EF6091">
              <w:t>, a to buď online, alebo offline, ako aj na online trhoch</w:t>
            </w:r>
            <w:r w:rsidRPr="00EF6091">
              <w:rPr>
                <w:b/>
                <w:i/>
              </w:rPr>
              <w:t>.</w:t>
            </w:r>
          </w:p>
        </w:tc>
      </w:tr>
    </w:tbl>
    <w:p w14:paraId="02236763" w14:textId="4BD89612" w:rsidR="00A25082" w:rsidRPr="00EF6091" w:rsidRDefault="00A25082" w:rsidP="00A25082">
      <w:r w:rsidRPr="00EF6091">
        <w:rPr>
          <w:rStyle w:val="HideTWBExt"/>
          <w:noProof w:val="0"/>
        </w:rPr>
        <w:t>&lt;/Amend&gt;</w:t>
      </w:r>
    </w:p>
    <w:p w14:paraId="7C086AC6" w14:textId="67BCFCD3"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12</w:t>
      </w:r>
      <w:r w:rsidRPr="00EF6091">
        <w:rPr>
          <w:rStyle w:val="HideTWBExt"/>
          <w:noProof w:val="0"/>
        </w:rPr>
        <w:t>&lt;/NumAm&gt;</w:t>
      </w:r>
    </w:p>
    <w:p w14:paraId="69F520DE"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7BFAD710" w14:textId="77777777" w:rsidR="00A25082" w:rsidRPr="00EF6091" w:rsidRDefault="00A25082" w:rsidP="00A25082">
      <w:pPr>
        <w:pStyle w:val="NormalBold"/>
      </w:pPr>
      <w:r w:rsidRPr="00EF6091">
        <w:rPr>
          <w:rStyle w:val="HideTWBExt"/>
          <w:noProof w:val="0"/>
        </w:rPr>
        <w:t>&lt;Article&gt;</w:t>
      </w:r>
      <w:r w:rsidRPr="00EF6091">
        <w:t>Článok 5 – odsek 2</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26D1124F" w14:textId="77777777" w:rsidTr="00BC1135">
        <w:trPr>
          <w:trHeight w:hRule="exact" w:val="240"/>
          <w:jc w:val="center"/>
        </w:trPr>
        <w:tc>
          <w:tcPr>
            <w:tcW w:w="9752" w:type="dxa"/>
            <w:gridSpan w:val="2"/>
          </w:tcPr>
          <w:p w14:paraId="611968A9" w14:textId="77777777" w:rsidR="00A25082" w:rsidRPr="00EF6091" w:rsidRDefault="00A25082" w:rsidP="00BC1135"/>
        </w:tc>
      </w:tr>
      <w:tr w:rsidR="00A25082" w:rsidRPr="00EF6091" w14:paraId="47F67472" w14:textId="77777777" w:rsidTr="00BC1135">
        <w:trPr>
          <w:trHeight w:val="240"/>
          <w:jc w:val="center"/>
        </w:trPr>
        <w:tc>
          <w:tcPr>
            <w:tcW w:w="4876" w:type="dxa"/>
          </w:tcPr>
          <w:p w14:paraId="3DB81E4A" w14:textId="77777777" w:rsidR="00A25082" w:rsidRPr="00EF6091" w:rsidRDefault="00A25082" w:rsidP="00BC1135">
            <w:pPr>
              <w:pStyle w:val="ColumnHeading"/>
            </w:pPr>
            <w:r w:rsidRPr="00EF6091">
              <w:t>Text predložený Komisiou</w:t>
            </w:r>
          </w:p>
        </w:tc>
        <w:tc>
          <w:tcPr>
            <w:tcW w:w="4876" w:type="dxa"/>
          </w:tcPr>
          <w:p w14:paraId="5B6EE28F" w14:textId="77777777" w:rsidR="00A25082" w:rsidRPr="00EF6091" w:rsidRDefault="00A25082" w:rsidP="00BC1135">
            <w:pPr>
              <w:pStyle w:val="ColumnHeading"/>
            </w:pPr>
            <w:r w:rsidRPr="00EF6091">
              <w:t>Pozmeňujúci návrh</w:t>
            </w:r>
          </w:p>
        </w:tc>
      </w:tr>
      <w:tr w:rsidR="00A25082" w:rsidRPr="00EF6091" w14:paraId="011AF70A" w14:textId="77777777" w:rsidTr="00BC1135">
        <w:trPr>
          <w:jc w:val="center"/>
        </w:trPr>
        <w:tc>
          <w:tcPr>
            <w:tcW w:w="4876" w:type="dxa"/>
          </w:tcPr>
          <w:p w14:paraId="54DE13DA" w14:textId="77777777" w:rsidR="00A25082" w:rsidRPr="00EF6091" w:rsidRDefault="00A25082" w:rsidP="00BC1135">
            <w:pPr>
              <w:pStyle w:val="Normal6"/>
            </w:pPr>
            <w:r w:rsidRPr="00EF6091">
              <w:rPr>
                <w:b/>
                <w:i/>
              </w:rPr>
              <w:t>2.</w:t>
            </w:r>
            <w:r w:rsidRPr="00EF6091">
              <w:tab/>
            </w:r>
            <w:r w:rsidRPr="00EF6091">
              <w:rPr>
                <w:b/>
                <w:i/>
              </w:rPr>
              <w:t>Odsek 1 sa nevzťahuje na dusičnan amónny (č. CAS 6484-52-2), ktorý sa poľnohospodárom sprístupňuje alebo ktorý poľnohospodári vlastnia alebo používajú na poľnohospodársku činnosť, a to buď na plný alebo čiastočný úväzok bez ohľadu na rozlohu pôdy.</w:t>
            </w:r>
          </w:p>
        </w:tc>
        <w:tc>
          <w:tcPr>
            <w:tcW w:w="4876" w:type="dxa"/>
          </w:tcPr>
          <w:p w14:paraId="66AC7540" w14:textId="77777777" w:rsidR="00A25082" w:rsidRPr="00EF6091" w:rsidRDefault="00A25082" w:rsidP="00BC1135">
            <w:pPr>
              <w:pStyle w:val="Normal6"/>
            </w:pPr>
            <w:r w:rsidRPr="00EF6091">
              <w:rPr>
                <w:b/>
                <w:i/>
              </w:rPr>
              <w:t>vypúšťa sa</w:t>
            </w:r>
          </w:p>
        </w:tc>
      </w:tr>
    </w:tbl>
    <w:p w14:paraId="0283E57F" w14:textId="77777777" w:rsidR="00A25082" w:rsidRPr="00EF6091" w:rsidRDefault="00A25082" w:rsidP="00A25082">
      <w:pPr>
        <w:pStyle w:val="JustificationTitle"/>
      </w:pPr>
      <w:r w:rsidRPr="00EF6091">
        <w:rPr>
          <w:rStyle w:val="HideTWBExt"/>
          <w:noProof w:val="0"/>
        </w:rPr>
        <w:t>&lt;TitreJust&gt;</w:t>
      </w:r>
      <w:r w:rsidRPr="00EF6091">
        <w:t>Odôvodnenie</w:t>
      </w:r>
      <w:r w:rsidRPr="00EF6091">
        <w:rPr>
          <w:rStyle w:val="HideTWBExt"/>
          <w:noProof w:val="0"/>
        </w:rPr>
        <w:t>&lt;/TitreJust&gt;</w:t>
      </w:r>
    </w:p>
    <w:p w14:paraId="1907E8B8" w14:textId="77777777" w:rsidR="00A25082" w:rsidRPr="00EF6091" w:rsidRDefault="00A25082" w:rsidP="00A25082">
      <w:pPr>
        <w:pStyle w:val="Normal12Italic"/>
      </w:pPr>
      <w:r w:rsidRPr="00EF6091">
        <w:t>Cieľom tohto pozmeňujúceho návrhu je objasniť, že podľa tohto nariadenia poľnohospodári nie sú členmi širokej verejnosti.</w:t>
      </w:r>
    </w:p>
    <w:p w14:paraId="31DE80A9" w14:textId="5F77A6EE" w:rsidR="00A25082" w:rsidRPr="00EF6091" w:rsidRDefault="00A25082" w:rsidP="00A25082">
      <w:r w:rsidRPr="00EF6091">
        <w:rPr>
          <w:rStyle w:val="HideTWBExt"/>
          <w:noProof w:val="0"/>
        </w:rPr>
        <w:t>&lt;/Amend&gt;</w:t>
      </w:r>
    </w:p>
    <w:p w14:paraId="1E495A3E" w14:textId="13179558" w:rsidR="000440FA" w:rsidRPr="00EF6091" w:rsidRDefault="000440FA"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13</w:t>
      </w:r>
      <w:r w:rsidRPr="00EF6091">
        <w:rPr>
          <w:rStyle w:val="HideTWBExt"/>
          <w:b w:val="0"/>
          <w:noProof w:val="0"/>
        </w:rPr>
        <w:t>&lt;/NumAm&gt;</w:t>
      </w:r>
    </w:p>
    <w:p w14:paraId="7F17B384" w14:textId="77777777" w:rsidR="000440FA" w:rsidRPr="00EF6091" w:rsidRDefault="000440FA" w:rsidP="000440FA">
      <w:pPr>
        <w:pStyle w:val="NormalBold12b"/>
        <w:keepNext/>
      </w:pPr>
      <w:r w:rsidRPr="00EF6091">
        <w:rPr>
          <w:rStyle w:val="HideTWBExt"/>
          <w:b w:val="0"/>
          <w:noProof w:val="0"/>
        </w:rPr>
        <w:t>&lt;DocAmend&gt;</w:t>
      </w:r>
      <w:r w:rsidRPr="00EF6091">
        <w:t>Návrh nariadenia</w:t>
      </w:r>
      <w:r w:rsidRPr="00EF6091">
        <w:rPr>
          <w:rStyle w:val="HideTWBExt"/>
          <w:b w:val="0"/>
          <w:noProof w:val="0"/>
        </w:rPr>
        <w:t>&lt;/DocAmend&gt;</w:t>
      </w:r>
    </w:p>
    <w:p w14:paraId="4B4EDB98" w14:textId="77777777" w:rsidR="000440FA" w:rsidRPr="00EF6091" w:rsidRDefault="000440FA" w:rsidP="000440FA">
      <w:pPr>
        <w:pStyle w:val="NormalBold"/>
      </w:pPr>
      <w:r w:rsidRPr="00EF6091">
        <w:rPr>
          <w:rStyle w:val="HideTWBExt"/>
          <w:b w:val="0"/>
          <w:noProof w:val="0"/>
        </w:rPr>
        <w:t>&lt;Article&gt;</w:t>
      </w:r>
      <w:r w:rsidRPr="00EF6091">
        <w:t>Článok 6 – odsek 5</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40FA" w:rsidRPr="00EF6091" w14:paraId="7E2944FF" w14:textId="77777777" w:rsidTr="00BC1135">
        <w:trPr>
          <w:jc w:val="center"/>
        </w:trPr>
        <w:tc>
          <w:tcPr>
            <w:tcW w:w="9752" w:type="dxa"/>
            <w:gridSpan w:val="2"/>
          </w:tcPr>
          <w:p w14:paraId="2B4B2DD0" w14:textId="77777777" w:rsidR="000440FA" w:rsidRPr="00EF6091" w:rsidRDefault="000440FA" w:rsidP="00BC1135">
            <w:pPr>
              <w:keepNext/>
            </w:pPr>
          </w:p>
        </w:tc>
      </w:tr>
      <w:tr w:rsidR="000440FA" w:rsidRPr="00EF6091" w14:paraId="639636BE" w14:textId="77777777" w:rsidTr="00BC1135">
        <w:trPr>
          <w:jc w:val="center"/>
        </w:trPr>
        <w:tc>
          <w:tcPr>
            <w:tcW w:w="4876" w:type="dxa"/>
          </w:tcPr>
          <w:p w14:paraId="1048F2EF" w14:textId="77777777" w:rsidR="000440FA" w:rsidRPr="00EF6091" w:rsidRDefault="000440FA" w:rsidP="00BC1135">
            <w:pPr>
              <w:pStyle w:val="ColumnHeading"/>
              <w:keepNext/>
            </w:pPr>
            <w:r w:rsidRPr="00EF6091">
              <w:t>Text predložený Komisiou</w:t>
            </w:r>
          </w:p>
        </w:tc>
        <w:tc>
          <w:tcPr>
            <w:tcW w:w="4876" w:type="dxa"/>
          </w:tcPr>
          <w:p w14:paraId="599C7DE2" w14:textId="77777777" w:rsidR="000440FA" w:rsidRPr="00EF6091" w:rsidRDefault="000440FA" w:rsidP="00BC1135">
            <w:pPr>
              <w:pStyle w:val="ColumnHeading"/>
              <w:keepNext/>
            </w:pPr>
            <w:r w:rsidRPr="00EF6091">
              <w:t>Pozmeňujúci návrh</w:t>
            </w:r>
          </w:p>
        </w:tc>
      </w:tr>
      <w:tr w:rsidR="000440FA" w:rsidRPr="00EF6091" w14:paraId="443A5350" w14:textId="77777777" w:rsidTr="00BC1135">
        <w:trPr>
          <w:jc w:val="center"/>
        </w:trPr>
        <w:tc>
          <w:tcPr>
            <w:tcW w:w="4876" w:type="dxa"/>
          </w:tcPr>
          <w:p w14:paraId="14BF0997" w14:textId="77777777" w:rsidR="000440FA" w:rsidRPr="00EF6091" w:rsidRDefault="000440FA" w:rsidP="00BC1135">
            <w:pPr>
              <w:pStyle w:val="Normal6"/>
            </w:pPr>
            <w:r w:rsidRPr="00EF6091">
              <w:t>5.</w:t>
            </w:r>
            <w:r w:rsidRPr="00EF6091">
              <w:tab/>
              <w:t>Príslušný orgán môže povolenie pozastaviť alebo zrušiť, ak má dôvodné podozrenie, že podmienky, za ktorých bolo povolenie udelené, už nie sú viac splnené.</w:t>
            </w:r>
          </w:p>
        </w:tc>
        <w:tc>
          <w:tcPr>
            <w:tcW w:w="4876" w:type="dxa"/>
          </w:tcPr>
          <w:p w14:paraId="7FDFB547" w14:textId="0AC90280" w:rsidR="000440FA" w:rsidRPr="00EF6091" w:rsidRDefault="000440FA" w:rsidP="00BC1135">
            <w:pPr>
              <w:pStyle w:val="Normal6"/>
              <w:rPr>
                <w:szCs w:val="24"/>
              </w:rPr>
            </w:pPr>
            <w:r w:rsidRPr="00EF6091">
              <w:t>5.</w:t>
            </w:r>
            <w:r w:rsidRPr="00EF6091">
              <w:tab/>
              <w:t>Príslušný orgán môže povolenie pozastaviť alebo zrušiť, ak má dôvodné podozrenie, že podmienky, za ktorých bolo povolenie udelené, už nie sú viac splnené.</w:t>
            </w:r>
            <w:r w:rsidRPr="00EF6091">
              <w:rPr>
                <w:b/>
                <w:i/>
              </w:rPr>
              <w:t xml:space="preserve"> Príslušný orgán včas informuje držiteľov povolení o akomkoľvek pozastavení alebo zrušení ich povolení.</w:t>
            </w:r>
          </w:p>
        </w:tc>
      </w:tr>
    </w:tbl>
    <w:p w14:paraId="30985DC4" w14:textId="77777777" w:rsidR="000440FA" w:rsidRPr="00EF6091" w:rsidRDefault="000440FA" w:rsidP="000440FA">
      <w:r w:rsidRPr="00EF6091">
        <w:rPr>
          <w:rStyle w:val="HideTWBExt"/>
          <w:noProof w:val="0"/>
        </w:rPr>
        <w:t>&lt;/Amend&gt;</w:t>
      </w:r>
    </w:p>
    <w:p w14:paraId="6051E69E" w14:textId="0DD8733A" w:rsidR="000440FA" w:rsidRPr="00EF6091" w:rsidRDefault="000440FA" w:rsidP="000440FA">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14</w:t>
      </w:r>
      <w:r w:rsidRPr="00EF6091">
        <w:rPr>
          <w:rStyle w:val="HideTWBExt"/>
          <w:b w:val="0"/>
          <w:noProof w:val="0"/>
        </w:rPr>
        <w:t>&lt;/NumAm&gt;</w:t>
      </w:r>
    </w:p>
    <w:p w14:paraId="41092100" w14:textId="77777777" w:rsidR="000440FA" w:rsidRPr="00EF6091" w:rsidRDefault="000440FA" w:rsidP="000440FA">
      <w:pPr>
        <w:pStyle w:val="NormalBold12b"/>
        <w:keepNext/>
      </w:pPr>
      <w:r w:rsidRPr="00EF6091">
        <w:rPr>
          <w:rStyle w:val="HideTWBExt"/>
          <w:b w:val="0"/>
          <w:noProof w:val="0"/>
        </w:rPr>
        <w:t>&lt;DocAmend&gt;</w:t>
      </w:r>
      <w:r w:rsidRPr="00EF6091">
        <w:t>Návrh nariadenia</w:t>
      </w:r>
      <w:r w:rsidRPr="00EF6091">
        <w:rPr>
          <w:rStyle w:val="HideTWBExt"/>
          <w:b w:val="0"/>
          <w:noProof w:val="0"/>
        </w:rPr>
        <w:t>&lt;/DocAmend&gt;</w:t>
      </w:r>
    </w:p>
    <w:p w14:paraId="1643E288" w14:textId="77777777" w:rsidR="000440FA" w:rsidRPr="00EF6091" w:rsidRDefault="000440FA" w:rsidP="000440FA">
      <w:pPr>
        <w:pStyle w:val="NormalBold"/>
      </w:pPr>
      <w:r w:rsidRPr="00EF6091">
        <w:rPr>
          <w:rStyle w:val="HideTWBExt"/>
          <w:b w:val="0"/>
          <w:noProof w:val="0"/>
        </w:rPr>
        <w:t>&lt;Article&gt;</w:t>
      </w:r>
      <w:r w:rsidRPr="00EF6091">
        <w:t>Článok 6 – odsek 7 a (nový)</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40FA" w:rsidRPr="00EF6091" w14:paraId="17067DA1" w14:textId="77777777" w:rsidTr="00BC1135">
        <w:trPr>
          <w:jc w:val="center"/>
        </w:trPr>
        <w:tc>
          <w:tcPr>
            <w:tcW w:w="9752" w:type="dxa"/>
            <w:gridSpan w:val="2"/>
          </w:tcPr>
          <w:p w14:paraId="4556339A" w14:textId="77777777" w:rsidR="000440FA" w:rsidRPr="00EF6091" w:rsidRDefault="000440FA" w:rsidP="00BC1135">
            <w:pPr>
              <w:keepNext/>
            </w:pPr>
          </w:p>
        </w:tc>
      </w:tr>
      <w:tr w:rsidR="000440FA" w:rsidRPr="00EF6091" w14:paraId="07628388" w14:textId="77777777" w:rsidTr="00BC1135">
        <w:trPr>
          <w:jc w:val="center"/>
        </w:trPr>
        <w:tc>
          <w:tcPr>
            <w:tcW w:w="4876" w:type="dxa"/>
          </w:tcPr>
          <w:p w14:paraId="6F0E456E" w14:textId="77777777" w:rsidR="000440FA" w:rsidRPr="00EF6091" w:rsidRDefault="000440FA" w:rsidP="00BC1135">
            <w:pPr>
              <w:pStyle w:val="ColumnHeading"/>
              <w:keepNext/>
            </w:pPr>
            <w:r w:rsidRPr="00EF6091">
              <w:t>Text predložený Komisiou</w:t>
            </w:r>
          </w:p>
        </w:tc>
        <w:tc>
          <w:tcPr>
            <w:tcW w:w="4876" w:type="dxa"/>
          </w:tcPr>
          <w:p w14:paraId="118A72CB" w14:textId="77777777" w:rsidR="000440FA" w:rsidRPr="00EF6091" w:rsidRDefault="000440FA" w:rsidP="00BC1135">
            <w:pPr>
              <w:pStyle w:val="ColumnHeading"/>
              <w:keepNext/>
            </w:pPr>
            <w:r w:rsidRPr="00EF6091">
              <w:t>Pozmeňujúci návrh</w:t>
            </w:r>
          </w:p>
        </w:tc>
      </w:tr>
      <w:tr w:rsidR="000440FA" w:rsidRPr="00EF6091" w14:paraId="41A1A24E" w14:textId="77777777" w:rsidTr="00BC1135">
        <w:trPr>
          <w:jc w:val="center"/>
        </w:trPr>
        <w:tc>
          <w:tcPr>
            <w:tcW w:w="4876" w:type="dxa"/>
          </w:tcPr>
          <w:p w14:paraId="695CAB35" w14:textId="77777777" w:rsidR="000440FA" w:rsidRPr="00EF6091" w:rsidRDefault="000440FA" w:rsidP="00BC1135">
            <w:pPr>
              <w:pStyle w:val="Normal6"/>
            </w:pPr>
          </w:p>
        </w:tc>
        <w:tc>
          <w:tcPr>
            <w:tcW w:w="4876" w:type="dxa"/>
          </w:tcPr>
          <w:p w14:paraId="2320EFF0" w14:textId="43C93C8E" w:rsidR="000440FA" w:rsidRPr="00EF6091" w:rsidRDefault="000440FA" w:rsidP="00BC1135">
            <w:pPr>
              <w:pStyle w:val="Normal6"/>
              <w:rPr>
                <w:szCs w:val="24"/>
              </w:rPr>
            </w:pPr>
            <w:r w:rsidRPr="00EF6091">
              <w:rPr>
                <w:b/>
                <w:i/>
              </w:rPr>
              <w:t>7a.</w:t>
            </w:r>
            <w:r w:rsidRPr="00EF6091">
              <w:rPr>
                <w:b/>
                <w:i/>
              </w:rPr>
              <w:tab/>
              <w:t>Vzájomné uznávanie povolení vydaných inými členskými štátmi sa vykonáva dvojstranne prostredníctvom dohôd medzi príslušnými orgánmi.</w:t>
            </w:r>
          </w:p>
        </w:tc>
      </w:tr>
    </w:tbl>
    <w:p w14:paraId="4FBCFDE2" w14:textId="77777777" w:rsidR="000440FA" w:rsidRPr="00EF6091" w:rsidRDefault="000440FA" w:rsidP="000440FA">
      <w:r w:rsidRPr="00EF6091">
        <w:rPr>
          <w:rStyle w:val="HideTWBExt"/>
          <w:noProof w:val="0"/>
        </w:rPr>
        <w:t>&lt;/Amend&gt;</w:t>
      </w:r>
    </w:p>
    <w:p w14:paraId="2064B33A" w14:textId="15D1FEFB" w:rsidR="000440FA" w:rsidRPr="00EF6091" w:rsidRDefault="000440FA" w:rsidP="000440FA">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15</w:t>
      </w:r>
      <w:r w:rsidRPr="00EF6091">
        <w:rPr>
          <w:rStyle w:val="HideTWBExt"/>
          <w:b w:val="0"/>
          <w:noProof w:val="0"/>
        </w:rPr>
        <w:t>&lt;/NumAm&gt;</w:t>
      </w:r>
    </w:p>
    <w:p w14:paraId="523C6FAB" w14:textId="77777777" w:rsidR="000440FA" w:rsidRPr="00EF6091" w:rsidRDefault="000440FA" w:rsidP="000440FA">
      <w:pPr>
        <w:pStyle w:val="NormalBold12b"/>
        <w:keepNext/>
      </w:pPr>
      <w:r w:rsidRPr="00EF6091">
        <w:rPr>
          <w:rStyle w:val="HideTWBExt"/>
          <w:b w:val="0"/>
          <w:noProof w:val="0"/>
        </w:rPr>
        <w:t>&lt;DocAmend&gt;</w:t>
      </w:r>
      <w:r w:rsidRPr="00EF6091">
        <w:t>Návrh nariadenia</w:t>
      </w:r>
      <w:r w:rsidRPr="00EF6091">
        <w:rPr>
          <w:rStyle w:val="HideTWBExt"/>
          <w:b w:val="0"/>
          <w:noProof w:val="0"/>
        </w:rPr>
        <w:t>&lt;/DocAmend&gt;</w:t>
      </w:r>
    </w:p>
    <w:p w14:paraId="7394C46A" w14:textId="77777777" w:rsidR="000440FA" w:rsidRPr="00EF6091" w:rsidRDefault="000440FA" w:rsidP="000440FA">
      <w:pPr>
        <w:pStyle w:val="NormalBold"/>
      </w:pPr>
      <w:r w:rsidRPr="00EF6091">
        <w:rPr>
          <w:rStyle w:val="HideTWBExt"/>
          <w:b w:val="0"/>
          <w:noProof w:val="0"/>
        </w:rPr>
        <w:t>&lt;Article&gt;</w:t>
      </w:r>
      <w:r w:rsidRPr="00EF6091">
        <w:t>Článok 6 – odsek 9</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40FA" w:rsidRPr="00EF6091" w14:paraId="0F29F07D" w14:textId="77777777" w:rsidTr="00BC1135">
        <w:trPr>
          <w:jc w:val="center"/>
        </w:trPr>
        <w:tc>
          <w:tcPr>
            <w:tcW w:w="9752" w:type="dxa"/>
            <w:gridSpan w:val="2"/>
          </w:tcPr>
          <w:p w14:paraId="2D4019C9" w14:textId="77777777" w:rsidR="000440FA" w:rsidRPr="00EF6091" w:rsidRDefault="000440FA" w:rsidP="00BC1135">
            <w:pPr>
              <w:keepNext/>
            </w:pPr>
          </w:p>
        </w:tc>
      </w:tr>
      <w:tr w:rsidR="000440FA" w:rsidRPr="00EF6091" w14:paraId="2C4C916A" w14:textId="77777777" w:rsidTr="00BC1135">
        <w:trPr>
          <w:jc w:val="center"/>
        </w:trPr>
        <w:tc>
          <w:tcPr>
            <w:tcW w:w="4876" w:type="dxa"/>
          </w:tcPr>
          <w:p w14:paraId="56FBB54A" w14:textId="77777777" w:rsidR="000440FA" w:rsidRPr="00EF6091" w:rsidRDefault="000440FA" w:rsidP="00BC1135">
            <w:pPr>
              <w:pStyle w:val="ColumnHeading"/>
              <w:keepNext/>
            </w:pPr>
            <w:r w:rsidRPr="00EF6091">
              <w:t>Text predložený Komisiou</w:t>
            </w:r>
          </w:p>
        </w:tc>
        <w:tc>
          <w:tcPr>
            <w:tcW w:w="4876" w:type="dxa"/>
          </w:tcPr>
          <w:p w14:paraId="1166B579" w14:textId="77777777" w:rsidR="000440FA" w:rsidRPr="00EF6091" w:rsidRDefault="000440FA" w:rsidP="00BC1135">
            <w:pPr>
              <w:pStyle w:val="ColumnHeading"/>
              <w:keepNext/>
            </w:pPr>
            <w:r w:rsidRPr="00EF6091">
              <w:t>Pozmeňujúci návrh</w:t>
            </w:r>
          </w:p>
        </w:tc>
      </w:tr>
      <w:tr w:rsidR="000440FA" w:rsidRPr="00EF6091" w14:paraId="5DB6E62E" w14:textId="77777777" w:rsidTr="00BC1135">
        <w:trPr>
          <w:jc w:val="center"/>
        </w:trPr>
        <w:tc>
          <w:tcPr>
            <w:tcW w:w="4876" w:type="dxa"/>
          </w:tcPr>
          <w:p w14:paraId="10735AAA" w14:textId="77777777" w:rsidR="000440FA" w:rsidRPr="00EF6091" w:rsidRDefault="000440FA" w:rsidP="00BC1135">
            <w:pPr>
              <w:pStyle w:val="Normal6"/>
            </w:pPr>
            <w:r w:rsidRPr="00EF6091">
              <w:t>9.</w:t>
            </w:r>
            <w:r w:rsidRPr="00EF6091">
              <w:tab/>
              <w:t>Povolenia vydané členským štátom v súlade s článkom 7 nariadenia (EÚ) č. 98/2013, ktoré sú platné [v deň nadobudnutia účinnosti tohto nariadenia] strácajú platnosť k tomuto dátumu. Každý členský štát môže na žiadosť držiteľa povolenia rozhodnúť o potvrdení, obnovení alebo predĺžení takýchto povolení vydaných v danom členskom štáte, ak sa na obmedzené prekurzory výbušnín môže udeliť povolenie v súlade s prahovými hodnotami stanovenými v stĺpci 3 prílohy I a ak príslušný orgán usúdi, že požiadavky na udelenie povolenia uvedené v odseku 1 sú splnené. V prípade potvrdenia, obnovenia alebo predĺženia by sa mala dodržiavať lehota stanovená v odseku 3 tohto článku.</w:t>
            </w:r>
          </w:p>
        </w:tc>
        <w:tc>
          <w:tcPr>
            <w:tcW w:w="4876" w:type="dxa"/>
          </w:tcPr>
          <w:p w14:paraId="3469E65A" w14:textId="77777777" w:rsidR="000440FA" w:rsidRPr="00EF6091" w:rsidRDefault="000440FA" w:rsidP="00BC1135">
            <w:pPr>
              <w:pStyle w:val="Normal6"/>
              <w:rPr>
                <w:szCs w:val="24"/>
              </w:rPr>
            </w:pPr>
            <w:r w:rsidRPr="00EF6091">
              <w:t>9.</w:t>
            </w:r>
            <w:r w:rsidRPr="00EF6091">
              <w:tab/>
              <w:t>Povolenia vydané členským štátom v súlade s článkom 7 nariadenia (EÚ) č. 98/2013, ktoré sú platné [v deň nadobudnutia účinnosti tohto nariadenia] strácajú platnosť k tomuto dátumu.</w:t>
            </w:r>
            <w:r w:rsidRPr="00EF6091">
              <w:rPr>
                <w:b/>
                <w:i/>
              </w:rPr>
              <w:t xml:space="preserve"> Do ... [6 mesiacov od dátumu nadobudnutia účinnosti tohto nariadenia] príslušné orgány oznámia držiteľom povolení dátum skončenia platnosti ich povolení.</w:t>
            </w:r>
            <w:r w:rsidRPr="00EF6091">
              <w:t xml:space="preserve"> Každý členský štát môže na žiadosť držiteľa povolenia rozhodnúť o potvrdení, obnovení alebo predĺžení takýchto povolení vydaných v danom členskom štáte, ak sa na obmedzené prekurzory výbušnín môže udeliť povolenie v súlade s prahovými hodnotami stanovenými v stĺpci 3 prílohy I a ak príslušný orgán usúdi, že požiadavky na udelenie povolenia uvedené v odseku 1 sú splnené. V prípade potvrdenia, obnovenia alebo predĺženia by sa mala dodržiavať lehota stanovená v odseku 3 tohto článku.</w:t>
            </w:r>
          </w:p>
        </w:tc>
      </w:tr>
    </w:tbl>
    <w:p w14:paraId="1A6B3B0A" w14:textId="77777777" w:rsidR="000440FA" w:rsidRPr="00EF6091" w:rsidRDefault="000440FA" w:rsidP="000440FA">
      <w:r w:rsidRPr="00EF6091">
        <w:rPr>
          <w:rStyle w:val="HideTWBExt"/>
          <w:noProof w:val="0"/>
        </w:rPr>
        <w:t>&lt;/Amend&gt;</w:t>
      </w:r>
    </w:p>
    <w:p w14:paraId="6B38953E" w14:textId="203528C2" w:rsidR="00C171D8" w:rsidRPr="00EF6091" w:rsidRDefault="00A25082"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16</w:t>
      </w:r>
      <w:r w:rsidRPr="00EF6091">
        <w:rPr>
          <w:rStyle w:val="HideTWBExt"/>
          <w:b w:val="0"/>
          <w:noProof w:val="0"/>
        </w:rPr>
        <w:t>&lt;/NumAm&gt;</w:t>
      </w:r>
    </w:p>
    <w:p w14:paraId="36AE2ACA" w14:textId="715BD649" w:rsidR="00A25082" w:rsidRPr="00EF6091" w:rsidRDefault="00A25082" w:rsidP="00C171D8">
      <w:pPr>
        <w:pStyle w:val="NormalBold12b"/>
      </w:pPr>
      <w:r w:rsidRPr="00EF6091">
        <w:rPr>
          <w:rStyle w:val="HideTWBExt"/>
          <w:b w:val="0"/>
          <w:noProof w:val="0"/>
        </w:rPr>
        <w:t>&lt;DocAmend&gt;</w:t>
      </w:r>
      <w:r w:rsidRPr="00EF6091">
        <w:t>Návrh nariadenia</w:t>
      </w:r>
      <w:r w:rsidRPr="00EF6091">
        <w:rPr>
          <w:rStyle w:val="HideTWBExt"/>
          <w:b w:val="0"/>
          <w:noProof w:val="0"/>
        </w:rPr>
        <w:t>&lt;/DocAmend&gt;</w:t>
      </w:r>
    </w:p>
    <w:p w14:paraId="52AC523C" w14:textId="77777777" w:rsidR="00A25082" w:rsidRPr="00EF6091" w:rsidRDefault="00A25082" w:rsidP="00A25082">
      <w:pPr>
        <w:pStyle w:val="NormalBold"/>
      </w:pPr>
      <w:r w:rsidRPr="00EF6091">
        <w:rPr>
          <w:rStyle w:val="HideTWBExt"/>
          <w:b w:val="0"/>
          <w:noProof w:val="0"/>
        </w:rPr>
        <w:t>&lt;Article&gt;</w:t>
      </w:r>
      <w:r w:rsidRPr="00EF6091">
        <w:t>Článok 7 – odsek 1</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25082" w:rsidRPr="00EF6091" w14:paraId="02783D80" w14:textId="77777777" w:rsidTr="00BC1135">
        <w:trPr>
          <w:jc w:val="center"/>
        </w:trPr>
        <w:tc>
          <w:tcPr>
            <w:tcW w:w="9752" w:type="dxa"/>
            <w:gridSpan w:val="2"/>
          </w:tcPr>
          <w:p w14:paraId="37DBB33F" w14:textId="77777777" w:rsidR="00A25082" w:rsidRPr="00EF6091" w:rsidRDefault="00A25082" w:rsidP="00BC1135">
            <w:pPr>
              <w:keepNext/>
            </w:pPr>
          </w:p>
        </w:tc>
      </w:tr>
      <w:tr w:rsidR="00A25082" w:rsidRPr="00EF6091" w14:paraId="7C31A47C" w14:textId="77777777" w:rsidTr="00BC1135">
        <w:trPr>
          <w:jc w:val="center"/>
        </w:trPr>
        <w:tc>
          <w:tcPr>
            <w:tcW w:w="4876" w:type="dxa"/>
          </w:tcPr>
          <w:p w14:paraId="59DC0129" w14:textId="77777777" w:rsidR="00A25082" w:rsidRPr="00EF6091" w:rsidRDefault="00A25082" w:rsidP="00BC1135">
            <w:pPr>
              <w:pStyle w:val="ColumnHeading"/>
              <w:keepNext/>
            </w:pPr>
            <w:r w:rsidRPr="00EF6091">
              <w:t>Text predložený Komisiou</w:t>
            </w:r>
          </w:p>
        </w:tc>
        <w:tc>
          <w:tcPr>
            <w:tcW w:w="4876" w:type="dxa"/>
          </w:tcPr>
          <w:p w14:paraId="68255B6F" w14:textId="77777777" w:rsidR="00A25082" w:rsidRPr="00EF6091" w:rsidRDefault="00A25082" w:rsidP="00BC1135">
            <w:pPr>
              <w:pStyle w:val="ColumnHeading"/>
              <w:keepNext/>
            </w:pPr>
            <w:r w:rsidRPr="00EF6091">
              <w:t>Pozmeňujúci návrh</w:t>
            </w:r>
          </w:p>
        </w:tc>
      </w:tr>
      <w:tr w:rsidR="00A25082" w:rsidRPr="00EF6091" w14:paraId="7E3DA7F4" w14:textId="77777777" w:rsidTr="00BC1135">
        <w:trPr>
          <w:jc w:val="center"/>
        </w:trPr>
        <w:tc>
          <w:tcPr>
            <w:tcW w:w="4876" w:type="dxa"/>
          </w:tcPr>
          <w:p w14:paraId="17803038" w14:textId="77777777" w:rsidR="00A25082" w:rsidRPr="00EF6091" w:rsidRDefault="00A25082" w:rsidP="00BC1135">
            <w:pPr>
              <w:pStyle w:val="Normal6"/>
            </w:pPr>
            <w:r w:rsidRPr="00EF6091">
              <w:t>1.</w:t>
            </w:r>
            <w:r w:rsidRPr="00EF6091">
              <w:tab/>
              <w:t xml:space="preserve">Hospodársky subjekt, ktorý sprístupňuje obmedzený prekurzor výbušnín inému hospodárskemu subjektu, informuje tento hospodársky subjekt, že získavanie, </w:t>
            </w:r>
            <w:r w:rsidRPr="00EF6091">
              <w:rPr>
                <w:b/>
                <w:i/>
              </w:rPr>
              <w:t>vlastníctvo</w:t>
            </w:r>
            <w:r w:rsidRPr="00EF6091">
              <w:t xml:space="preserve"> alebo používanie tohto obmedzeného prekurzora výbušnín zo strany členov širokej verejnosti podlieha obmedzeniu stanovenému v článku 5 ods. 1 a 3.</w:t>
            </w:r>
          </w:p>
        </w:tc>
        <w:tc>
          <w:tcPr>
            <w:tcW w:w="4876" w:type="dxa"/>
          </w:tcPr>
          <w:p w14:paraId="2BC6A1E5" w14:textId="77777777" w:rsidR="00A25082" w:rsidRPr="00EF6091" w:rsidRDefault="00A25082" w:rsidP="00BC1135">
            <w:pPr>
              <w:pStyle w:val="Normal6"/>
              <w:rPr>
                <w:szCs w:val="24"/>
              </w:rPr>
            </w:pPr>
            <w:r w:rsidRPr="00EF6091">
              <w:t>1.</w:t>
            </w:r>
            <w:r w:rsidRPr="00EF6091">
              <w:tab/>
              <w:t xml:space="preserve">Hospodársky subjekt, ktorý sprístupňuje obmedzený prekurzor výbušnín inému hospodárskemu subjektu, informuje tento hospodársky subjekt, že získavanie, </w:t>
            </w:r>
            <w:r w:rsidRPr="00EF6091">
              <w:rPr>
                <w:b/>
                <w:i/>
              </w:rPr>
              <w:t>držba</w:t>
            </w:r>
            <w:r w:rsidRPr="00EF6091">
              <w:t xml:space="preserve"> alebo používanie tohto obmedzeného prekurzora výbušnín zo strany členov širokej verejnosti podlieha obmedzeniu stanovenému v článku 5 ods. 1 a 3</w:t>
            </w:r>
            <w:r w:rsidRPr="00EF6091">
              <w:rPr>
                <w:b/>
                <w:i/>
              </w:rPr>
              <w:t xml:space="preserve"> a povinnostiam nahlasovania stanoveným v článku 9</w:t>
            </w:r>
            <w:r w:rsidRPr="00EF6091">
              <w:t>.</w:t>
            </w:r>
          </w:p>
        </w:tc>
      </w:tr>
    </w:tbl>
    <w:p w14:paraId="67C95F73" w14:textId="1E612CB6" w:rsidR="00A25082" w:rsidRPr="00EF6091" w:rsidRDefault="00A25082" w:rsidP="00A25082">
      <w:r w:rsidRPr="00EF6091">
        <w:rPr>
          <w:rStyle w:val="HideTWBExt"/>
          <w:noProof w:val="0"/>
        </w:rPr>
        <w:t>&lt;/Amend&gt;</w:t>
      </w:r>
    </w:p>
    <w:p w14:paraId="7699E2AD" w14:textId="10FC6BFB"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17</w:t>
      </w:r>
      <w:r w:rsidRPr="00EF6091">
        <w:rPr>
          <w:rStyle w:val="HideTWBExt"/>
          <w:noProof w:val="0"/>
        </w:rPr>
        <w:t>&lt;/NumAm&gt;</w:t>
      </w:r>
    </w:p>
    <w:p w14:paraId="0899F72B"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15ABEAE4" w14:textId="77777777" w:rsidR="00A25082" w:rsidRPr="00EF6091" w:rsidRDefault="00A25082" w:rsidP="00A25082">
      <w:pPr>
        <w:pStyle w:val="NormalBold"/>
      </w:pPr>
      <w:r w:rsidRPr="00EF6091">
        <w:rPr>
          <w:rStyle w:val="HideTWBExt"/>
          <w:noProof w:val="0"/>
        </w:rPr>
        <w:t>&lt;Article&gt;</w:t>
      </w:r>
      <w:r w:rsidRPr="00EF6091">
        <w:t>Článok 7 – odsek 2 – úvodná časť</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757C85C1" w14:textId="77777777" w:rsidTr="00BC1135">
        <w:trPr>
          <w:trHeight w:hRule="exact" w:val="240"/>
          <w:jc w:val="center"/>
        </w:trPr>
        <w:tc>
          <w:tcPr>
            <w:tcW w:w="9752" w:type="dxa"/>
            <w:gridSpan w:val="2"/>
          </w:tcPr>
          <w:p w14:paraId="7F5EDE21" w14:textId="77777777" w:rsidR="00A25082" w:rsidRPr="00EF6091" w:rsidRDefault="00A25082" w:rsidP="00BC1135"/>
        </w:tc>
      </w:tr>
      <w:tr w:rsidR="00A25082" w:rsidRPr="00EF6091" w14:paraId="77D9B46F" w14:textId="77777777" w:rsidTr="00BC1135">
        <w:trPr>
          <w:trHeight w:val="240"/>
          <w:jc w:val="center"/>
        </w:trPr>
        <w:tc>
          <w:tcPr>
            <w:tcW w:w="4876" w:type="dxa"/>
          </w:tcPr>
          <w:p w14:paraId="4524415D" w14:textId="77777777" w:rsidR="00A25082" w:rsidRPr="00EF6091" w:rsidRDefault="00A25082" w:rsidP="00BC1135">
            <w:pPr>
              <w:pStyle w:val="ColumnHeading"/>
            </w:pPr>
            <w:r w:rsidRPr="00EF6091">
              <w:t>Text predložený Komisiou</w:t>
            </w:r>
          </w:p>
        </w:tc>
        <w:tc>
          <w:tcPr>
            <w:tcW w:w="4876" w:type="dxa"/>
          </w:tcPr>
          <w:p w14:paraId="1AEC5731" w14:textId="77777777" w:rsidR="00A25082" w:rsidRPr="00EF6091" w:rsidRDefault="00A25082" w:rsidP="00BC1135">
            <w:pPr>
              <w:pStyle w:val="ColumnHeading"/>
            </w:pPr>
            <w:r w:rsidRPr="00EF6091">
              <w:t>Pozmeňujúci návrh</w:t>
            </w:r>
          </w:p>
        </w:tc>
      </w:tr>
      <w:tr w:rsidR="00A25082" w:rsidRPr="00EF6091" w14:paraId="07340942" w14:textId="77777777" w:rsidTr="00BC1135">
        <w:trPr>
          <w:jc w:val="center"/>
        </w:trPr>
        <w:tc>
          <w:tcPr>
            <w:tcW w:w="4876" w:type="dxa"/>
          </w:tcPr>
          <w:p w14:paraId="75EC0B05" w14:textId="77777777" w:rsidR="00A25082" w:rsidRPr="00EF6091" w:rsidRDefault="00A25082" w:rsidP="00BC1135">
            <w:pPr>
              <w:pStyle w:val="Normal6"/>
            </w:pPr>
            <w:r w:rsidRPr="00EF6091">
              <w:t>2.</w:t>
            </w:r>
            <w:r w:rsidRPr="00EF6091">
              <w:tab/>
              <w:t>Hospodársky subjekt, ktorý sprístupňuje regulovaný prekurzor výbušnín profesionálnemu používateľovi alebo členovi širokej verejnosti</w:t>
            </w:r>
            <w:r w:rsidRPr="00EF6091">
              <w:rPr>
                <w:b/>
                <w:i/>
              </w:rPr>
              <w:t xml:space="preserve"> v súlade s článkom 5 ods. 3</w:t>
            </w:r>
            <w:r w:rsidRPr="00EF6091">
              <w:t xml:space="preserve"> zabezpečí preukázanie a bude schopný preukázať príslušným orgánom uvedeným v článku 11, že jeho zamestnanci podieľajúci sa na predaji regulovaných prekurzorov výbušnín, sú:</w:t>
            </w:r>
          </w:p>
        </w:tc>
        <w:tc>
          <w:tcPr>
            <w:tcW w:w="4876" w:type="dxa"/>
          </w:tcPr>
          <w:p w14:paraId="7B6FB307" w14:textId="77777777" w:rsidR="00A25082" w:rsidRPr="00EF6091" w:rsidRDefault="00A25082" w:rsidP="00BC1135">
            <w:pPr>
              <w:pStyle w:val="Normal6"/>
            </w:pPr>
            <w:r w:rsidRPr="00EF6091">
              <w:t>2.</w:t>
            </w:r>
            <w:r w:rsidRPr="00EF6091">
              <w:tab/>
              <w:t>Hospodársky subjekt, ktorý sprístupňuje regulovaný prekurzor výbušnín profesionálnemu používateľovi alebo členovi širokej verejnosti</w:t>
            </w:r>
            <w:r w:rsidRPr="00EF6091">
              <w:rPr>
                <w:b/>
                <w:i/>
              </w:rPr>
              <w:t>,</w:t>
            </w:r>
            <w:r w:rsidRPr="00EF6091">
              <w:t xml:space="preserve"> zabezpečí preukázanie a bude schopný preukázať príslušným orgánom uvedeným v článku 11, že jeho zamestnanci podieľajúci sa na predaji regulovaných prekurzorov výbušnín, sú:</w:t>
            </w:r>
          </w:p>
        </w:tc>
      </w:tr>
    </w:tbl>
    <w:p w14:paraId="75B0D418" w14:textId="7253EA3D" w:rsidR="00A25082" w:rsidRPr="00EF6091" w:rsidRDefault="00A25082" w:rsidP="00A25082">
      <w:r w:rsidRPr="00EF6091">
        <w:rPr>
          <w:rStyle w:val="HideTWBExt"/>
          <w:noProof w:val="0"/>
        </w:rPr>
        <w:t>&lt;/Amend&gt;</w:t>
      </w:r>
    </w:p>
    <w:p w14:paraId="33C7F3C4" w14:textId="7E590B93"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18</w:t>
      </w:r>
      <w:r w:rsidRPr="00EF6091">
        <w:rPr>
          <w:rStyle w:val="HideTWBExt"/>
          <w:noProof w:val="0"/>
        </w:rPr>
        <w:t>&lt;/NumAm&gt;</w:t>
      </w:r>
    </w:p>
    <w:p w14:paraId="18DF6AFD"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4E183C02" w14:textId="77777777" w:rsidR="00A25082" w:rsidRPr="00EF6091" w:rsidRDefault="00A25082" w:rsidP="00A25082">
      <w:pPr>
        <w:pStyle w:val="NormalBold"/>
      </w:pPr>
      <w:r w:rsidRPr="00EF6091">
        <w:rPr>
          <w:rStyle w:val="HideTWBExt"/>
          <w:noProof w:val="0"/>
        </w:rPr>
        <w:t>&lt;Article&gt;</w:t>
      </w:r>
      <w:r w:rsidRPr="00EF6091">
        <w:t>Článok 7 – odsek 3</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5CE04AD6" w14:textId="77777777" w:rsidTr="00BC1135">
        <w:trPr>
          <w:trHeight w:hRule="exact" w:val="240"/>
          <w:jc w:val="center"/>
        </w:trPr>
        <w:tc>
          <w:tcPr>
            <w:tcW w:w="9752" w:type="dxa"/>
            <w:gridSpan w:val="2"/>
          </w:tcPr>
          <w:p w14:paraId="12C2F93D" w14:textId="77777777" w:rsidR="00A25082" w:rsidRPr="00EF6091" w:rsidRDefault="00A25082" w:rsidP="00BC1135"/>
        </w:tc>
      </w:tr>
      <w:tr w:rsidR="00A25082" w:rsidRPr="00EF6091" w14:paraId="619F8DEA" w14:textId="77777777" w:rsidTr="00BC1135">
        <w:trPr>
          <w:trHeight w:val="240"/>
          <w:jc w:val="center"/>
        </w:trPr>
        <w:tc>
          <w:tcPr>
            <w:tcW w:w="4876" w:type="dxa"/>
          </w:tcPr>
          <w:p w14:paraId="23A3DDFE" w14:textId="77777777" w:rsidR="00A25082" w:rsidRPr="00EF6091" w:rsidRDefault="00A25082" w:rsidP="00BC1135">
            <w:pPr>
              <w:pStyle w:val="ColumnHeading"/>
            </w:pPr>
            <w:r w:rsidRPr="00EF6091">
              <w:t>Text predložený Komisiou</w:t>
            </w:r>
          </w:p>
        </w:tc>
        <w:tc>
          <w:tcPr>
            <w:tcW w:w="4876" w:type="dxa"/>
          </w:tcPr>
          <w:p w14:paraId="6088227A" w14:textId="77777777" w:rsidR="00A25082" w:rsidRPr="00EF6091" w:rsidRDefault="00A25082" w:rsidP="00BC1135">
            <w:pPr>
              <w:pStyle w:val="ColumnHeading"/>
            </w:pPr>
            <w:r w:rsidRPr="00EF6091">
              <w:t>Pozmeňujúci návrh</w:t>
            </w:r>
          </w:p>
        </w:tc>
      </w:tr>
      <w:tr w:rsidR="00A25082" w:rsidRPr="00EF6091" w14:paraId="26BBF075" w14:textId="77777777" w:rsidTr="00BC1135">
        <w:trPr>
          <w:jc w:val="center"/>
        </w:trPr>
        <w:tc>
          <w:tcPr>
            <w:tcW w:w="4876" w:type="dxa"/>
          </w:tcPr>
          <w:p w14:paraId="411443EB" w14:textId="77777777" w:rsidR="00A25082" w:rsidRPr="00EF6091" w:rsidRDefault="00A25082" w:rsidP="00BC1135">
            <w:pPr>
              <w:pStyle w:val="Normal6"/>
            </w:pPr>
            <w:r w:rsidRPr="00EF6091">
              <w:t>3.</w:t>
            </w:r>
            <w:r w:rsidRPr="00EF6091">
              <w:tab/>
              <w:t xml:space="preserve">Online trh, ktorý pôsobí ako sprostredkovateľ príjme opatrenia na zabezpečenie toho, aby jeho používatelia pri sprístupňovaní </w:t>
            </w:r>
            <w:r w:rsidRPr="00EF6091">
              <w:rPr>
                <w:b/>
                <w:i/>
              </w:rPr>
              <w:t>obmedzených</w:t>
            </w:r>
            <w:r w:rsidRPr="00EF6091">
              <w:t xml:space="preserve"> prekurzorov výbušnín prostredníctvom jeho služieb boli informovaní o svojich povinnostiach podľa tohto nariadenia.</w:t>
            </w:r>
          </w:p>
        </w:tc>
        <w:tc>
          <w:tcPr>
            <w:tcW w:w="4876" w:type="dxa"/>
          </w:tcPr>
          <w:p w14:paraId="417E5627" w14:textId="77777777" w:rsidR="00A25082" w:rsidRPr="00EF6091" w:rsidRDefault="00A25082" w:rsidP="00BC1135">
            <w:pPr>
              <w:pStyle w:val="Normal6"/>
            </w:pPr>
            <w:r w:rsidRPr="00EF6091">
              <w:t>3.</w:t>
            </w:r>
            <w:r w:rsidRPr="00EF6091">
              <w:tab/>
              <w:t xml:space="preserve">Online trh, ktorý pôsobí ako sprostredkovateľ príjme opatrenia na zabezpečenie toho, aby jeho používatelia pri sprístupňovaní </w:t>
            </w:r>
            <w:r w:rsidRPr="00EF6091">
              <w:rPr>
                <w:b/>
                <w:i/>
              </w:rPr>
              <w:t>regulovaných</w:t>
            </w:r>
            <w:r w:rsidRPr="00EF6091">
              <w:t xml:space="preserve"> prekurzorov výbušnín prostredníctvom jeho služieb boli informovaní o svojich povinnostiach podľa tohto nariadenia.</w:t>
            </w:r>
          </w:p>
        </w:tc>
      </w:tr>
    </w:tbl>
    <w:p w14:paraId="045BDB5B" w14:textId="13048DA0" w:rsidR="00A25082" w:rsidRPr="00EF6091" w:rsidRDefault="00A25082" w:rsidP="00A25082">
      <w:r w:rsidRPr="00EF6091">
        <w:rPr>
          <w:rStyle w:val="HideTWBExt"/>
          <w:noProof w:val="0"/>
        </w:rPr>
        <w:t>&lt;/Amend&gt;</w:t>
      </w:r>
    </w:p>
    <w:p w14:paraId="7ED33478" w14:textId="6EB0E20F"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19</w:t>
      </w:r>
      <w:r w:rsidRPr="00EF6091">
        <w:rPr>
          <w:rStyle w:val="HideTWBExt"/>
          <w:noProof w:val="0"/>
        </w:rPr>
        <w:t>&lt;/NumAm&gt;</w:t>
      </w:r>
    </w:p>
    <w:p w14:paraId="0790DCF4"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5B792BC5" w14:textId="77777777" w:rsidR="00A25082" w:rsidRPr="00EF6091" w:rsidRDefault="00A25082" w:rsidP="00A25082">
      <w:pPr>
        <w:pStyle w:val="NormalBold"/>
      </w:pPr>
      <w:r w:rsidRPr="00EF6091">
        <w:rPr>
          <w:rStyle w:val="HideTWBExt"/>
          <w:noProof w:val="0"/>
        </w:rPr>
        <w:t>&lt;Article&gt;</w:t>
      </w:r>
      <w:r w:rsidRPr="00EF6091">
        <w:t>Článok 7 – odsek 3 a (nový)</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20EF7CC6" w14:textId="77777777" w:rsidTr="00BC1135">
        <w:trPr>
          <w:trHeight w:hRule="exact" w:val="240"/>
          <w:jc w:val="center"/>
        </w:trPr>
        <w:tc>
          <w:tcPr>
            <w:tcW w:w="9752" w:type="dxa"/>
            <w:gridSpan w:val="2"/>
          </w:tcPr>
          <w:p w14:paraId="52910812" w14:textId="77777777" w:rsidR="00A25082" w:rsidRPr="00EF6091" w:rsidRDefault="00A25082" w:rsidP="00BC1135"/>
        </w:tc>
      </w:tr>
      <w:tr w:rsidR="00A25082" w:rsidRPr="00EF6091" w14:paraId="771C6034" w14:textId="77777777" w:rsidTr="00BC1135">
        <w:trPr>
          <w:trHeight w:val="240"/>
          <w:jc w:val="center"/>
        </w:trPr>
        <w:tc>
          <w:tcPr>
            <w:tcW w:w="4876" w:type="dxa"/>
          </w:tcPr>
          <w:p w14:paraId="1E92706E" w14:textId="77777777" w:rsidR="00A25082" w:rsidRPr="00EF6091" w:rsidRDefault="00A25082" w:rsidP="00BC1135">
            <w:pPr>
              <w:pStyle w:val="ColumnHeading"/>
            </w:pPr>
            <w:r w:rsidRPr="00EF6091">
              <w:t>Text predložený Komisiou</w:t>
            </w:r>
          </w:p>
        </w:tc>
        <w:tc>
          <w:tcPr>
            <w:tcW w:w="4876" w:type="dxa"/>
          </w:tcPr>
          <w:p w14:paraId="72EFDDC9" w14:textId="77777777" w:rsidR="00A25082" w:rsidRPr="00EF6091" w:rsidRDefault="00A25082" w:rsidP="00BC1135">
            <w:pPr>
              <w:pStyle w:val="ColumnHeading"/>
            </w:pPr>
            <w:r w:rsidRPr="00EF6091">
              <w:t>Pozmeňujúci návrh</w:t>
            </w:r>
          </w:p>
        </w:tc>
      </w:tr>
      <w:tr w:rsidR="00A25082" w:rsidRPr="00EF6091" w14:paraId="0D4026E4" w14:textId="77777777" w:rsidTr="00BC1135">
        <w:trPr>
          <w:jc w:val="center"/>
        </w:trPr>
        <w:tc>
          <w:tcPr>
            <w:tcW w:w="4876" w:type="dxa"/>
          </w:tcPr>
          <w:p w14:paraId="16A39238" w14:textId="77777777" w:rsidR="00A25082" w:rsidRPr="00EF6091" w:rsidRDefault="00A25082" w:rsidP="00BC1135">
            <w:pPr>
              <w:pStyle w:val="Normal6"/>
            </w:pPr>
          </w:p>
        </w:tc>
        <w:tc>
          <w:tcPr>
            <w:tcW w:w="4876" w:type="dxa"/>
          </w:tcPr>
          <w:p w14:paraId="1C2D3467" w14:textId="12FA563F" w:rsidR="00A25082" w:rsidRPr="00EF6091" w:rsidRDefault="00A25082" w:rsidP="00BC1135">
            <w:pPr>
              <w:pStyle w:val="Normal6"/>
            </w:pPr>
            <w:r w:rsidRPr="00EF6091">
              <w:rPr>
                <w:b/>
                <w:i/>
              </w:rPr>
              <w:t>3a.</w:t>
            </w:r>
            <w:r w:rsidRPr="00EF6091">
              <w:tab/>
            </w:r>
            <w:r w:rsidRPr="00EF6091">
              <w:rPr>
                <w:b/>
                <w:i/>
              </w:rPr>
              <w:t>Zakazuje sa akékoľvek osobné používanie regulovaných prekurzorov výbušnín hospodárskymi subjektmi alebo ich zamestnancami.</w:t>
            </w:r>
          </w:p>
        </w:tc>
      </w:tr>
    </w:tbl>
    <w:p w14:paraId="247D3CF4" w14:textId="7120B9A3" w:rsidR="00A25082" w:rsidRPr="00EF6091" w:rsidRDefault="00A25082" w:rsidP="00A25082">
      <w:r w:rsidRPr="00EF6091">
        <w:rPr>
          <w:rStyle w:val="HideTWBExt"/>
          <w:noProof w:val="0"/>
        </w:rPr>
        <w:t>&lt;/Amend&gt;</w:t>
      </w:r>
    </w:p>
    <w:p w14:paraId="61D98E3F" w14:textId="4E978681" w:rsidR="00C171D8" w:rsidRPr="00EF6091" w:rsidRDefault="00A25082"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20</w:t>
      </w:r>
      <w:r w:rsidRPr="00EF6091">
        <w:rPr>
          <w:rStyle w:val="HideTWBExt"/>
          <w:b w:val="0"/>
          <w:noProof w:val="0"/>
        </w:rPr>
        <w:t>&lt;/NumAm&gt;</w:t>
      </w:r>
    </w:p>
    <w:p w14:paraId="5AB67436" w14:textId="74C26CEC" w:rsidR="00A25082" w:rsidRPr="00EF6091" w:rsidRDefault="00A25082" w:rsidP="00C171D8">
      <w:pPr>
        <w:pStyle w:val="NormalBold12b"/>
      </w:pPr>
      <w:r w:rsidRPr="00EF6091">
        <w:rPr>
          <w:rStyle w:val="HideTWBExt"/>
          <w:b w:val="0"/>
          <w:noProof w:val="0"/>
        </w:rPr>
        <w:t>&lt;DocAmend&gt;</w:t>
      </w:r>
      <w:r w:rsidRPr="00EF6091">
        <w:t>Návrh nariadenia</w:t>
      </w:r>
      <w:r w:rsidRPr="00EF6091">
        <w:rPr>
          <w:rStyle w:val="HideTWBExt"/>
          <w:b w:val="0"/>
          <w:noProof w:val="0"/>
        </w:rPr>
        <w:t>&lt;/DocAmend&gt;</w:t>
      </w:r>
    </w:p>
    <w:p w14:paraId="24953168" w14:textId="77777777" w:rsidR="00A25082" w:rsidRPr="00EF6091" w:rsidRDefault="00A25082" w:rsidP="00A25082">
      <w:pPr>
        <w:pStyle w:val="NormalBold"/>
      </w:pPr>
      <w:r w:rsidRPr="00EF6091">
        <w:rPr>
          <w:rStyle w:val="HideTWBExt"/>
          <w:b w:val="0"/>
          <w:noProof w:val="0"/>
        </w:rPr>
        <w:t>&lt;Article&gt;</w:t>
      </w:r>
      <w:r w:rsidRPr="00EF6091">
        <w:t>Článok 8 – odsek 2 – úvodná časť</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25082" w:rsidRPr="00EF6091" w14:paraId="179D0FF5" w14:textId="77777777" w:rsidTr="00BC1135">
        <w:trPr>
          <w:jc w:val="center"/>
        </w:trPr>
        <w:tc>
          <w:tcPr>
            <w:tcW w:w="9752" w:type="dxa"/>
            <w:gridSpan w:val="2"/>
          </w:tcPr>
          <w:p w14:paraId="0A952AF1" w14:textId="77777777" w:rsidR="00A25082" w:rsidRPr="00EF6091" w:rsidRDefault="00A25082" w:rsidP="00BC1135">
            <w:pPr>
              <w:keepNext/>
            </w:pPr>
          </w:p>
        </w:tc>
      </w:tr>
      <w:tr w:rsidR="00A25082" w:rsidRPr="00EF6091" w14:paraId="7EA83A6C" w14:textId="77777777" w:rsidTr="00BC1135">
        <w:trPr>
          <w:jc w:val="center"/>
        </w:trPr>
        <w:tc>
          <w:tcPr>
            <w:tcW w:w="4876" w:type="dxa"/>
          </w:tcPr>
          <w:p w14:paraId="7F79EA83" w14:textId="77777777" w:rsidR="00A25082" w:rsidRPr="00EF6091" w:rsidRDefault="00A25082" w:rsidP="00BC1135">
            <w:pPr>
              <w:pStyle w:val="ColumnHeading"/>
              <w:keepNext/>
            </w:pPr>
            <w:r w:rsidRPr="00EF6091">
              <w:t>Text predložený Komisiou</w:t>
            </w:r>
          </w:p>
        </w:tc>
        <w:tc>
          <w:tcPr>
            <w:tcW w:w="4876" w:type="dxa"/>
          </w:tcPr>
          <w:p w14:paraId="0326B2DB" w14:textId="77777777" w:rsidR="00A25082" w:rsidRPr="00EF6091" w:rsidRDefault="00A25082" w:rsidP="00BC1135">
            <w:pPr>
              <w:pStyle w:val="ColumnHeading"/>
              <w:keepNext/>
            </w:pPr>
            <w:r w:rsidRPr="00EF6091">
              <w:t>Pozmeňujúci návrh</w:t>
            </w:r>
          </w:p>
        </w:tc>
      </w:tr>
      <w:tr w:rsidR="00A25082" w:rsidRPr="00EF6091" w14:paraId="5D6525C3" w14:textId="77777777" w:rsidTr="00BC1135">
        <w:trPr>
          <w:jc w:val="center"/>
        </w:trPr>
        <w:tc>
          <w:tcPr>
            <w:tcW w:w="4876" w:type="dxa"/>
          </w:tcPr>
          <w:p w14:paraId="16D62A4A" w14:textId="77777777" w:rsidR="00A25082" w:rsidRPr="00EF6091" w:rsidRDefault="00A25082" w:rsidP="00BC1135">
            <w:pPr>
              <w:pStyle w:val="Normal6"/>
            </w:pPr>
            <w:r w:rsidRPr="00EF6091">
              <w:t>2.</w:t>
            </w:r>
            <w:r w:rsidRPr="00EF6091">
              <w:tab/>
              <w:t xml:space="preserve">Na účely overenia, či </w:t>
            </w:r>
            <w:r w:rsidRPr="00EF6091">
              <w:rPr>
                <w:b/>
                <w:i/>
              </w:rPr>
              <w:t>potenciálny</w:t>
            </w:r>
            <w:r w:rsidRPr="00EF6091">
              <w:t xml:space="preserve"> zákazník je profesionálny používateľ alebo </w:t>
            </w:r>
            <w:r w:rsidRPr="00EF6091">
              <w:rPr>
                <w:b/>
                <w:i/>
              </w:rPr>
              <w:t>poľnohospodár</w:t>
            </w:r>
            <w:r w:rsidRPr="00EF6091">
              <w:t xml:space="preserve">, hospodársky subjekt, ktorý sprístupňuje obmedzený prekurzor výbušnín profesionálnemu používateľovi alebo </w:t>
            </w:r>
            <w:r w:rsidRPr="00EF6091">
              <w:rPr>
                <w:b/>
                <w:i/>
              </w:rPr>
              <w:t>poľnohospodárovi</w:t>
            </w:r>
            <w:r w:rsidRPr="00EF6091">
              <w:t>, pri každej transakcii požiada o tieto informácie:</w:t>
            </w:r>
          </w:p>
        </w:tc>
        <w:tc>
          <w:tcPr>
            <w:tcW w:w="4876" w:type="dxa"/>
          </w:tcPr>
          <w:p w14:paraId="31211666" w14:textId="77777777" w:rsidR="00A25082" w:rsidRPr="00EF6091" w:rsidRDefault="00A25082" w:rsidP="00BC1135">
            <w:pPr>
              <w:pStyle w:val="Normal6"/>
              <w:rPr>
                <w:szCs w:val="24"/>
              </w:rPr>
            </w:pPr>
            <w:r w:rsidRPr="00EF6091">
              <w:t>2.</w:t>
            </w:r>
            <w:r w:rsidRPr="00EF6091">
              <w:tab/>
              <w:t xml:space="preserve">Na účely overenia, či </w:t>
            </w:r>
            <w:r w:rsidRPr="00EF6091">
              <w:rPr>
                <w:b/>
                <w:i/>
              </w:rPr>
              <w:t>nový</w:t>
            </w:r>
            <w:r w:rsidRPr="00EF6091">
              <w:t xml:space="preserve"> zákazník je profesionálny používateľ alebo </w:t>
            </w:r>
            <w:r w:rsidRPr="00EF6091">
              <w:rPr>
                <w:b/>
                <w:i/>
              </w:rPr>
              <w:t>hospodársky subjekt</w:t>
            </w:r>
            <w:r w:rsidRPr="00EF6091">
              <w:t xml:space="preserve">, hospodársky subjekt, ktorý sprístupňuje obmedzený prekurzor výbušnín profesionálnemu používateľovi alebo </w:t>
            </w:r>
            <w:r w:rsidRPr="00EF6091">
              <w:rPr>
                <w:b/>
                <w:i/>
              </w:rPr>
              <w:t>inému hospodárskemu subjektu</w:t>
            </w:r>
            <w:r w:rsidRPr="00EF6091">
              <w:t>, pri každej transakcii požiada o tieto informácie:</w:t>
            </w:r>
          </w:p>
        </w:tc>
      </w:tr>
    </w:tbl>
    <w:p w14:paraId="2C7297C7" w14:textId="0C669A76" w:rsidR="00A25082" w:rsidRPr="00EF6091" w:rsidRDefault="00A25082" w:rsidP="00A25082">
      <w:r w:rsidRPr="00EF6091">
        <w:rPr>
          <w:rStyle w:val="HideTWBExt"/>
          <w:noProof w:val="0"/>
        </w:rPr>
        <w:t>&lt;/Amend&gt;</w:t>
      </w:r>
    </w:p>
    <w:p w14:paraId="1646FF45" w14:textId="49A1166A"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21</w:t>
      </w:r>
      <w:r w:rsidRPr="00EF6091">
        <w:rPr>
          <w:rStyle w:val="HideTWBExt"/>
          <w:noProof w:val="0"/>
        </w:rPr>
        <w:t>&lt;/NumAm&gt;</w:t>
      </w:r>
    </w:p>
    <w:p w14:paraId="3CBBBFFA"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09C09F5B" w14:textId="77777777" w:rsidR="00A25082" w:rsidRPr="00EF6091" w:rsidRDefault="00A25082" w:rsidP="00A25082">
      <w:pPr>
        <w:pStyle w:val="NormalBold"/>
      </w:pPr>
      <w:r w:rsidRPr="00EF6091">
        <w:rPr>
          <w:rStyle w:val="HideTWBExt"/>
          <w:noProof w:val="0"/>
        </w:rPr>
        <w:t>&lt;Article&gt;</w:t>
      </w:r>
      <w:r w:rsidRPr="00EF6091">
        <w:t>Článok 8 – odsek 2 – písmeno a</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5E524932" w14:textId="77777777" w:rsidTr="00BC1135">
        <w:trPr>
          <w:trHeight w:hRule="exact" w:val="240"/>
          <w:jc w:val="center"/>
        </w:trPr>
        <w:tc>
          <w:tcPr>
            <w:tcW w:w="9752" w:type="dxa"/>
            <w:gridSpan w:val="2"/>
          </w:tcPr>
          <w:p w14:paraId="3DAE2F1D" w14:textId="77777777" w:rsidR="00A25082" w:rsidRPr="00EF6091" w:rsidRDefault="00A25082" w:rsidP="00BC1135"/>
        </w:tc>
      </w:tr>
      <w:tr w:rsidR="00A25082" w:rsidRPr="00EF6091" w14:paraId="4A4F90D1" w14:textId="77777777" w:rsidTr="00BC1135">
        <w:trPr>
          <w:trHeight w:val="240"/>
          <w:jc w:val="center"/>
        </w:trPr>
        <w:tc>
          <w:tcPr>
            <w:tcW w:w="4876" w:type="dxa"/>
          </w:tcPr>
          <w:p w14:paraId="15CEDEF4" w14:textId="77777777" w:rsidR="00A25082" w:rsidRPr="00EF6091" w:rsidRDefault="00A25082" w:rsidP="00BC1135">
            <w:pPr>
              <w:pStyle w:val="ColumnHeading"/>
            </w:pPr>
            <w:r w:rsidRPr="00EF6091">
              <w:t>Text predložený Komisiou</w:t>
            </w:r>
          </w:p>
        </w:tc>
        <w:tc>
          <w:tcPr>
            <w:tcW w:w="4876" w:type="dxa"/>
          </w:tcPr>
          <w:p w14:paraId="3C4BFDAC" w14:textId="77777777" w:rsidR="00A25082" w:rsidRPr="00EF6091" w:rsidRDefault="00A25082" w:rsidP="00BC1135">
            <w:pPr>
              <w:pStyle w:val="ColumnHeading"/>
            </w:pPr>
            <w:r w:rsidRPr="00EF6091">
              <w:t>Pozmeňujúci návrh</w:t>
            </w:r>
          </w:p>
        </w:tc>
      </w:tr>
      <w:tr w:rsidR="00A25082" w:rsidRPr="00EF6091" w14:paraId="4A3C167F" w14:textId="77777777" w:rsidTr="00BC1135">
        <w:trPr>
          <w:jc w:val="center"/>
        </w:trPr>
        <w:tc>
          <w:tcPr>
            <w:tcW w:w="4876" w:type="dxa"/>
          </w:tcPr>
          <w:p w14:paraId="697379E4" w14:textId="77777777" w:rsidR="00A25082" w:rsidRPr="00EF6091" w:rsidRDefault="00A25082" w:rsidP="00BC1135">
            <w:pPr>
              <w:pStyle w:val="Normal6"/>
            </w:pPr>
            <w:r w:rsidRPr="00EF6091">
              <w:t>a)</w:t>
            </w:r>
            <w:r w:rsidRPr="00EF6091">
              <w:tab/>
              <w:t xml:space="preserve">obchodovanie, podnikanie, remeslo alebo povolanie </w:t>
            </w:r>
            <w:r w:rsidRPr="00EF6091">
              <w:rPr>
                <w:b/>
                <w:i/>
              </w:rPr>
              <w:t>potenciálneho</w:t>
            </w:r>
            <w:r w:rsidRPr="00EF6091">
              <w:t xml:space="preserve"> zákazníka;</w:t>
            </w:r>
          </w:p>
        </w:tc>
        <w:tc>
          <w:tcPr>
            <w:tcW w:w="4876" w:type="dxa"/>
          </w:tcPr>
          <w:p w14:paraId="0E18031D" w14:textId="5DC54E31" w:rsidR="00A25082" w:rsidRPr="00EF6091" w:rsidRDefault="00A25082" w:rsidP="001566F4">
            <w:pPr>
              <w:pStyle w:val="Normal6"/>
            </w:pPr>
            <w:r w:rsidRPr="00EF6091">
              <w:t>a)</w:t>
            </w:r>
            <w:r w:rsidRPr="00EF6091">
              <w:tab/>
              <w:t xml:space="preserve">obchodovanie, podnikanie, remeslo alebo povolanie </w:t>
            </w:r>
            <w:r w:rsidRPr="00EF6091">
              <w:rPr>
                <w:b/>
                <w:i/>
              </w:rPr>
              <w:t>nového</w:t>
            </w:r>
            <w:r w:rsidRPr="00EF6091">
              <w:t xml:space="preserve"> zákazníka</w:t>
            </w:r>
            <w:r w:rsidRPr="00EF6091">
              <w:rPr>
                <w:b/>
                <w:i/>
              </w:rPr>
              <w:t xml:space="preserve"> spolu s</w:t>
            </w:r>
            <w:r w:rsidR="001566F4">
              <w:rPr>
                <w:b/>
                <w:i/>
              </w:rPr>
              <w:t> </w:t>
            </w:r>
            <w:r w:rsidRPr="00EF6091">
              <w:rPr>
                <w:b/>
                <w:i/>
              </w:rPr>
              <w:t>názvom a adresou jeho spoločnosti</w:t>
            </w:r>
            <w:r w:rsidRPr="00EF6091">
              <w:t>;</w:t>
            </w:r>
          </w:p>
        </w:tc>
      </w:tr>
    </w:tbl>
    <w:p w14:paraId="75C209B6" w14:textId="7E37F15B" w:rsidR="00A25082" w:rsidRPr="00EF6091" w:rsidRDefault="00A25082" w:rsidP="00A25082">
      <w:r w:rsidRPr="00EF6091">
        <w:rPr>
          <w:rStyle w:val="HideTWBExt"/>
          <w:noProof w:val="0"/>
        </w:rPr>
        <w:t>&lt;/Amend&gt;</w:t>
      </w:r>
    </w:p>
    <w:p w14:paraId="6748CB39" w14:textId="06B81E80"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22</w:t>
      </w:r>
      <w:r w:rsidRPr="00EF6091">
        <w:rPr>
          <w:rStyle w:val="HideTWBExt"/>
          <w:noProof w:val="0"/>
        </w:rPr>
        <w:t>&lt;/NumAm&gt;</w:t>
      </w:r>
    </w:p>
    <w:p w14:paraId="6EA933CE"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6C354777" w14:textId="77777777" w:rsidR="00A25082" w:rsidRPr="00EF6091" w:rsidRDefault="00A25082" w:rsidP="00A25082">
      <w:pPr>
        <w:pStyle w:val="NormalBold"/>
      </w:pPr>
      <w:r w:rsidRPr="00EF6091">
        <w:rPr>
          <w:rStyle w:val="HideTWBExt"/>
          <w:noProof w:val="0"/>
        </w:rPr>
        <w:t>&lt;Article&gt;</w:t>
      </w:r>
      <w:r w:rsidRPr="00EF6091">
        <w:t>Článok 8 – odsek 2a (nový)</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4B572948" w14:textId="77777777" w:rsidTr="00BC1135">
        <w:trPr>
          <w:trHeight w:hRule="exact" w:val="240"/>
          <w:jc w:val="center"/>
        </w:trPr>
        <w:tc>
          <w:tcPr>
            <w:tcW w:w="9752" w:type="dxa"/>
            <w:gridSpan w:val="2"/>
          </w:tcPr>
          <w:p w14:paraId="53039425" w14:textId="77777777" w:rsidR="00A25082" w:rsidRPr="00EF6091" w:rsidRDefault="00A25082" w:rsidP="00BC1135"/>
        </w:tc>
      </w:tr>
      <w:tr w:rsidR="00A25082" w:rsidRPr="00EF6091" w14:paraId="4D794A02" w14:textId="77777777" w:rsidTr="00BC1135">
        <w:trPr>
          <w:trHeight w:val="240"/>
          <w:jc w:val="center"/>
        </w:trPr>
        <w:tc>
          <w:tcPr>
            <w:tcW w:w="4876" w:type="dxa"/>
          </w:tcPr>
          <w:p w14:paraId="69D780D3" w14:textId="77777777" w:rsidR="00A25082" w:rsidRPr="00EF6091" w:rsidRDefault="00A25082" w:rsidP="00BC1135">
            <w:pPr>
              <w:pStyle w:val="ColumnHeading"/>
            </w:pPr>
            <w:r w:rsidRPr="00EF6091">
              <w:t>Text predložený Komisiou</w:t>
            </w:r>
          </w:p>
        </w:tc>
        <w:tc>
          <w:tcPr>
            <w:tcW w:w="4876" w:type="dxa"/>
          </w:tcPr>
          <w:p w14:paraId="0B761E69" w14:textId="77777777" w:rsidR="00A25082" w:rsidRPr="00EF6091" w:rsidRDefault="00A25082" w:rsidP="00BC1135">
            <w:pPr>
              <w:pStyle w:val="ColumnHeading"/>
            </w:pPr>
            <w:r w:rsidRPr="00EF6091">
              <w:t>Pozmeňujúci návrh</w:t>
            </w:r>
          </w:p>
        </w:tc>
      </w:tr>
      <w:tr w:rsidR="00A25082" w:rsidRPr="00EF6091" w14:paraId="2B489047" w14:textId="77777777" w:rsidTr="00BC1135">
        <w:trPr>
          <w:jc w:val="center"/>
        </w:trPr>
        <w:tc>
          <w:tcPr>
            <w:tcW w:w="4876" w:type="dxa"/>
          </w:tcPr>
          <w:p w14:paraId="4118FA7B" w14:textId="77777777" w:rsidR="00A25082" w:rsidRPr="00EF6091" w:rsidRDefault="00A25082" w:rsidP="00BC1135">
            <w:pPr>
              <w:pStyle w:val="Normal6"/>
            </w:pPr>
          </w:p>
        </w:tc>
        <w:tc>
          <w:tcPr>
            <w:tcW w:w="4876" w:type="dxa"/>
          </w:tcPr>
          <w:p w14:paraId="764E0CA8" w14:textId="6076C62D" w:rsidR="00A25082" w:rsidRPr="00EF6091" w:rsidRDefault="00A25082" w:rsidP="00075C71">
            <w:pPr>
              <w:pStyle w:val="Normal6"/>
            </w:pPr>
            <w:r w:rsidRPr="00EF6091">
              <w:rPr>
                <w:b/>
                <w:i/>
              </w:rPr>
              <w:t>2a.</w:t>
            </w:r>
            <w:r w:rsidRPr="00EF6091">
              <w:tab/>
            </w:r>
            <w:r w:rsidRPr="00EF6091">
              <w:rPr>
                <w:b/>
                <w:i/>
              </w:rPr>
              <w:t>Na účely overenia zamýšľaného použitia obmedzených prekurzorov výbušnín hospodársky subjekt posúdi, či zamýšľané použitie je v súlade s obchodovaním, podnikaním, remeslom alebo povolaním potenciálneho zákazníka. Transakcia sa môže odmietnuť, ak existujú dôvodné pochybnosti o zamýšľanom použití obmedzených prekurzorov výbušnín, ktoré zákazník uviedol. Hospodársky subjekt nahlási podozrivú transakciu alebo pokus o transakciu podľa článku 9 tohto nariadenia.</w:t>
            </w:r>
          </w:p>
        </w:tc>
      </w:tr>
    </w:tbl>
    <w:p w14:paraId="19D3C864" w14:textId="77777777" w:rsidR="00A25082" w:rsidRPr="00EF6091" w:rsidRDefault="00A25082" w:rsidP="00A25082">
      <w:pPr>
        <w:pStyle w:val="JustificationTitle"/>
      </w:pPr>
      <w:r w:rsidRPr="00EF6091">
        <w:rPr>
          <w:rStyle w:val="HideTWBExt"/>
          <w:noProof w:val="0"/>
        </w:rPr>
        <w:t>&lt;TitreJust&gt;</w:t>
      </w:r>
      <w:r w:rsidRPr="00EF6091">
        <w:t>Odôvodnenie</w:t>
      </w:r>
      <w:r w:rsidRPr="00EF6091">
        <w:rPr>
          <w:rStyle w:val="HideTWBExt"/>
          <w:noProof w:val="0"/>
        </w:rPr>
        <w:t>&lt;/TitreJust&gt;</w:t>
      </w:r>
    </w:p>
    <w:p w14:paraId="6CBB5A93" w14:textId="77777777" w:rsidR="00A25082" w:rsidRPr="00EF6091" w:rsidRDefault="00A25082" w:rsidP="00A25082">
      <w:pPr>
        <w:pStyle w:val="Normal12Italic"/>
      </w:pPr>
      <w:r w:rsidRPr="00EF6091">
        <w:t>V navrhnutom článku 8 ods. 2 sa len požadujú informácie od potenciálneho zákazníka a poskytujú subjektívne kritériá na overenie zamýšľaného použitia. Z bezpečnostného hľadiska sa tu vytvára medzera. Je nevyhnutné nadviazať na poskytnuté informácie a posúdiť zamýšľané použitie. Odsek 2a dáva informáciám požadovaným podľa odseku 2 operačný a objektívnejší rozmer a pomôže posilniť kontrolný systém bez toho, aby sa dotknutým stranám uložila nadmerná záťaž. Odsek 2a sa týka informácií, ktoré už boli poskytnuté.</w:t>
      </w:r>
    </w:p>
    <w:p w14:paraId="611F4EE5" w14:textId="6A8EA6B8" w:rsidR="00A25082" w:rsidRPr="00EF6091" w:rsidRDefault="00A25082" w:rsidP="00A25082">
      <w:r w:rsidRPr="00EF6091">
        <w:rPr>
          <w:rStyle w:val="HideTWBExt"/>
          <w:noProof w:val="0"/>
        </w:rPr>
        <w:t>&lt;/Amend&gt;</w:t>
      </w:r>
    </w:p>
    <w:p w14:paraId="43311488" w14:textId="03A734CA"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23</w:t>
      </w:r>
      <w:r w:rsidRPr="00EF6091">
        <w:rPr>
          <w:rStyle w:val="HideTWBExt"/>
          <w:noProof w:val="0"/>
        </w:rPr>
        <w:t>&lt;/NumAm&gt;</w:t>
      </w:r>
    </w:p>
    <w:p w14:paraId="4CED86D1"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4F59CF80" w14:textId="77777777" w:rsidR="00A25082" w:rsidRPr="00EF6091" w:rsidRDefault="00A25082" w:rsidP="00A25082">
      <w:pPr>
        <w:pStyle w:val="NormalBold"/>
      </w:pPr>
      <w:r w:rsidRPr="00EF6091">
        <w:rPr>
          <w:rStyle w:val="HideTWBExt"/>
          <w:noProof w:val="0"/>
        </w:rPr>
        <w:t>&lt;Article&gt;</w:t>
      </w:r>
      <w:r w:rsidRPr="00EF6091">
        <w:t>Článok 8 – odsek 3</w:t>
      </w:r>
      <w:r w:rsidRPr="00EF609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42B390BE" w14:textId="77777777" w:rsidTr="00B46F8B">
        <w:trPr>
          <w:trHeight w:hRule="exact" w:val="240"/>
          <w:jc w:val="center"/>
        </w:trPr>
        <w:tc>
          <w:tcPr>
            <w:tcW w:w="9752" w:type="dxa"/>
            <w:gridSpan w:val="2"/>
          </w:tcPr>
          <w:p w14:paraId="437A3798" w14:textId="77777777" w:rsidR="00A25082" w:rsidRPr="00EF6091" w:rsidRDefault="00A25082" w:rsidP="00BC1135"/>
        </w:tc>
      </w:tr>
      <w:tr w:rsidR="00A25082" w:rsidRPr="00EF6091" w14:paraId="57F4B16D" w14:textId="77777777" w:rsidTr="00B46F8B">
        <w:trPr>
          <w:trHeight w:val="240"/>
          <w:jc w:val="center"/>
        </w:trPr>
        <w:tc>
          <w:tcPr>
            <w:tcW w:w="4876" w:type="dxa"/>
          </w:tcPr>
          <w:p w14:paraId="7DC4B0A5" w14:textId="77777777" w:rsidR="00A25082" w:rsidRPr="00EF6091" w:rsidRDefault="00A25082" w:rsidP="00BC1135">
            <w:pPr>
              <w:pStyle w:val="ColumnHeading"/>
            </w:pPr>
            <w:r w:rsidRPr="00EF6091">
              <w:t>Text predložený Komisiou</w:t>
            </w:r>
          </w:p>
        </w:tc>
        <w:tc>
          <w:tcPr>
            <w:tcW w:w="4876" w:type="dxa"/>
          </w:tcPr>
          <w:p w14:paraId="7DB9B228" w14:textId="77777777" w:rsidR="00A25082" w:rsidRPr="00EF6091" w:rsidRDefault="00A25082" w:rsidP="00BC1135">
            <w:pPr>
              <w:pStyle w:val="ColumnHeading"/>
            </w:pPr>
            <w:r w:rsidRPr="00EF6091">
              <w:t>Pozmeňujúci návrh</w:t>
            </w:r>
          </w:p>
        </w:tc>
      </w:tr>
      <w:tr w:rsidR="00A25082" w:rsidRPr="00EF6091" w14:paraId="019628B0" w14:textId="77777777" w:rsidTr="00B46F8B">
        <w:trPr>
          <w:jc w:val="center"/>
        </w:trPr>
        <w:tc>
          <w:tcPr>
            <w:tcW w:w="4876" w:type="dxa"/>
          </w:tcPr>
          <w:p w14:paraId="6147770A" w14:textId="77777777" w:rsidR="00A25082" w:rsidRPr="00EF6091" w:rsidRDefault="00A25082" w:rsidP="00BC1135">
            <w:pPr>
              <w:pStyle w:val="Normal6"/>
            </w:pPr>
            <w:r w:rsidRPr="00EF6091">
              <w:t>3.</w:t>
            </w:r>
            <w:r w:rsidRPr="00EF6091">
              <w:tab/>
              <w:t xml:space="preserve">Na účely overenia súladu s týmto nariadením a odhaľovania nedovolenej výroby výbušnín a jej predchádzania, hospodárske subjekty uchovávajú údaje uvedené v odseku 2 </w:t>
            </w:r>
            <w:r w:rsidRPr="00EF6091">
              <w:rPr>
                <w:b/>
                <w:i/>
              </w:rPr>
              <w:t>spolu s menom</w:t>
            </w:r>
            <w:r w:rsidRPr="00EF6091">
              <w:t xml:space="preserve"> a </w:t>
            </w:r>
            <w:r w:rsidRPr="00EF6091">
              <w:rPr>
                <w:b/>
                <w:i/>
              </w:rPr>
              <w:t>adresou</w:t>
            </w:r>
            <w:r w:rsidRPr="00EF6091">
              <w:t xml:space="preserve"> zákazníka, a to počas jedného roka od dátumu transakcie. Počas tohto obdobia sú údaje k dispozícii na inšpekciu na základe žiadosti príslušných kontrolných orgánov alebo orgánov presadzovania práva.</w:t>
            </w:r>
          </w:p>
        </w:tc>
        <w:tc>
          <w:tcPr>
            <w:tcW w:w="4876" w:type="dxa"/>
          </w:tcPr>
          <w:p w14:paraId="0DAEAFAD" w14:textId="40A0EE9E" w:rsidR="00A25082" w:rsidRPr="00EF6091" w:rsidRDefault="00A25082" w:rsidP="001D4670">
            <w:pPr>
              <w:pStyle w:val="Normal6"/>
            </w:pPr>
            <w:r w:rsidRPr="00EF6091">
              <w:t>3.</w:t>
            </w:r>
            <w:r w:rsidRPr="00EF6091">
              <w:tab/>
              <w:t xml:space="preserve">Na účely overenia súladu s týmto nariadením a odhaľovania nedovolenej výroby výbušnín a jej predchádzania, hospodárske subjekty uchovávajú údaje uvedené v odseku 2 </w:t>
            </w:r>
            <w:r w:rsidRPr="00EF6091">
              <w:rPr>
                <w:b/>
                <w:i/>
              </w:rPr>
              <w:t>a meno</w:t>
            </w:r>
            <w:r w:rsidRPr="00EF6091">
              <w:t xml:space="preserve"> a </w:t>
            </w:r>
            <w:r w:rsidRPr="00EF6091">
              <w:rPr>
                <w:b/>
                <w:i/>
              </w:rPr>
              <w:t>adresu</w:t>
            </w:r>
            <w:r w:rsidRPr="00EF6091">
              <w:t xml:space="preserve"> zákazníka, a to počas jedného roka od dátumu transakcie. Počas tohto obdobia sú údaje k dispozícii na inšpekciu na základe žiadosti príslušných kontrolných orgánov alebo orgánov presadzovania práva.</w:t>
            </w:r>
          </w:p>
        </w:tc>
      </w:tr>
    </w:tbl>
    <w:p w14:paraId="48A055EE" w14:textId="77777777" w:rsidR="00B46F8B" w:rsidRPr="00EF6091" w:rsidRDefault="00B46F8B" w:rsidP="00B46F8B">
      <w:r w:rsidRPr="00EF6091">
        <w:rPr>
          <w:rStyle w:val="HideTWBExt"/>
          <w:noProof w:val="0"/>
        </w:rPr>
        <w:t>&lt;/Amend&gt;</w:t>
      </w:r>
    </w:p>
    <w:p w14:paraId="6F4BB2C6" w14:textId="4DDC1620" w:rsidR="00B46F8B" w:rsidRPr="00EF6091" w:rsidRDefault="00B46F8B" w:rsidP="00B46F8B">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24</w:t>
      </w:r>
      <w:r w:rsidRPr="00EF6091">
        <w:rPr>
          <w:rStyle w:val="HideTWBExt"/>
          <w:noProof w:val="0"/>
        </w:rPr>
        <w:t>&lt;/NumAm&gt;</w:t>
      </w:r>
    </w:p>
    <w:p w14:paraId="4616443A" w14:textId="77777777" w:rsidR="00B46F8B" w:rsidRPr="00EF6091" w:rsidRDefault="00B46F8B" w:rsidP="00B46F8B">
      <w:pPr>
        <w:pStyle w:val="NormalBold12b"/>
      </w:pPr>
      <w:r w:rsidRPr="00EF6091">
        <w:rPr>
          <w:rStyle w:val="HideTWBExt"/>
          <w:noProof w:val="0"/>
        </w:rPr>
        <w:t>&lt;DocAmend&gt;</w:t>
      </w:r>
      <w:r w:rsidRPr="00EF6091">
        <w:t>Návrh nariadenia</w:t>
      </w:r>
      <w:r w:rsidRPr="00EF6091">
        <w:rPr>
          <w:rStyle w:val="HideTWBExt"/>
          <w:noProof w:val="0"/>
        </w:rPr>
        <w:t>&lt;/DocAmend&gt;</w:t>
      </w:r>
    </w:p>
    <w:p w14:paraId="5F443278" w14:textId="77777777" w:rsidR="00B46F8B" w:rsidRPr="00EF6091" w:rsidRDefault="00B46F8B" w:rsidP="00B46F8B">
      <w:pPr>
        <w:pStyle w:val="NormalBold"/>
      </w:pPr>
      <w:r w:rsidRPr="00EF6091">
        <w:rPr>
          <w:rStyle w:val="HideTWBExt"/>
          <w:noProof w:val="0"/>
        </w:rPr>
        <w:t>&lt;Article&gt;</w:t>
      </w:r>
      <w:r w:rsidRPr="00EF6091">
        <w:t>Článok 9 – odsek -1 (nový)</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6F8B" w:rsidRPr="00EF6091" w14:paraId="000A4CF8" w14:textId="77777777" w:rsidTr="001566F4">
        <w:trPr>
          <w:trHeight w:hRule="exact" w:val="240"/>
          <w:jc w:val="center"/>
        </w:trPr>
        <w:tc>
          <w:tcPr>
            <w:tcW w:w="9752" w:type="dxa"/>
            <w:gridSpan w:val="2"/>
          </w:tcPr>
          <w:p w14:paraId="565117C9" w14:textId="77777777" w:rsidR="00B46F8B" w:rsidRPr="00EF6091" w:rsidRDefault="00B46F8B" w:rsidP="001566F4"/>
        </w:tc>
      </w:tr>
      <w:tr w:rsidR="00B46F8B" w:rsidRPr="00EF6091" w14:paraId="26CBF9E2" w14:textId="77777777" w:rsidTr="001566F4">
        <w:trPr>
          <w:trHeight w:val="240"/>
          <w:jc w:val="center"/>
        </w:trPr>
        <w:tc>
          <w:tcPr>
            <w:tcW w:w="4876" w:type="dxa"/>
          </w:tcPr>
          <w:p w14:paraId="26377C7E" w14:textId="77777777" w:rsidR="00B46F8B" w:rsidRPr="00EF6091" w:rsidRDefault="00B46F8B" w:rsidP="001566F4">
            <w:pPr>
              <w:pStyle w:val="ColumnHeading"/>
            </w:pPr>
            <w:r w:rsidRPr="00EF6091">
              <w:t>Text predložený Komisiou</w:t>
            </w:r>
          </w:p>
        </w:tc>
        <w:tc>
          <w:tcPr>
            <w:tcW w:w="4876" w:type="dxa"/>
          </w:tcPr>
          <w:p w14:paraId="39AFC2AB" w14:textId="77777777" w:rsidR="00B46F8B" w:rsidRPr="00EF6091" w:rsidRDefault="00B46F8B" w:rsidP="001566F4">
            <w:pPr>
              <w:pStyle w:val="ColumnHeading"/>
            </w:pPr>
            <w:r w:rsidRPr="00EF6091">
              <w:t>Pozmeňujúci návrh</w:t>
            </w:r>
          </w:p>
        </w:tc>
      </w:tr>
      <w:tr w:rsidR="00B46F8B" w:rsidRPr="00EF6091" w14:paraId="0F0FEF6D" w14:textId="77777777" w:rsidTr="001566F4">
        <w:trPr>
          <w:jc w:val="center"/>
        </w:trPr>
        <w:tc>
          <w:tcPr>
            <w:tcW w:w="4876" w:type="dxa"/>
          </w:tcPr>
          <w:p w14:paraId="7A3E0BD2" w14:textId="77777777" w:rsidR="00B46F8B" w:rsidRPr="00EF6091" w:rsidRDefault="00B46F8B" w:rsidP="001566F4">
            <w:pPr>
              <w:pStyle w:val="Normal6"/>
            </w:pPr>
          </w:p>
        </w:tc>
        <w:tc>
          <w:tcPr>
            <w:tcW w:w="4876" w:type="dxa"/>
          </w:tcPr>
          <w:p w14:paraId="39586463" w14:textId="097EA28B" w:rsidR="00B46F8B" w:rsidRPr="00EF6091" w:rsidRDefault="00B46F8B" w:rsidP="001566F4">
            <w:pPr>
              <w:pStyle w:val="Normal6"/>
            </w:pPr>
            <w:r w:rsidRPr="00EF6091">
              <w:rPr>
                <w:b/>
                <w:i/>
              </w:rPr>
              <w:t>-1. Povinnosti nahlasovania stanovené v tomto článku sa vzťahujú na výrobky obsahujúce regulované prekurzory výbušnín, ktoré spĺňajú všetky tieto kritériá:</w:t>
            </w:r>
          </w:p>
        </w:tc>
      </w:tr>
      <w:tr w:rsidR="00B46F8B" w:rsidRPr="00EF6091" w14:paraId="6E2B078B" w14:textId="77777777" w:rsidTr="001566F4">
        <w:trPr>
          <w:jc w:val="center"/>
        </w:trPr>
        <w:tc>
          <w:tcPr>
            <w:tcW w:w="4876" w:type="dxa"/>
          </w:tcPr>
          <w:p w14:paraId="7160EAAF" w14:textId="77777777" w:rsidR="00B46F8B" w:rsidRPr="00EF6091" w:rsidRDefault="00B46F8B" w:rsidP="001566F4">
            <w:pPr>
              <w:pStyle w:val="Normal6"/>
            </w:pPr>
          </w:p>
        </w:tc>
        <w:tc>
          <w:tcPr>
            <w:tcW w:w="4876" w:type="dxa"/>
          </w:tcPr>
          <w:p w14:paraId="2E181D5B" w14:textId="4D1EE357" w:rsidR="00B46F8B" w:rsidRPr="00EF6091" w:rsidRDefault="009C3754" w:rsidP="009C3754">
            <w:pPr>
              <w:pStyle w:val="Normal6"/>
            </w:pPr>
            <w:r w:rsidRPr="00EF6091">
              <w:rPr>
                <w:b/>
                <w:i/>
              </w:rPr>
              <w:t>a) prekurzor sa uvádza ako zložka na etikete alebo v karte bezpečnostných údajov,</w:t>
            </w:r>
          </w:p>
        </w:tc>
      </w:tr>
      <w:tr w:rsidR="00B46F8B" w:rsidRPr="00EF6091" w14:paraId="06C0ED8F" w14:textId="77777777" w:rsidTr="001566F4">
        <w:trPr>
          <w:jc w:val="center"/>
        </w:trPr>
        <w:tc>
          <w:tcPr>
            <w:tcW w:w="4876" w:type="dxa"/>
          </w:tcPr>
          <w:p w14:paraId="03CD5763" w14:textId="77777777" w:rsidR="00B46F8B" w:rsidRPr="00EF6091" w:rsidRDefault="00B46F8B" w:rsidP="001566F4">
            <w:pPr>
              <w:pStyle w:val="Normal6"/>
            </w:pPr>
          </w:p>
        </w:tc>
        <w:tc>
          <w:tcPr>
            <w:tcW w:w="4876" w:type="dxa"/>
          </w:tcPr>
          <w:p w14:paraId="779E160D" w14:textId="3E8DC002" w:rsidR="00B46F8B" w:rsidRPr="00EF6091" w:rsidRDefault="009C3754" w:rsidP="009C3754">
            <w:pPr>
              <w:pStyle w:val="Normal6"/>
            </w:pPr>
            <w:r w:rsidRPr="00EF6091">
              <w:rPr>
                <w:b/>
                <w:i/>
              </w:rPr>
              <w:t>b) koncentrácia prekurzora je vyššia ako 1 % (alebo 3 % dusíka z celkovej hmotnosti v prípade dusíkatých hnojív);</w:t>
            </w:r>
          </w:p>
        </w:tc>
      </w:tr>
      <w:tr w:rsidR="00B46F8B" w:rsidRPr="00EF6091" w14:paraId="2BA4D2E3" w14:textId="77777777" w:rsidTr="001566F4">
        <w:trPr>
          <w:jc w:val="center"/>
        </w:trPr>
        <w:tc>
          <w:tcPr>
            <w:tcW w:w="4876" w:type="dxa"/>
          </w:tcPr>
          <w:p w14:paraId="32662BBD" w14:textId="77777777" w:rsidR="00B46F8B" w:rsidRPr="00EF6091" w:rsidRDefault="00B46F8B" w:rsidP="001566F4">
            <w:pPr>
              <w:pStyle w:val="Normal6"/>
            </w:pPr>
          </w:p>
        </w:tc>
        <w:tc>
          <w:tcPr>
            <w:tcW w:w="4876" w:type="dxa"/>
          </w:tcPr>
          <w:p w14:paraId="14A8D29F" w14:textId="2464FB69" w:rsidR="00B46F8B" w:rsidRPr="00EF6091" w:rsidRDefault="009C3754" w:rsidP="009C3754">
            <w:pPr>
              <w:pStyle w:val="Normal6"/>
            </w:pPr>
            <w:r w:rsidRPr="00EF6091">
              <w:rPr>
                <w:b/>
                <w:i/>
              </w:rPr>
              <w:t>c) extrakcia prekurzora je možná bez ťažkostí.</w:t>
            </w:r>
          </w:p>
        </w:tc>
      </w:tr>
    </w:tbl>
    <w:p w14:paraId="0E9FA058" w14:textId="78A39B2F" w:rsidR="00A25082" w:rsidRPr="00EF6091" w:rsidRDefault="00A25082" w:rsidP="00A25082">
      <w:r w:rsidRPr="00EF6091">
        <w:rPr>
          <w:rStyle w:val="HideTWBExt"/>
          <w:noProof w:val="0"/>
        </w:rPr>
        <w:t>&lt;/Amend&gt;</w:t>
      </w:r>
    </w:p>
    <w:p w14:paraId="241D26BA" w14:textId="028469B3"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25</w:t>
      </w:r>
      <w:r w:rsidRPr="00EF6091">
        <w:rPr>
          <w:rStyle w:val="HideTWBExt"/>
          <w:noProof w:val="0"/>
        </w:rPr>
        <w:t>&lt;/NumAm&gt;</w:t>
      </w:r>
    </w:p>
    <w:p w14:paraId="0D637B93"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3C886D40" w14:textId="77777777" w:rsidR="00A25082" w:rsidRPr="00EF6091" w:rsidRDefault="00A25082" w:rsidP="00A25082">
      <w:pPr>
        <w:pStyle w:val="NormalBold"/>
      </w:pPr>
      <w:r w:rsidRPr="00EF6091">
        <w:rPr>
          <w:rStyle w:val="HideTWBExt"/>
          <w:noProof w:val="0"/>
        </w:rPr>
        <w:t>&lt;Article&gt;</w:t>
      </w:r>
      <w:r w:rsidRPr="00EF6091">
        <w:t>Článok 9 – odsek 1 – pododsek 1</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595A689D" w14:textId="77777777" w:rsidTr="00BC1135">
        <w:trPr>
          <w:trHeight w:hRule="exact" w:val="240"/>
          <w:jc w:val="center"/>
        </w:trPr>
        <w:tc>
          <w:tcPr>
            <w:tcW w:w="9752" w:type="dxa"/>
            <w:gridSpan w:val="2"/>
          </w:tcPr>
          <w:p w14:paraId="58D40897" w14:textId="77777777" w:rsidR="00A25082" w:rsidRPr="00EF6091" w:rsidRDefault="00A25082" w:rsidP="00BC1135"/>
        </w:tc>
      </w:tr>
      <w:tr w:rsidR="00A25082" w:rsidRPr="00EF6091" w14:paraId="674EF918" w14:textId="77777777" w:rsidTr="00BC1135">
        <w:trPr>
          <w:trHeight w:val="240"/>
          <w:jc w:val="center"/>
        </w:trPr>
        <w:tc>
          <w:tcPr>
            <w:tcW w:w="4876" w:type="dxa"/>
          </w:tcPr>
          <w:p w14:paraId="7C6C2E1E" w14:textId="77777777" w:rsidR="00A25082" w:rsidRPr="00EF6091" w:rsidRDefault="00A25082" w:rsidP="00BC1135">
            <w:pPr>
              <w:pStyle w:val="ColumnHeading"/>
            </w:pPr>
            <w:r w:rsidRPr="00EF6091">
              <w:t>Text predložený Komisiou</w:t>
            </w:r>
          </w:p>
        </w:tc>
        <w:tc>
          <w:tcPr>
            <w:tcW w:w="4876" w:type="dxa"/>
          </w:tcPr>
          <w:p w14:paraId="5D3221FE" w14:textId="77777777" w:rsidR="00A25082" w:rsidRPr="00EF6091" w:rsidRDefault="00A25082" w:rsidP="00BC1135">
            <w:pPr>
              <w:pStyle w:val="ColumnHeading"/>
            </w:pPr>
            <w:r w:rsidRPr="00EF6091">
              <w:t>Pozmeňujúci návrh</w:t>
            </w:r>
          </w:p>
        </w:tc>
      </w:tr>
      <w:tr w:rsidR="00A25082" w:rsidRPr="00EF6091" w14:paraId="6FB897D4" w14:textId="77777777" w:rsidTr="00BC1135">
        <w:trPr>
          <w:jc w:val="center"/>
        </w:trPr>
        <w:tc>
          <w:tcPr>
            <w:tcW w:w="4876" w:type="dxa"/>
          </w:tcPr>
          <w:p w14:paraId="5BB6F62B" w14:textId="77777777" w:rsidR="00A25082" w:rsidRPr="00EF6091" w:rsidRDefault="00A25082" w:rsidP="00BC1135">
            <w:pPr>
              <w:pStyle w:val="Normal6"/>
            </w:pPr>
            <w:r w:rsidRPr="00EF6091">
              <w:t>Na účely odhaľovania nedovolenej výroby výbušnín a jej predchádzania hospodárske subjekty nahlásia transakcie týkajúce sa regulovaných prekurzorov výbušnín vrátane transakcií týkajúcich sa profesionálnych používateľov, ak existuje dôvodné podozrenie, že látka alebo zmes je určená na nedovolenú výrobu výbušnín.</w:t>
            </w:r>
          </w:p>
        </w:tc>
        <w:tc>
          <w:tcPr>
            <w:tcW w:w="4876" w:type="dxa"/>
          </w:tcPr>
          <w:p w14:paraId="150EB168" w14:textId="77777777" w:rsidR="00A25082" w:rsidRPr="00EF6091" w:rsidRDefault="00A25082" w:rsidP="00BC1135">
            <w:pPr>
              <w:pStyle w:val="Normal6"/>
            </w:pPr>
            <w:r w:rsidRPr="00EF6091">
              <w:t xml:space="preserve">Na účely odhaľovania nedovolenej výroby výbušnín a jej predchádzania hospodárske subjekty </w:t>
            </w:r>
            <w:r w:rsidRPr="00EF6091">
              <w:rPr>
                <w:b/>
                <w:i/>
              </w:rPr>
              <w:t xml:space="preserve">a online trhy, ktoré pôsobia ako sprostredkovatelia, </w:t>
            </w:r>
            <w:r w:rsidRPr="00EF6091">
              <w:t>nahlásia transakcie týkajúce sa regulovaných prekurzorov výbušnín vrátane transakcií týkajúcich sa profesionálnych používateľov, ak existuje dôvodné podozrenie, že látka alebo zmes je určená na nedovolenú výrobu výbušnín.</w:t>
            </w:r>
          </w:p>
        </w:tc>
      </w:tr>
    </w:tbl>
    <w:p w14:paraId="6D1DCD28" w14:textId="7815CB4A" w:rsidR="00A25082" w:rsidRPr="00EF6091" w:rsidRDefault="00A25082" w:rsidP="00A25082">
      <w:r w:rsidRPr="00EF6091">
        <w:rPr>
          <w:rStyle w:val="HideTWBExt"/>
          <w:noProof w:val="0"/>
        </w:rPr>
        <w:t>&lt;/Amend&gt;</w:t>
      </w:r>
    </w:p>
    <w:p w14:paraId="53E6E816" w14:textId="05C18D7E"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26</w:t>
      </w:r>
      <w:r w:rsidRPr="00EF6091">
        <w:rPr>
          <w:rStyle w:val="HideTWBExt"/>
          <w:noProof w:val="0"/>
        </w:rPr>
        <w:t>&lt;/NumAm&gt;</w:t>
      </w:r>
    </w:p>
    <w:p w14:paraId="5C6264FD"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45C92550" w14:textId="77777777" w:rsidR="00A25082" w:rsidRPr="00EF6091" w:rsidRDefault="00A25082" w:rsidP="00A25082">
      <w:pPr>
        <w:pStyle w:val="NormalBold"/>
      </w:pPr>
      <w:r w:rsidRPr="00EF6091">
        <w:rPr>
          <w:rStyle w:val="HideTWBExt"/>
          <w:noProof w:val="0"/>
        </w:rPr>
        <w:t>&lt;Article&gt;</w:t>
      </w:r>
      <w:r w:rsidRPr="00EF6091">
        <w:t>Článok 9 – odsek 1 – pododsek 2 – úvodná časť</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0749D0D6" w14:textId="77777777" w:rsidTr="00BC1135">
        <w:trPr>
          <w:trHeight w:hRule="exact" w:val="240"/>
          <w:jc w:val="center"/>
        </w:trPr>
        <w:tc>
          <w:tcPr>
            <w:tcW w:w="9752" w:type="dxa"/>
            <w:gridSpan w:val="2"/>
          </w:tcPr>
          <w:p w14:paraId="50A93B03" w14:textId="77777777" w:rsidR="00A25082" w:rsidRPr="00EF6091" w:rsidRDefault="00A25082" w:rsidP="00BC1135"/>
        </w:tc>
      </w:tr>
      <w:tr w:rsidR="00A25082" w:rsidRPr="00EF6091" w14:paraId="3AC53FD2" w14:textId="77777777" w:rsidTr="00BC1135">
        <w:trPr>
          <w:trHeight w:val="240"/>
          <w:jc w:val="center"/>
        </w:trPr>
        <w:tc>
          <w:tcPr>
            <w:tcW w:w="4876" w:type="dxa"/>
          </w:tcPr>
          <w:p w14:paraId="35DD670D" w14:textId="77777777" w:rsidR="00A25082" w:rsidRPr="00EF6091" w:rsidRDefault="00A25082" w:rsidP="00BC1135">
            <w:pPr>
              <w:pStyle w:val="ColumnHeading"/>
            </w:pPr>
            <w:r w:rsidRPr="00EF6091">
              <w:t>Text predložený Komisiou</w:t>
            </w:r>
          </w:p>
        </w:tc>
        <w:tc>
          <w:tcPr>
            <w:tcW w:w="4876" w:type="dxa"/>
          </w:tcPr>
          <w:p w14:paraId="09C7383D" w14:textId="77777777" w:rsidR="00A25082" w:rsidRPr="00EF6091" w:rsidRDefault="00A25082" w:rsidP="00BC1135">
            <w:pPr>
              <w:pStyle w:val="ColumnHeading"/>
            </w:pPr>
            <w:r w:rsidRPr="00EF6091">
              <w:t>Pozmeňujúci návrh</w:t>
            </w:r>
          </w:p>
        </w:tc>
      </w:tr>
      <w:tr w:rsidR="00A25082" w:rsidRPr="00EF6091" w14:paraId="38FB2D95" w14:textId="77777777" w:rsidTr="00BC1135">
        <w:trPr>
          <w:jc w:val="center"/>
        </w:trPr>
        <w:tc>
          <w:tcPr>
            <w:tcW w:w="4876" w:type="dxa"/>
          </w:tcPr>
          <w:p w14:paraId="3C2E35F4" w14:textId="77777777" w:rsidR="00A25082" w:rsidRPr="00EF6091" w:rsidRDefault="00A25082" w:rsidP="00BC1135">
            <w:pPr>
              <w:pStyle w:val="Normal6"/>
            </w:pPr>
            <w:r w:rsidRPr="00EF6091">
              <w:t>Hospodárske subjekty nahlásia takéto podozrivé transakcie po zohľadnení všetkých okolností, najmä ak potenciálny zákazník vykazuje jednu alebo viacero z týchto skutočností:</w:t>
            </w:r>
          </w:p>
        </w:tc>
        <w:tc>
          <w:tcPr>
            <w:tcW w:w="4876" w:type="dxa"/>
          </w:tcPr>
          <w:p w14:paraId="53D8A33D" w14:textId="77777777" w:rsidR="00A25082" w:rsidRPr="00EF6091" w:rsidRDefault="00A25082" w:rsidP="00BC1135">
            <w:pPr>
              <w:pStyle w:val="Normal6"/>
            </w:pPr>
            <w:r w:rsidRPr="00EF6091">
              <w:t xml:space="preserve">Hospodárske subjekty </w:t>
            </w:r>
            <w:r w:rsidRPr="00EF6091">
              <w:rPr>
                <w:b/>
                <w:i/>
              </w:rPr>
              <w:t xml:space="preserve">a online trhy, ktoré pôsobia ako sprostredkovatelia, </w:t>
            </w:r>
            <w:r w:rsidRPr="00EF6091">
              <w:t>nahlásia takéto podozrivé transakcie po zohľadnení všetkých okolností, najmä ak potenciálny zákazník vykazuje jednu alebo viacero z týchto skutočností:</w:t>
            </w:r>
          </w:p>
        </w:tc>
      </w:tr>
    </w:tbl>
    <w:p w14:paraId="7A90ACB9" w14:textId="4577F0A7" w:rsidR="00A25082" w:rsidRPr="00EF6091" w:rsidRDefault="00A25082" w:rsidP="00A25082">
      <w:r w:rsidRPr="00EF6091">
        <w:rPr>
          <w:rStyle w:val="HideTWBExt"/>
          <w:noProof w:val="0"/>
        </w:rPr>
        <w:t>&lt;/Amend&gt;</w:t>
      </w:r>
    </w:p>
    <w:p w14:paraId="277EF33E" w14:textId="3204A496" w:rsidR="00C171D8" w:rsidRPr="00EF6091" w:rsidRDefault="00A25082"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27</w:t>
      </w:r>
      <w:r w:rsidRPr="00EF6091">
        <w:rPr>
          <w:rStyle w:val="HideTWBExt"/>
          <w:b w:val="0"/>
          <w:noProof w:val="0"/>
        </w:rPr>
        <w:t>&lt;/NumAm&gt;</w:t>
      </w:r>
    </w:p>
    <w:p w14:paraId="73BF7F76" w14:textId="7232F21B" w:rsidR="00A25082" w:rsidRPr="00EF6091" w:rsidRDefault="00A25082" w:rsidP="00C171D8">
      <w:pPr>
        <w:pStyle w:val="NormalBold12b"/>
      </w:pPr>
      <w:r w:rsidRPr="00EF6091">
        <w:rPr>
          <w:rStyle w:val="HideTWBExt"/>
          <w:b w:val="0"/>
          <w:noProof w:val="0"/>
        </w:rPr>
        <w:t>&lt;DocAmend&gt;</w:t>
      </w:r>
      <w:r w:rsidRPr="00EF6091">
        <w:t>Návrh nariadenia</w:t>
      </w:r>
      <w:r w:rsidRPr="00EF6091">
        <w:rPr>
          <w:rStyle w:val="HideTWBExt"/>
          <w:b w:val="0"/>
          <w:noProof w:val="0"/>
        </w:rPr>
        <w:t>&lt;/DocAmend&gt;</w:t>
      </w:r>
    </w:p>
    <w:p w14:paraId="1489C662" w14:textId="77777777" w:rsidR="00A25082" w:rsidRPr="00EF6091" w:rsidRDefault="00A25082" w:rsidP="00A25082">
      <w:pPr>
        <w:pStyle w:val="NormalBold"/>
      </w:pPr>
      <w:r w:rsidRPr="00EF6091">
        <w:rPr>
          <w:rStyle w:val="HideTWBExt"/>
          <w:b w:val="0"/>
          <w:noProof w:val="0"/>
        </w:rPr>
        <w:t>&lt;Article&gt;</w:t>
      </w:r>
      <w:r w:rsidRPr="00EF6091">
        <w:t>Článok 9 – odsek 2</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25082" w:rsidRPr="00EF6091" w14:paraId="18AA1FF0" w14:textId="77777777" w:rsidTr="00BC1135">
        <w:trPr>
          <w:jc w:val="center"/>
        </w:trPr>
        <w:tc>
          <w:tcPr>
            <w:tcW w:w="9752" w:type="dxa"/>
            <w:gridSpan w:val="2"/>
          </w:tcPr>
          <w:p w14:paraId="048C6277" w14:textId="77777777" w:rsidR="00A25082" w:rsidRPr="00EF6091" w:rsidRDefault="00A25082" w:rsidP="00BC1135">
            <w:pPr>
              <w:keepNext/>
            </w:pPr>
          </w:p>
        </w:tc>
      </w:tr>
      <w:tr w:rsidR="00A25082" w:rsidRPr="00EF6091" w14:paraId="59C4B9A2" w14:textId="77777777" w:rsidTr="00BC1135">
        <w:trPr>
          <w:jc w:val="center"/>
        </w:trPr>
        <w:tc>
          <w:tcPr>
            <w:tcW w:w="4876" w:type="dxa"/>
          </w:tcPr>
          <w:p w14:paraId="5197F036" w14:textId="77777777" w:rsidR="00A25082" w:rsidRPr="00EF6091" w:rsidRDefault="00A25082" w:rsidP="00BC1135">
            <w:pPr>
              <w:pStyle w:val="ColumnHeading"/>
              <w:keepNext/>
            </w:pPr>
            <w:r w:rsidRPr="00EF6091">
              <w:t>Text predložený Komisiou</w:t>
            </w:r>
          </w:p>
        </w:tc>
        <w:tc>
          <w:tcPr>
            <w:tcW w:w="4876" w:type="dxa"/>
          </w:tcPr>
          <w:p w14:paraId="4CE72008" w14:textId="77777777" w:rsidR="00A25082" w:rsidRPr="00EF6091" w:rsidRDefault="00A25082" w:rsidP="00BC1135">
            <w:pPr>
              <w:pStyle w:val="ColumnHeading"/>
              <w:keepNext/>
            </w:pPr>
            <w:r w:rsidRPr="00EF6091">
              <w:t>Pozmeňujúci návrh</w:t>
            </w:r>
          </w:p>
        </w:tc>
      </w:tr>
      <w:tr w:rsidR="00A25082" w:rsidRPr="00EF6091" w14:paraId="4AACB648" w14:textId="77777777" w:rsidTr="00BC1135">
        <w:trPr>
          <w:jc w:val="center"/>
        </w:trPr>
        <w:tc>
          <w:tcPr>
            <w:tcW w:w="4876" w:type="dxa"/>
          </w:tcPr>
          <w:p w14:paraId="6B1256D0" w14:textId="77777777" w:rsidR="00A25082" w:rsidRPr="00EF6091" w:rsidRDefault="00A25082" w:rsidP="00BC1135">
            <w:pPr>
              <w:pStyle w:val="Normal6"/>
            </w:pPr>
            <w:r w:rsidRPr="00EF6091">
              <w:t>2.</w:t>
            </w:r>
            <w:r w:rsidRPr="00EF6091">
              <w:tab/>
              <w:t xml:space="preserve">Hospodárske subjekty </w:t>
            </w:r>
            <w:r w:rsidRPr="00EF6091">
              <w:rPr>
                <w:b/>
                <w:i/>
              </w:rPr>
              <w:t>iné ako</w:t>
            </w:r>
            <w:r w:rsidRPr="00EF6091">
              <w:t xml:space="preserve"> online trhy, ktoré pôsobia ako sprostredkovatelia, zavedú postupy na odhaľovanie podozrivých transakcií, ktoré sú prispôsobené prostrediu, v ktorom sa regulované prekurzory výbušnín ponúkajú.</w:t>
            </w:r>
          </w:p>
        </w:tc>
        <w:tc>
          <w:tcPr>
            <w:tcW w:w="4876" w:type="dxa"/>
          </w:tcPr>
          <w:p w14:paraId="39995709" w14:textId="77777777" w:rsidR="00A25082" w:rsidRPr="00EF6091" w:rsidRDefault="00A25082" w:rsidP="00BC1135">
            <w:pPr>
              <w:pStyle w:val="Normal6"/>
              <w:rPr>
                <w:szCs w:val="24"/>
              </w:rPr>
            </w:pPr>
            <w:r w:rsidRPr="00EF6091">
              <w:t>2.</w:t>
            </w:r>
            <w:r w:rsidRPr="00EF6091">
              <w:tab/>
              <w:t xml:space="preserve">Hospodárske subjekty </w:t>
            </w:r>
            <w:r w:rsidRPr="00EF6091">
              <w:rPr>
                <w:b/>
                <w:i/>
              </w:rPr>
              <w:t>a</w:t>
            </w:r>
            <w:r w:rsidRPr="00EF6091">
              <w:t xml:space="preserve"> online trhy, ktoré pôsobia ako sprostredkovatelia, zavedú postupy na odhaľovanie podozrivých transakcií, ktoré sú prispôsobené prostrediu, v ktorom sa regulované prekurzory výbušnín ponúkajú.</w:t>
            </w:r>
          </w:p>
        </w:tc>
      </w:tr>
    </w:tbl>
    <w:p w14:paraId="60672C1E" w14:textId="5ED9C2F8" w:rsidR="00A25082" w:rsidRPr="00EF6091" w:rsidRDefault="00A25082" w:rsidP="00A25082">
      <w:r w:rsidRPr="00EF6091">
        <w:rPr>
          <w:rStyle w:val="HideTWBExt"/>
          <w:noProof w:val="0"/>
        </w:rPr>
        <w:t>&lt;/Amend&gt;</w:t>
      </w:r>
    </w:p>
    <w:p w14:paraId="3F395E04" w14:textId="44B54FD3" w:rsidR="00C171D8" w:rsidRPr="00EF6091" w:rsidRDefault="00A25082"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28</w:t>
      </w:r>
      <w:r w:rsidRPr="00EF6091">
        <w:rPr>
          <w:rStyle w:val="HideTWBExt"/>
          <w:b w:val="0"/>
          <w:noProof w:val="0"/>
        </w:rPr>
        <w:t>&lt;/NumAm&gt;</w:t>
      </w:r>
    </w:p>
    <w:p w14:paraId="5F447A86" w14:textId="4C4647B2" w:rsidR="00A25082" w:rsidRPr="00EF6091" w:rsidRDefault="00A25082" w:rsidP="00C171D8">
      <w:pPr>
        <w:pStyle w:val="NormalBold12b"/>
      </w:pPr>
      <w:r w:rsidRPr="00EF6091">
        <w:rPr>
          <w:rStyle w:val="HideTWBExt"/>
          <w:b w:val="0"/>
          <w:noProof w:val="0"/>
        </w:rPr>
        <w:t>&lt;DocAmend&gt;</w:t>
      </w:r>
      <w:r w:rsidRPr="00EF6091">
        <w:t>Návrh nariadenia</w:t>
      </w:r>
      <w:r w:rsidRPr="00EF6091">
        <w:rPr>
          <w:rStyle w:val="HideTWBExt"/>
          <w:b w:val="0"/>
          <w:noProof w:val="0"/>
        </w:rPr>
        <w:t>&lt;/DocAmend&gt;</w:t>
      </w:r>
    </w:p>
    <w:p w14:paraId="611D404B" w14:textId="77777777" w:rsidR="00A25082" w:rsidRPr="00EF6091" w:rsidRDefault="00A25082" w:rsidP="00A25082">
      <w:pPr>
        <w:pStyle w:val="NormalBold"/>
      </w:pPr>
      <w:r w:rsidRPr="00EF6091">
        <w:rPr>
          <w:rStyle w:val="HideTWBExt"/>
          <w:b w:val="0"/>
          <w:noProof w:val="0"/>
        </w:rPr>
        <w:t>&lt;Article&gt;</w:t>
      </w:r>
      <w:r w:rsidRPr="00EF6091">
        <w:t>Článok 9 – odsek 3</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25082" w:rsidRPr="00EF6091" w14:paraId="1FD628A1" w14:textId="77777777" w:rsidTr="00BC1135">
        <w:trPr>
          <w:jc w:val="center"/>
        </w:trPr>
        <w:tc>
          <w:tcPr>
            <w:tcW w:w="9752" w:type="dxa"/>
            <w:gridSpan w:val="2"/>
          </w:tcPr>
          <w:p w14:paraId="3A386060" w14:textId="77777777" w:rsidR="00A25082" w:rsidRPr="00EF6091" w:rsidRDefault="00A25082" w:rsidP="00BC1135">
            <w:pPr>
              <w:keepNext/>
            </w:pPr>
          </w:p>
        </w:tc>
      </w:tr>
      <w:tr w:rsidR="00A25082" w:rsidRPr="00EF6091" w14:paraId="0705936B" w14:textId="77777777" w:rsidTr="00BC1135">
        <w:trPr>
          <w:jc w:val="center"/>
        </w:trPr>
        <w:tc>
          <w:tcPr>
            <w:tcW w:w="4876" w:type="dxa"/>
          </w:tcPr>
          <w:p w14:paraId="75E17596" w14:textId="77777777" w:rsidR="00A25082" w:rsidRPr="00EF6091" w:rsidRDefault="00A25082" w:rsidP="00BC1135">
            <w:pPr>
              <w:pStyle w:val="ColumnHeading"/>
              <w:keepNext/>
            </w:pPr>
            <w:r w:rsidRPr="00EF6091">
              <w:t>Text predložený Komisiou</w:t>
            </w:r>
          </w:p>
        </w:tc>
        <w:tc>
          <w:tcPr>
            <w:tcW w:w="4876" w:type="dxa"/>
          </w:tcPr>
          <w:p w14:paraId="6568F82C" w14:textId="77777777" w:rsidR="00A25082" w:rsidRPr="00EF6091" w:rsidRDefault="00A25082" w:rsidP="00BC1135">
            <w:pPr>
              <w:pStyle w:val="ColumnHeading"/>
              <w:keepNext/>
            </w:pPr>
            <w:r w:rsidRPr="00EF6091">
              <w:t>Pozmeňujúci návrh</w:t>
            </w:r>
          </w:p>
        </w:tc>
      </w:tr>
      <w:tr w:rsidR="00A25082" w:rsidRPr="00EF6091" w14:paraId="7006DEBF" w14:textId="77777777" w:rsidTr="00BC1135">
        <w:trPr>
          <w:jc w:val="center"/>
        </w:trPr>
        <w:tc>
          <w:tcPr>
            <w:tcW w:w="4876" w:type="dxa"/>
          </w:tcPr>
          <w:p w14:paraId="7BF524C4" w14:textId="77777777" w:rsidR="00A25082" w:rsidRPr="00EF6091" w:rsidRDefault="00A25082" w:rsidP="00BC1135">
            <w:pPr>
              <w:pStyle w:val="Normal6"/>
            </w:pPr>
            <w:r w:rsidRPr="00EF6091">
              <w:t>3.</w:t>
            </w:r>
            <w:r w:rsidRPr="00EF6091">
              <w:tab/>
              <w:t xml:space="preserve">Hospodárske subjekty môžu odmietnuť podozrivú transakciu </w:t>
            </w:r>
            <w:r w:rsidRPr="00EF6091">
              <w:rPr>
                <w:b/>
                <w:i/>
              </w:rPr>
              <w:t>a </w:t>
            </w:r>
            <w:r w:rsidRPr="00EF6091">
              <w:t xml:space="preserve">nahlásia podozrivú transakciu alebo pokus o transakciu, a to aj vrátane totožnosti zákazníka, </w:t>
            </w:r>
            <w:r w:rsidRPr="00EF6091">
              <w:rPr>
                <w:b/>
                <w:i/>
              </w:rPr>
              <w:t>ak je to možné</w:t>
            </w:r>
            <w:r w:rsidRPr="00EF6091">
              <w:t>, do 24 hodín vnútroštátnemu kontaktnému miestu členského štátu, v ktorom došlo k podozrivej transakcii alebo pokusu o transakciu.</w:t>
            </w:r>
          </w:p>
        </w:tc>
        <w:tc>
          <w:tcPr>
            <w:tcW w:w="4876" w:type="dxa"/>
          </w:tcPr>
          <w:p w14:paraId="06907C8D" w14:textId="1A9D70CF" w:rsidR="00A25082" w:rsidRPr="00EF6091" w:rsidRDefault="00A25082" w:rsidP="001566F4">
            <w:pPr>
              <w:pStyle w:val="Normal6"/>
              <w:rPr>
                <w:szCs w:val="24"/>
              </w:rPr>
            </w:pPr>
            <w:r w:rsidRPr="00EF6091">
              <w:t>3.</w:t>
            </w:r>
            <w:r w:rsidRPr="00EF6091">
              <w:tab/>
              <w:t xml:space="preserve">Hospodárske subjekty </w:t>
            </w:r>
            <w:r w:rsidRPr="00EF6091">
              <w:rPr>
                <w:b/>
                <w:i/>
              </w:rPr>
              <w:t xml:space="preserve">a online trhy, ktoré pôsobia ako sprostredkovatelia, </w:t>
            </w:r>
            <w:r w:rsidRPr="00EF6091">
              <w:t>môžu odmietnuť podozrivú transakciu</w:t>
            </w:r>
            <w:r w:rsidRPr="00EF6091">
              <w:rPr>
                <w:b/>
                <w:i/>
              </w:rPr>
              <w:t xml:space="preserve">. </w:t>
            </w:r>
            <w:r w:rsidRPr="00EF6091">
              <w:t>Nahlásia podozrivú transakciu alebo pokus o transakciu, a to aj vrátane totožnosti zákazníka</w:t>
            </w:r>
            <w:r w:rsidRPr="00EF6091">
              <w:rPr>
                <w:b/>
                <w:i/>
              </w:rPr>
              <w:t xml:space="preserve"> a všetkých relevantných údajov</w:t>
            </w:r>
            <w:r w:rsidRPr="00EF6091">
              <w:t xml:space="preserve">, </w:t>
            </w:r>
            <w:r w:rsidRPr="00EF6091">
              <w:rPr>
                <w:b/>
                <w:i/>
              </w:rPr>
              <w:t>v dôsledku ktorých považujú transakciu za podozrivú</w:t>
            </w:r>
            <w:r w:rsidRPr="00EF6091">
              <w:t>,</w:t>
            </w:r>
            <w:r w:rsidRPr="00EF6091">
              <w:rPr>
                <w:b/>
                <w:i/>
              </w:rPr>
              <w:t xml:space="preserve"> podľa možností</w:t>
            </w:r>
            <w:r w:rsidRPr="00EF6091">
              <w:t xml:space="preserve"> do 24 hodín vnútroštátnemu kontaktnému miestu členského štátu, v ktorom došlo k podozrivej transakcii alebo pokusu o transakciu. </w:t>
            </w:r>
            <w:r w:rsidRPr="00EF6091">
              <w:rPr>
                <w:b/>
                <w:i/>
              </w:rPr>
              <w:t>Pokiaľ by hospodársky subjekt alebo online trh, ktorý pôsobí ako sprostredkovateľ, nebol schopný nahlásiť podozrivú transakciu alebo pokus o ňu do</w:t>
            </w:r>
            <w:r w:rsidR="001566F4">
              <w:rPr>
                <w:b/>
                <w:i/>
              </w:rPr>
              <w:t> </w:t>
            </w:r>
            <w:r w:rsidRPr="00EF6091">
              <w:rPr>
                <w:b/>
                <w:i/>
              </w:rPr>
              <w:t>24 hodín, nahlási ju bez zbytočného odkladu.</w:t>
            </w:r>
          </w:p>
        </w:tc>
      </w:tr>
    </w:tbl>
    <w:p w14:paraId="3695EAB8" w14:textId="529C4810" w:rsidR="00A25082" w:rsidRPr="00EF6091" w:rsidRDefault="00A25082" w:rsidP="00A25082">
      <w:r w:rsidRPr="00EF6091">
        <w:rPr>
          <w:rStyle w:val="HideTWBExt"/>
          <w:noProof w:val="0"/>
        </w:rPr>
        <w:t>&lt;/Amend&gt;</w:t>
      </w:r>
    </w:p>
    <w:p w14:paraId="6794BBED" w14:textId="102EC237"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29</w:t>
      </w:r>
      <w:r w:rsidRPr="00EF6091">
        <w:rPr>
          <w:rStyle w:val="HideTWBExt"/>
          <w:noProof w:val="0"/>
        </w:rPr>
        <w:t>&lt;/NumAm&gt;</w:t>
      </w:r>
    </w:p>
    <w:p w14:paraId="4FFA722D"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55FB0495" w14:textId="77777777" w:rsidR="00A25082" w:rsidRPr="00EF6091" w:rsidRDefault="00A25082" w:rsidP="00A25082">
      <w:pPr>
        <w:pStyle w:val="NormalBold"/>
      </w:pPr>
      <w:r w:rsidRPr="00EF6091">
        <w:rPr>
          <w:rStyle w:val="HideTWBExt"/>
          <w:noProof w:val="0"/>
        </w:rPr>
        <w:t>&lt;Article&gt;</w:t>
      </w:r>
      <w:r w:rsidRPr="00EF6091">
        <w:t>Článok 9 – odsek 4</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0323F111" w14:textId="77777777" w:rsidTr="00BC1135">
        <w:trPr>
          <w:trHeight w:hRule="exact" w:val="240"/>
          <w:jc w:val="center"/>
        </w:trPr>
        <w:tc>
          <w:tcPr>
            <w:tcW w:w="9752" w:type="dxa"/>
            <w:gridSpan w:val="2"/>
          </w:tcPr>
          <w:p w14:paraId="19EBB8F9" w14:textId="77777777" w:rsidR="00A25082" w:rsidRPr="00EF6091" w:rsidRDefault="00A25082" w:rsidP="00BC1135"/>
        </w:tc>
      </w:tr>
      <w:tr w:rsidR="00A25082" w:rsidRPr="00EF6091" w14:paraId="05C0AF75" w14:textId="77777777" w:rsidTr="00BC1135">
        <w:trPr>
          <w:trHeight w:val="240"/>
          <w:jc w:val="center"/>
        </w:trPr>
        <w:tc>
          <w:tcPr>
            <w:tcW w:w="4876" w:type="dxa"/>
          </w:tcPr>
          <w:p w14:paraId="14E3CD07" w14:textId="77777777" w:rsidR="00A25082" w:rsidRPr="00EF6091" w:rsidRDefault="00A25082" w:rsidP="00BC1135">
            <w:pPr>
              <w:pStyle w:val="ColumnHeading"/>
            </w:pPr>
            <w:r w:rsidRPr="00EF6091">
              <w:t>Text predložený Komisiou</w:t>
            </w:r>
          </w:p>
        </w:tc>
        <w:tc>
          <w:tcPr>
            <w:tcW w:w="4876" w:type="dxa"/>
          </w:tcPr>
          <w:p w14:paraId="023D53B3" w14:textId="77777777" w:rsidR="00A25082" w:rsidRPr="00EF6091" w:rsidRDefault="00A25082" w:rsidP="00BC1135">
            <w:pPr>
              <w:pStyle w:val="ColumnHeading"/>
            </w:pPr>
            <w:r w:rsidRPr="00EF6091">
              <w:t>Pozmeňujúci návrh</w:t>
            </w:r>
          </w:p>
        </w:tc>
      </w:tr>
      <w:tr w:rsidR="00A25082" w:rsidRPr="00EF6091" w14:paraId="6102A8AD" w14:textId="77777777" w:rsidTr="00BC1135">
        <w:trPr>
          <w:jc w:val="center"/>
        </w:trPr>
        <w:tc>
          <w:tcPr>
            <w:tcW w:w="4876" w:type="dxa"/>
          </w:tcPr>
          <w:p w14:paraId="4C17BC2D" w14:textId="77777777" w:rsidR="00A25082" w:rsidRPr="00EF6091" w:rsidRDefault="00A25082" w:rsidP="00BC1135">
            <w:pPr>
              <w:pStyle w:val="Normal6"/>
            </w:pPr>
            <w:r w:rsidRPr="00EF6091">
              <w:t>4.</w:t>
            </w:r>
            <w:r w:rsidRPr="00EF6091">
              <w:tab/>
              <w:t>Každý členský štát zriadi na účely nahlasovania podozrivých transakcií jedno alebo viacero vnútroštátnych kontaktných miest a jasne uvedie ich telefónne číslo a e-mailovú adresu. Vnútroštátne kontaktné miesta sú nepretržite k dispozícii.</w:t>
            </w:r>
          </w:p>
        </w:tc>
        <w:tc>
          <w:tcPr>
            <w:tcW w:w="4876" w:type="dxa"/>
          </w:tcPr>
          <w:p w14:paraId="459ADC4F" w14:textId="6CDD6EFA" w:rsidR="00A25082" w:rsidRPr="00EF6091" w:rsidRDefault="00A25082">
            <w:pPr>
              <w:pStyle w:val="Normal6"/>
            </w:pPr>
            <w:r w:rsidRPr="00EF6091">
              <w:t>4.</w:t>
            </w:r>
            <w:r w:rsidRPr="00EF6091">
              <w:tab/>
              <w:t>Každý členský štát zriadi na účely nahlasovania podozrivých transakcií jedno alebo viacero vnútroštátnych kontaktných miest a jasne uvedie ich telefónne číslo a e-mailovú adresu</w:t>
            </w:r>
            <w:r w:rsidRPr="00EF6091">
              <w:rPr>
                <w:b/>
                <w:i/>
              </w:rPr>
              <w:t>, webový formulár alebo iný efektívny nástroj</w:t>
            </w:r>
            <w:r w:rsidRPr="00EF6091">
              <w:t>. Vnútroštátne kontaktné miesta sú nepretržite k dispozícii.</w:t>
            </w:r>
          </w:p>
        </w:tc>
      </w:tr>
    </w:tbl>
    <w:p w14:paraId="14D42999" w14:textId="3E0DD6DB" w:rsidR="00A25082" w:rsidRPr="00EF6091" w:rsidRDefault="00A25082" w:rsidP="00A25082">
      <w:r w:rsidRPr="00EF6091">
        <w:rPr>
          <w:rStyle w:val="HideTWBExt"/>
          <w:noProof w:val="0"/>
        </w:rPr>
        <w:t>&lt;/Amend&gt;</w:t>
      </w:r>
    </w:p>
    <w:p w14:paraId="21410721" w14:textId="7C3BBDAB" w:rsidR="000440FA" w:rsidRPr="00EF6091" w:rsidRDefault="000440FA" w:rsidP="000440FA">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30</w:t>
      </w:r>
      <w:r w:rsidRPr="00EF6091">
        <w:rPr>
          <w:rStyle w:val="HideTWBExt"/>
          <w:b w:val="0"/>
          <w:noProof w:val="0"/>
        </w:rPr>
        <w:t>&lt;/NumAm&gt;</w:t>
      </w:r>
    </w:p>
    <w:p w14:paraId="56BB4C09" w14:textId="77777777" w:rsidR="000440FA" w:rsidRPr="00EF6091" w:rsidRDefault="000440FA" w:rsidP="000440FA">
      <w:pPr>
        <w:pStyle w:val="NormalBold12b"/>
        <w:keepNext/>
      </w:pPr>
      <w:r w:rsidRPr="00EF6091">
        <w:rPr>
          <w:rStyle w:val="HideTWBExt"/>
          <w:b w:val="0"/>
          <w:noProof w:val="0"/>
        </w:rPr>
        <w:t>&lt;DocAmend&gt;</w:t>
      </w:r>
      <w:r w:rsidRPr="00EF6091">
        <w:t>Návrh nariadenia</w:t>
      </w:r>
      <w:r w:rsidRPr="00EF6091">
        <w:rPr>
          <w:rStyle w:val="HideTWBExt"/>
          <w:b w:val="0"/>
          <w:noProof w:val="0"/>
        </w:rPr>
        <w:t>&lt;/DocAmend&gt;</w:t>
      </w:r>
    </w:p>
    <w:p w14:paraId="6A60E74F" w14:textId="77777777" w:rsidR="000440FA" w:rsidRPr="00EF6091" w:rsidRDefault="000440FA" w:rsidP="000440FA">
      <w:pPr>
        <w:pStyle w:val="NormalBold"/>
      </w:pPr>
      <w:r w:rsidRPr="00EF6091">
        <w:rPr>
          <w:rStyle w:val="HideTWBExt"/>
          <w:b w:val="0"/>
          <w:noProof w:val="0"/>
        </w:rPr>
        <w:t>&lt;Article&gt;</w:t>
      </w:r>
      <w:r w:rsidRPr="00EF6091">
        <w:t>Článok 10 – odsek 1</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40FA" w:rsidRPr="00EF6091" w14:paraId="097A708C" w14:textId="77777777" w:rsidTr="00BC1135">
        <w:trPr>
          <w:jc w:val="center"/>
        </w:trPr>
        <w:tc>
          <w:tcPr>
            <w:tcW w:w="9752" w:type="dxa"/>
            <w:gridSpan w:val="2"/>
          </w:tcPr>
          <w:p w14:paraId="2296AD13" w14:textId="77777777" w:rsidR="000440FA" w:rsidRPr="00EF6091" w:rsidRDefault="000440FA" w:rsidP="00BC1135">
            <w:pPr>
              <w:keepNext/>
            </w:pPr>
          </w:p>
        </w:tc>
      </w:tr>
      <w:tr w:rsidR="000440FA" w:rsidRPr="00EF6091" w14:paraId="2B22ACB5" w14:textId="77777777" w:rsidTr="00BC1135">
        <w:trPr>
          <w:jc w:val="center"/>
        </w:trPr>
        <w:tc>
          <w:tcPr>
            <w:tcW w:w="4876" w:type="dxa"/>
          </w:tcPr>
          <w:p w14:paraId="393C58A4" w14:textId="77777777" w:rsidR="000440FA" w:rsidRPr="00EF6091" w:rsidRDefault="000440FA" w:rsidP="00BC1135">
            <w:pPr>
              <w:pStyle w:val="ColumnHeading"/>
              <w:keepNext/>
            </w:pPr>
            <w:r w:rsidRPr="00EF6091">
              <w:t>Text predložený Komisiou</w:t>
            </w:r>
          </w:p>
        </w:tc>
        <w:tc>
          <w:tcPr>
            <w:tcW w:w="4876" w:type="dxa"/>
          </w:tcPr>
          <w:p w14:paraId="5B2164BE" w14:textId="77777777" w:rsidR="000440FA" w:rsidRPr="00EF6091" w:rsidRDefault="000440FA" w:rsidP="00BC1135">
            <w:pPr>
              <w:pStyle w:val="ColumnHeading"/>
              <w:keepNext/>
            </w:pPr>
            <w:r w:rsidRPr="00EF6091">
              <w:t>Pozmeňujúci návrh</w:t>
            </w:r>
          </w:p>
        </w:tc>
      </w:tr>
      <w:tr w:rsidR="000440FA" w:rsidRPr="00EF6091" w14:paraId="259E95CF" w14:textId="77777777" w:rsidTr="00BC1135">
        <w:trPr>
          <w:jc w:val="center"/>
        </w:trPr>
        <w:tc>
          <w:tcPr>
            <w:tcW w:w="4876" w:type="dxa"/>
          </w:tcPr>
          <w:p w14:paraId="6C4873DE" w14:textId="77777777" w:rsidR="000440FA" w:rsidRPr="00EF6091" w:rsidRDefault="000440FA" w:rsidP="00BC1135">
            <w:pPr>
              <w:pStyle w:val="Normal6"/>
            </w:pPr>
            <w:r w:rsidRPr="00EF6091">
              <w:t>1.</w:t>
            </w:r>
            <w:r w:rsidRPr="00EF6091">
              <w:tab/>
              <w:t>Členské štáty zabezpečia odbornú prípravu pre orgány presadzovania práva, špecialistov prvého zásahu a colné orgány, aby boli tieto pri výkone svojich úloh schopné rozpoznať látky a zmesi, ktoré slúžia ako prekurzory výbušnín, a včas a primerane reagovať na podozrivé činnosti.</w:t>
            </w:r>
          </w:p>
        </w:tc>
        <w:tc>
          <w:tcPr>
            <w:tcW w:w="4876" w:type="dxa"/>
          </w:tcPr>
          <w:p w14:paraId="3291FCDE" w14:textId="77777777" w:rsidR="000440FA" w:rsidRPr="00EF6091" w:rsidRDefault="000440FA" w:rsidP="00BC1135">
            <w:pPr>
              <w:pStyle w:val="Normal6"/>
              <w:rPr>
                <w:szCs w:val="24"/>
              </w:rPr>
            </w:pPr>
            <w:r w:rsidRPr="00EF6091">
              <w:t>1.</w:t>
            </w:r>
            <w:r w:rsidRPr="00EF6091">
              <w:tab/>
              <w:t xml:space="preserve">Členské štáty zabezpečia odbornú prípravu pre orgány presadzovania práva, špecialistov prvého zásahu a colné orgány, aby boli tieto pri výkone svojich úloh schopné rozpoznať látky a zmesi, ktoré slúžia ako prekurzory výbušnín, a včas a primerane reagovať na podozrivé činnosti. </w:t>
            </w:r>
            <w:r w:rsidRPr="00EF6091">
              <w:rPr>
                <w:b/>
                <w:i/>
              </w:rPr>
              <w:t>Členské štáty môžu požiadať Agentúru Európskej únie pre odbornú prípravu v oblasti presadzovania práva (CEPOL) o ďalšiu špecifickú odbornú prípravu.</w:t>
            </w:r>
          </w:p>
        </w:tc>
      </w:tr>
    </w:tbl>
    <w:p w14:paraId="0F2FDBE7" w14:textId="77777777" w:rsidR="00C171D8" w:rsidRPr="00EF6091" w:rsidRDefault="000440FA" w:rsidP="000440FA">
      <w:r w:rsidRPr="00EF6091">
        <w:rPr>
          <w:rStyle w:val="HideTWBExt"/>
          <w:noProof w:val="0"/>
        </w:rPr>
        <w:t>&lt;/Amend&gt;</w:t>
      </w:r>
    </w:p>
    <w:p w14:paraId="29773EA3" w14:textId="5E431073" w:rsidR="00C171D8" w:rsidRPr="00EF6091" w:rsidRDefault="00A25082"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31</w:t>
      </w:r>
      <w:r w:rsidRPr="00EF6091">
        <w:rPr>
          <w:rStyle w:val="HideTWBExt"/>
          <w:b w:val="0"/>
          <w:noProof w:val="0"/>
        </w:rPr>
        <w:t>&lt;/NumAm&gt;</w:t>
      </w:r>
    </w:p>
    <w:p w14:paraId="69980B6E" w14:textId="3A13ECFB" w:rsidR="00A25082" w:rsidRPr="00EF6091" w:rsidRDefault="00A25082" w:rsidP="00C171D8">
      <w:pPr>
        <w:pStyle w:val="NormalBold12b"/>
      </w:pPr>
      <w:r w:rsidRPr="00EF6091">
        <w:rPr>
          <w:rStyle w:val="HideTWBExt"/>
          <w:b w:val="0"/>
          <w:noProof w:val="0"/>
        </w:rPr>
        <w:t>&lt;DocAmend&gt;</w:t>
      </w:r>
      <w:r w:rsidRPr="00EF6091">
        <w:t>Návrh nariadenia</w:t>
      </w:r>
      <w:r w:rsidRPr="00EF6091">
        <w:rPr>
          <w:rStyle w:val="HideTWBExt"/>
          <w:b w:val="0"/>
          <w:noProof w:val="0"/>
        </w:rPr>
        <w:t>&lt;/DocAmend&gt;</w:t>
      </w:r>
    </w:p>
    <w:p w14:paraId="08FB63CA" w14:textId="77777777" w:rsidR="00A25082" w:rsidRPr="00EF6091" w:rsidRDefault="00A25082" w:rsidP="00A25082">
      <w:pPr>
        <w:pStyle w:val="NormalBold"/>
      </w:pPr>
      <w:r w:rsidRPr="00EF6091">
        <w:rPr>
          <w:rStyle w:val="HideTWBExt"/>
          <w:b w:val="0"/>
          <w:noProof w:val="0"/>
        </w:rPr>
        <w:t>&lt;Article&gt;</w:t>
      </w:r>
      <w:r w:rsidRPr="00EF6091">
        <w:t>Článok 10 – odsek 2 a (nový)</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25082" w:rsidRPr="00EF6091" w14:paraId="5DBB34F6" w14:textId="77777777" w:rsidTr="00BC1135">
        <w:trPr>
          <w:jc w:val="center"/>
        </w:trPr>
        <w:tc>
          <w:tcPr>
            <w:tcW w:w="9752" w:type="dxa"/>
            <w:gridSpan w:val="2"/>
          </w:tcPr>
          <w:p w14:paraId="2F2FF448" w14:textId="77777777" w:rsidR="00A25082" w:rsidRPr="00EF6091" w:rsidRDefault="00A25082" w:rsidP="00BC1135">
            <w:pPr>
              <w:keepNext/>
            </w:pPr>
          </w:p>
        </w:tc>
      </w:tr>
      <w:tr w:rsidR="00A25082" w:rsidRPr="00EF6091" w14:paraId="008A4828" w14:textId="77777777" w:rsidTr="00BC1135">
        <w:trPr>
          <w:jc w:val="center"/>
        </w:trPr>
        <w:tc>
          <w:tcPr>
            <w:tcW w:w="4876" w:type="dxa"/>
          </w:tcPr>
          <w:p w14:paraId="71EBB428" w14:textId="77777777" w:rsidR="00A25082" w:rsidRPr="00EF6091" w:rsidRDefault="00A25082" w:rsidP="00BC1135">
            <w:pPr>
              <w:pStyle w:val="ColumnHeading"/>
              <w:keepNext/>
            </w:pPr>
            <w:r w:rsidRPr="00EF6091">
              <w:t>Text predložený Komisiou</w:t>
            </w:r>
          </w:p>
        </w:tc>
        <w:tc>
          <w:tcPr>
            <w:tcW w:w="4876" w:type="dxa"/>
          </w:tcPr>
          <w:p w14:paraId="7A6B46DB" w14:textId="77777777" w:rsidR="00A25082" w:rsidRPr="00EF6091" w:rsidRDefault="00A25082" w:rsidP="00BC1135">
            <w:pPr>
              <w:pStyle w:val="ColumnHeading"/>
              <w:keepNext/>
            </w:pPr>
            <w:r w:rsidRPr="00EF6091">
              <w:t>Pozmeňujúci návrh</w:t>
            </w:r>
          </w:p>
        </w:tc>
      </w:tr>
      <w:tr w:rsidR="00A25082" w:rsidRPr="00EF6091" w14:paraId="6C135E79" w14:textId="77777777" w:rsidTr="00BC1135">
        <w:trPr>
          <w:jc w:val="center"/>
        </w:trPr>
        <w:tc>
          <w:tcPr>
            <w:tcW w:w="4876" w:type="dxa"/>
          </w:tcPr>
          <w:p w14:paraId="53FEDF1A" w14:textId="77777777" w:rsidR="00A25082" w:rsidRPr="00EF6091" w:rsidRDefault="00A25082" w:rsidP="00BC1135">
            <w:pPr>
              <w:pStyle w:val="Normal6"/>
            </w:pPr>
          </w:p>
        </w:tc>
        <w:tc>
          <w:tcPr>
            <w:tcW w:w="4876" w:type="dxa"/>
          </w:tcPr>
          <w:p w14:paraId="73C1C79A" w14:textId="4DDAF520" w:rsidR="00A25082" w:rsidRPr="00EF6091" w:rsidRDefault="00A25082" w:rsidP="00BC1135">
            <w:pPr>
              <w:pStyle w:val="Normal6"/>
              <w:rPr>
                <w:szCs w:val="24"/>
              </w:rPr>
            </w:pPr>
            <w:r w:rsidRPr="00EF6091">
              <w:rPr>
                <w:b/>
                <w:i/>
              </w:rPr>
              <w:t>2a.</w:t>
            </w:r>
            <w:r w:rsidRPr="00EF6091">
              <w:rPr>
                <w:b/>
                <w:i/>
              </w:rPr>
              <w:tab/>
              <w:t>Aby sa uľahčila spolupráca a zabezpečilo sa, aby všetky zainteresované strany účinne vykonávali toto nariadenie, členské štáty zorganizujú pravidelné výmeny medzi orgánmi presadzovania práva, vnútroštátnymi kontrolnými orgánmi, hospodárskymi subjektmi, online trhmi, ktoré pôsobia ako sprostredkovatelia, a zástupcami profesionálnych odvetví, v ktorých sa používajú regulované prekurzory výbušnín. Hospodárske subjekty musia byť zodpovedné za poskytovanie informácií svojim zamestnancom, pokiaľ ide o spôsob sprístupňovania prekurzorov výbušnín podľa tohto nariadenia, a za zvyšovanie povedomia zamestnancov o tejto oblasti.</w:t>
            </w:r>
          </w:p>
        </w:tc>
      </w:tr>
    </w:tbl>
    <w:p w14:paraId="697139A3" w14:textId="3E1C27CA" w:rsidR="00A25082" w:rsidRPr="00EF6091" w:rsidRDefault="00A25082" w:rsidP="00A25082">
      <w:r w:rsidRPr="00EF6091">
        <w:rPr>
          <w:rStyle w:val="HideTWBExt"/>
          <w:noProof w:val="0"/>
        </w:rPr>
        <w:t>&lt;/Amend&gt;</w:t>
      </w:r>
    </w:p>
    <w:p w14:paraId="6D2BB3C6" w14:textId="240A1B4C"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32</w:t>
      </w:r>
      <w:r w:rsidRPr="00EF6091">
        <w:rPr>
          <w:rStyle w:val="HideTWBExt"/>
          <w:noProof w:val="0"/>
        </w:rPr>
        <w:t>&lt;/NumAm&gt;</w:t>
      </w:r>
    </w:p>
    <w:p w14:paraId="409C9CCE"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533857A3" w14:textId="77777777" w:rsidR="00A25082" w:rsidRPr="00EF6091" w:rsidRDefault="00A25082" w:rsidP="00A25082">
      <w:pPr>
        <w:pStyle w:val="NormalBold"/>
      </w:pPr>
      <w:r w:rsidRPr="00EF6091">
        <w:rPr>
          <w:rStyle w:val="HideTWBExt"/>
          <w:noProof w:val="0"/>
        </w:rPr>
        <w:t>&lt;Article&gt;</w:t>
      </w:r>
      <w:r w:rsidRPr="00EF6091">
        <w:t>Článok 12 – odsek 1 – písmeno d a (nové)</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59A658BB" w14:textId="77777777" w:rsidTr="00BC1135">
        <w:trPr>
          <w:trHeight w:hRule="exact" w:val="240"/>
          <w:jc w:val="center"/>
        </w:trPr>
        <w:tc>
          <w:tcPr>
            <w:tcW w:w="9752" w:type="dxa"/>
            <w:gridSpan w:val="2"/>
          </w:tcPr>
          <w:p w14:paraId="3386E906" w14:textId="77777777" w:rsidR="00A25082" w:rsidRPr="00EF6091" w:rsidRDefault="00A25082" w:rsidP="00BC1135"/>
        </w:tc>
      </w:tr>
      <w:tr w:rsidR="00A25082" w:rsidRPr="00EF6091" w14:paraId="7794BB71" w14:textId="77777777" w:rsidTr="00BC1135">
        <w:trPr>
          <w:trHeight w:val="240"/>
          <w:jc w:val="center"/>
        </w:trPr>
        <w:tc>
          <w:tcPr>
            <w:tcW w:w="4876" w:type="dxa"/>
          </w:tcPr>
          <w:p w14:paraId="5DA6D7B2" w14:textId="77777777" w:rsidR="00A25082" w:rsidRPr="00EF6091" w:rsidRDefault="00A25082" w:rsidP="00BC1135">
            <w:pPr>
              <w:pStyle w:val="ColumnHeading"/>
            </w:pPr>
            <w:r w:rsidRPr="00EF6091">
              <w:t>Text predložený Komisiou</w:t>
            </w:r>
          </w:p>
        </w:tc>
        <w:tc>
          <w:tcPr>
            <w:tcW w:w="4876" w:type="dxa"/>
          </w:tcPr>
          <w:p w14:paraId="64ADB8BB" w14:textId="77777777" w:rsidR="00A25082" w:rsidRPr="00EF6091" w:rsidRDefault="00A25082" w:rsidP="00BC1135">
            <w:pPr>
              <w:pStyle w:val="ColumnHeading"/>
            </w:pPr>
            <w:r w:rsidRPr="00EF6091">
              <w:t>Pozmeňujúci návrh</w:t>
            </w:r>
          </w:p>
        </w:tc>
      </w:tr>
      <w:tr w:rsidR="00A25082" w:rsidRPr="00EF6091" w14:paraId="3D77BC46" w14:textId="77777777" w:rsidTr="00BC1135">
        <w:trPr>
          <w:jc w:val="center"/>
        </w:trPr>
        <w:tc>
          <w:tcPr>
            <w:tcW w:w="4876" w:type="dxa"/>
          </w:tcPr>
          <w:p w14:paraId="1FE7D244" w14:textId="77777777" w:rsidR="00A25082" w:rsidRPr="00EF6091" w:rsidRDefault="00A25082" w:rsidP="00BC1135">
            <w:pPr>
              <w:pStyle w:val="Normal6"/>
            </w:pPr>
          </w:p>
        </w:tc>
        <w:tc>
          <w:tcPr>
            <w:tcW w:w="4876" w:type="dxa"/>
          </w:tcPr>
          <w:p w14:paraId="1B7A4A0E" w14:textId="77777777" w:rsidR="00A25082" w:rsidRPr="00EF6091" w:rsidRDefault="00A25082" w:rsidP="00BC1135">
            <w:pPr>
              <w:pStyle w:val="Normal6"/>
            </w:pPr>
            <w:r w:rsidRPr="00EF6091">
              <w:rPr>
                <w:b/>
                <w:i/>
              </w:rPr>
              <w:t>da)</w:t>
            </w:r>
            <w:r w:rsidRPr="00EF6091">
              <w:tab/>
            </w:r>
            <w:r w:rsidRPr="00EF6091">
              <w:rPr>
                <w:b/>
                <w:i/>
              </w:rPr>
              <w:t>informácie o tom, ako rozpoznať a nahlásiť podozrivé transakcie;</w:t>
            </w:r>
          </w:p>
        </w:tc>
      </w:tr>
    </w:tbl>
    <w:p w14:paraId="6A9F79EA" w14:textId="357EA452" w:rsidR="00A25082" w:rsidRPr="00EF6091" w:rsidRDefault="00A25082" w:rsidP="00A25082">
      <w:r w:rsidRPr="00EF6091">
        <w:rPr>
          <w:rStyle w:val="HideTWBExt"/>
          <w:noProof w:val="0"/>
        </w:rPr>
        <w:t>&lt;/Amend&gt;</w:t>
      </w:r>
    </w:p>
    <w:p w14:paraId="6146AEE4" w14:textId="713A7C12"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33</w:t>
      </w:r>
      <w:r w:rsidRPr="00EF6091">
        <w:rPr>
          <w:rStyle w:val="HideTWBExt"/>
          <w:noProof w:val="0"/>
        </w:rPr>
        <w:t>&lt;/NumAm&gt;</w:t>
      </w:r>
    </w:p>
    <w:p w14:paraId="6FB03F89"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578269C6" w14:textId="77777777" w:rsidR="00A25082" w:rsidRPr="00EF6091" w:rsidRDefault="00A25082" w:rsidP="00A25082">
      <w:pPr>
        <w:pStyle w:val="NormalBold"/>
      </w:pPr>
      <w:r w:rsidRPr="00EF6091">
        <w:rPr>
          <w:rStyle w:val="HideTWBExt"/>
          <w:noProof w:val="0"/>
        </w:rPr>
        <w:t>&lt;Article&gt;</w:t>
      </w:r>
      <w:r w:rsidRPr="00EF6091">
        <w:t>Článok 12 – odsek 1 – písmeno d b (nové)</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1C97A100" w14:textId="77777777" w:rsidTr="00BC1135">
        <w:trPr>
          <w:trHeight w:hRule="exact" w:val="240"/>
          <w:jc w:val="center"/>
        </w:trPr>
        <w:tc>
          <w:tcPr>
            <w:tcW w:w="9752" w:type="dxa"/>
            <w:gridSpan w:val="2"/>
          </w:tcPr>
          <w:p w14:paraId="4120A646" w14:textId="77777777" w:rsidR="00A25082" w:rsidRPr="00EF6091" w:rsidRDefault="00A25082" w:rsidP="00BC1135"/>
        </w:tc>
      </w:tr>
      <w:tr w:rsidR="00A25082" w:rsidRPr="00EF6091" w14:paraId="16228265" w14:textId="77777777" w:rsidTr="00BC1135">
        <w:trPr>
          <w:trHeight w:val="240"/>
          <w:jc w:val="center"/>
        </w:trPr>
        <w:tc>
          <w:tcPr>
            <w:tcW w:w="4876" w:type="dxa"/>
          </w:tcPr>
          <w:p w14:paraId="0008411D" w14:textId="77777777" w:rsidR="00A25082" w:rsidRPr="00EF6091" w:rsidRDefault="00A25082" w:rsidP="00BC1135">
            <w:pPr>
              <w:pStyle w:val="ColumnHeading"/>
            </w:pPr>
            <w:r w:rsidRPr="00EF6091">
              <w:t>Text predložený Komisiou</w:t>
            </w:r>
          </w:p>
        </w:tc>
        <w:tc>
          <w:tcPr>
            <w:tcW w:w="4876" w:type="dxa"/>
          </w:tcPr>
          <w:p w14:paraId="57B6AD48" w14:textId="77777777" w:rsidR="00A25082" w:rsidRPr="00EF6091" w:rsidRDefault="00A25082" w:rsidP="00BC1135">
            <w:pPr>
              <w:pStyle w:val="ColumnHeading"/>
            </w:pPr>
            <w:r w:rsidRPr="00EF6091">
              <w:t>Pozmeňujúci návrh</w:t>
            </w:r>
          </w:p>
        </w:tc>
      </w:tr>
      <w:tr w:rsidR="00A25082" w:rsidRPr="00EF6091" w14:paraId="0433BB49" w14:textId="77777777" w:rsidTr="00BC1135">
        <w:trPr>
          <w:jc w:val="center"/>
        </w:trPr>
        <w:tc>
          <w:tcPr>
            <w:tcW w:w="4876" w:type="dxa"/>
          </w:tcPr>
          <w:p w14:paraId="44F118A2" w14:textId="77777777" w:rsidR="00A25082" w:rsidRPr="00EF6091" w:rsidRDefault="00A25082" w:rsidP="00BC1135">
            <w:pPr>
              <w:pStyle w:val="Normal6"/>
            </w:pPr>
          </w:p>
        </w:tc>
        <w:tc>
          <w:tcPr>
            <w:tcW w:w="4876" w:type="dxa"/>
          </w:tcPr>
          <w:p w14:paraId="704AE4AD" w14:textId="77777777" w:rsidR="00A25082" w:rsidRPr="00EF6091" w:rsidRDefault="00A25082" w:rsidP="00BC1135">
            <w:pPr>
              <w:pStyle w:val="Normal6"/>
            </w:pPr>
            <w:r w:rsidRPr="00EF6091">
              <w:rPr>
                <w:b/>
                <w:i/>
              </w:rPr>
              <w:t>db)</w:t>
            </w:r>
            <w:r w:rsidRPr="00EF6091">
              <w:tab/>
            </w:r>
            <w:r w:rsidRPr="00EF6091">
              <w:rPr>
                <w:b/>
                <w:i/>
              </w:rPr>
              <w:t>informácie o opatreniach týkajúcich sa skladovania, ktoré zabezpečia, aby sa obmedzený prekurzor výbušnín bezpečne uchovával;</w:t>
            </w:r>
          </w:p>
        </w:tc>
      </w:tr>
    </w:tbl>
    <w:p w14:paraId="58CCF517" w14:textId="4FA48B80" w:rsidR="00A25082" w:rsidRPr="00EF6091" w:rsidRDefault="00A25082" w:rsidP="00A25082">
      <w:r w:rsidRPr="00EF6091">
        <w:rPr>
          <w:rStyle w:val="HideTWBExt"/>
          <w:noProof w:val="0"/>
        </w:rPr>
        <w:t>&lt;/Amend&gt;</w:t>
      </w:r>
    </w:p>
    <w:p w14:paraId="489DB63A" w14:textId="59A134B9"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34</w:t>
      </w:r>
      <w:r w:rsidRPr="00EF6091">
        <w:rPr>
          <w:rStyle w:val="HideTWBExt"/>
          <w:noProof w:val="0"/>
        </w:rPr>
        <w:t>&lt;/NumAm&gt;</w:t>
      </w:r>
    </w:p>
    <w:p w14:paraId="6564A4F0"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61186B2B" w14:textId="77777777" w:rsidR="00A25082" w:rsidRPr="00EF6091" w:rsidRDefault="00A25082" w:rsidP="00A25082">
      <w:pPr>
        <w:pStyle w:val="NormalBold"/>
      </w:pPr>
      <w:r w:rsidRPr="00EF6091">
        <w:rPr>
          <w:rStyle w:val="HideTWBExt"/>
          <w:noProof w:val="0"/>
        </w:rPr>
        <w:t>&lt;Article&gt;</w:t>
      </w:r>
      <w:r w:rsidRPr="00EF6091">
        <w:t>Článok 12 – odsek 2 a (nový)</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6A58F567" w14:textId="77777777" w:rsidTr="00BC1135">
        <w:trPr>
          <w:trHeight w:hRule="exact" w:val="240"/>
          <w:jc w:val="center"/>
        </w:trPr>
        <w:tc>
          <w:tcPr>
            <w:tcW w:w="9752" w:type="dxa"/>
            <w:gridSpan w:val="2"/>
          </w:tcPr>
          <w:p w14:paraId="00D4449D" w14:textId="77777777" w:rsidR="00A25082" w:rsidRPr="00EF6091" w:rsidRDefault="00A25082" w:rsidP="00BC1135"/>
        </w:tc>
      </w:tr>
      <w:tr w:rsidR="00A25082" w:rsidRPr="00EF6091" w14:paraId="4F5DDB2D" w14:textId="77777777" w:rsidTr="00BC1135">
        <w:trPr>
          <w:trHeight w:val="240"/>
          <w:jc w:val="center"/>
        </w:trPr>
        <w:tc>
          <w:tcPr>
            <w:tcW w:w="4876" w:type="dxa"/>
          </w:tcPr>
          <w:p w14:paraId="71CB5D5D" w14:textId="77777777" w:rsidR="00A25082" w:rsidRPr="00EF6091" w:rsidRDefault="00A25082" w:rsidP="00BC1135">
            <w:pPr>
              <w:pStyle w:val="ColumnHeading"/>
            </w:pPr>
            <w:r w:rsidRPr="00EF6091">
              <w:t>Text predložený Komisiou</w:t>
            </w:r>
          </w:p>
        </w:tc>
        <w:tc>
          <w:tcPr>
            <w:tcW w:w="4876" w:type="dxa"/>
          </w:tcPr>
          <w:p w14:paraId="21C9A223" w14:textId="77777777" w:rsidR="00A25082" w:rsidRPr="00EF6091" w:rsidRDefault="00A25082" w:rsidP="00BC1135">
            <w:pPr>
              <w:pStyle w:val="ColumnHeading"/>
            </w:pPr>
            <w:r w:rsidRPr="00EF6091">
              <w:t>Pozmeňujúci návrh</w:t>
            </w:r>
          </w:p>
        </w:tc>
      </w:tr>
      <w:tr w:rsidR="00A25082" w:rsidRPr="00EF6091" w14:paraId="568A291C" w14:textId="77777777" w:rsidTr="00BC1135">
        <w:trPr>
          <w:jc w:val="center"/>
        </w:trPr>
        <w:tc>
          <w:tcPr>
            <w:tcW w:w="4876" w:type="dxa"/>
          </w:tcPr>
          <w:p w14:paraId="5EAE2B9B" w14:textId="77777777" w:rsidR="00A25082" w:rsidRPr="00EF6091" w:rsidRDefault="00A25082" w:rsidP="00BC1135">
            <w:pPr>
              <w:pStyle w:val="Normal6"/>
            </w:pPr>
          </w:p>
        </w:tc>
        <w:tc>
          <w:tcPr>
            <w:tcW w:w="4876" w:type="dxa"/>
          </w:tcPr>
          <w:p w14:paraId="5ACBC67A" w14:textId="18707866" w:rsidR="00A25082" w:rsidRPr="00EF6091" w:rsidRDefault="00A25082" w:rsidP="00FE3310">
            <w:pPr>
              <w:pStyle w:val="Normal6"/>
            </w:pPr>
            <w:r w:rsidRPr="00EF6091">
              <w:rPr>
                <w:b/>
                <w:i/>
              </w:rPr>
              <w:t>2a.</w:t>
            </w:r>
            <w:r w:rsidRPr="00EF6091">
              <w:tab/>
            </w:r>
            <w:r w:rsidRPr="00EF6091">
              <w:rPr>
                <w:b/>
                <w:i/>
              </w:rPr>
              <w:t>Komisia zabezpečí, aby usmernenia stanovené v odseku 1 boli dostupné vo všetkých úradných jazykoch Únie.</w:t>
            </w:r>
          </w:p>
        </w:tc>
      </w:tr>
    </w:tbl>
    <w:p w14:paraId="3103F51B" w14:textId="0D57FB81" w:rsidR="00A25082" w:rsidRPr="00EF6091" w:rsidRDefault="00A25082" w:rsidP="00A25082">
      <w:r w:rsidRPr="00EF6091">
        <w:rPr>
          <w:rStyle w:val="HideTWBExt"/>
          <w:noProof w:val="0"/>
        </w:rPr>
        <w:t>&lt;/Amend&gt;</w:t>
      </w:r>
    </w:p>
    <w:p w14:paraId="58E84A69" w14:textId="0CC35D20"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35</w:t>
      </w:r>
      <w:r w:rsidRPr="00EF6091">
        <w:rPr>
          <w:rStyle w:val="HideTWBExt"/>
          <w:noProof w:val="0"/>
        </w:rPr>
        <w:t>&lt;/NumAm&gt;</w:t>
      </w:r>
    </w:p>
    <w:p w14:paraId="627B90C8"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396E456A" w14:textId="77777777" w:rsidR="00A25082" w:rsidRPr="00EF6091" w:rsidRDefault="00A25082" w:rsidP="00A25082">
      <w:pPr>
        <w:pStyle w:val="NormalBold"/>
      </w:pPr>
      <w:r w:rsidRPr="00EF6091">
        <w:rPr>
          <w:rStyle w:val="HideTWBExt"/>
          <w:noProof w:val="0"/>
        </w:rPr>
        <w:t>&lt;Article&gt;</w:t>
      </w:r>
      <w:r w:rsidRPr="00EF6091">
        <w:t>Článok 14 – odsek 4 a (nový)</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30B326A4" w14:textId="77777777" w:rsidTr="00BC1135">
        <w:trPr>
          <w:trHeight w:hRule="exact" w:val="240"/>
          <w:jc w:val="center"/>
        </w:trPr>
        <w:tc>
          <w:tcPr>
            <w:tcW w:w="9752" w:type="dxa"/>
            <w:gridSpan w:val="2"/>
          </w:tcPr>
          <w:p w14:paraId="5669B78B" w14:textId="77777777" w:rsidR="00A25082" w:rsidRPr="00EF6091" w:rsidRDefault="00A25082" w:rsidP="00BC1135"/>
        </w:tc>
      </w:tr>
      <w:tr w:rsidR="00A25082" w:rsidRPr="00EF6091" w14:paraId="651EF2FA" w14:textId="77777777" w:rsidTr="00BC1135">
        <w:trPr>
          <w:trHeight w:val="240"/>
          <w:jc w:val="center"/>
        </w:trPr>
        <w:tc>
          <w:tcPr>
            <w:tcW w:w="4876" w:type="dxa"/>
          </w:tcPr>
          <w:p w14:paraId="63DE1E91" w14:textId="77777777" w:rsidR="00A25082" w:rsidRPr="00EF6091" w:rsidRDefault="00A25082" w:rsidP="00BC1135">
            <w:pPr>
              <w:pStyle w:val="ColumnHeading"/>
            </w:pPr>
            <w:r w:rsidRPr="00EF6091">
              <w:t>Text predložený Komisiou</w:t>
            </w:r>
          </w:p>
        </w:tc>
        <w:tc>
          <w:tcPr>
            <w:tcW w:w="4876" w:type="dxa"/>
          </w:tcPr>
          <w:p w14:paraId="5B479B55" w14:textId="77777777" w:rsidR="00A25082" w:rsidRPr="00EF6091" w:rsidRDefault="00A25082" w:rsidP="00BC1135">
            <w:pPr>
              <w:pStyle w:val="ColumnHeading"/>
            </w:pPr>
            <w:r w:rsidRPr="00EF6091">
              <w:t>Pozmeňujúci návrh</w:t>
            </w:r>
          </w:p>
        </w:tc>
      </w:tr>
      <w:tr w:rsidR="00A25082" w:rsidRPr="00EF6091" w14:paraId="31AAEC3C" w14:textId="77777777" w:rsidTr="00BC1135">
        <w:trPr>
          <w:jc w:val="center"/>
        </w:trPr>
        <w:tc>
          <w:tcPr>
            <w:tcW w:w="4876" w:type="dxa"/>
          </w:tcPr>
          <w:p w14:paraId="6F5C5E9F" w14:textId="77777777" w:rsidR="00A25082" w:rsidRPr="00EF6091" w:rsidRDefault="00A25082" w:rsidP="00BC1135">
            <w:pPr>
              <w:pStyle w:val="Normal6"/>
            </w:pPr>
          </w:p>
        </w:tc>
        <w:tc>
          <w:tcPr>
            <w:tcW w:w="4876" w:type="dxa"/>
          </w:tcPr>
          <w:p w14:paraId="45A6F8FD" w14:textId="2BA97242" w:rsidR="00A25082" w:rsidRPr="00EF6091" w:rsidRDefault="00A25082" w:rsidP="00ED53D1">
            <w:pPr>
              <w:pStyle w:val="Normal6"/>
            </w:pPr>
            <w:r w:rsidRPr="00EF6091">
              <w:rPr>
                <w:b/>
                <w:i/>
              </w:rPr>
              <w:t>4a.</w:t>
            </w:r>
            <w:r w:rsidRPr="00EF6091">
              <w:tab/>
            </w:r>
            <w:r w:rsidRPr="00EF6091">
              <w:rPr>
                <w:b/>
                <w:i/>
              </w:rPr>
              <w:t>Vnútroštátne kontaktné miesto členského štátu, ktorý obmedzí alebo zakáže látku v súlade s odsekom 1, 2 alebo 3, o týchto obmedzeniach alebo zákazoch informuje hospodárske subjekty a online trhy pôsobiace ako sprostredkovatelia na území tohto členské štátu.</w:t>
            </w:r>
          </w:p>
        </w:tc>
      </w:tr>
    </w:tbl>
    <w:p w14:paraId="4786DB8D" w14:textId="053589F9" w:rsidR="00A25082" w:rsidRPr="00EF6091" w:rsidRDefault="00A25082" w:rsidP="00A25082">
      <w:r w:rsidRPr="00EF6091">
        <w:rPr>
          <w:rStyle w:val="HideTWBExt"/>
          <w:noProof w:val="0"/>
        </w:rPr>
        <w:t>&lt;/Amend&gt;</w:t>
      </w:r>
    </w:p>
    <w:p w14:paraId="7570039E" w14:textId="410A9619" w:rsidR="00A25082" w:rsidRPr="00EF6091" w:rsidRDefault="00A25082" w:rsidP="00A25082">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36</w:t>
      </w:r>
      <w:r w:rsidRPr="00EF6091">
        <w:rPr>
          <w:rStyle w:val="HideTWBExt"/>
          <w:noProof w:val="0"/>
        </w:rPr>
        <w:t>&lt;/NumAm&gt;</w:t>
      </w:r>
    </w:p>
    <w:p w14:paraId="6547B5B0" w14:textId="77777777" w:rsidR="00A25082" w:rsidRPr="00EF6091" w:rsidRDefault="00A25082" w:rsidP="00A25082">
      <w:pPr>
        <w:pStyle w:val="NormalBold12b"/>
      </w:pPr>
      <w:r w:rsidRPr="00EF6091">
        <w:rPr>
          <w:rStyle w:val="HideTWBExt"/>
          <w:noProof w:val="0"/>
        </w:rPr>
        <w:t>&lt;DocAmend&gt;</w:t>
      </w:r>
      <w:r w:rsidRPr="00EF6091">
        <w:t>Návrh nariadenia</w:t>
      </w:r>
      <w:r w:rsidRPr="00EF6091">
        <w:rPr>
          <w:rStyle w:val="HideTWBExt"/>
          <w:noProof w:val="0"/>
        </w:rPr>
        <w:t>&lt;/DocAmend&gt;</w:t>
      </w:r>
    </w:p>
    <w:p w14:paraId="0B12135B" w14:textId="77777777" w:rsidR="00A25082" w:rsidRPr="00EF6091" w:rsidRDefault="00A25082" w:rsidP="00A25082">
      <w:pPr>
        <w:pStyle w:val="NormalBold"/>
      </w:pPr>
      <w:r w:rsidRPr="00EF6091">
        <w:rPr>
          <w:rStyle w:val="HideTWBExt"/>
          <w:noProof w:val="0"/>
        </w:rPr>
        <w:t>&lt;Article&gt;</w:t>
      </w:r>
      <w:r w:rsidRPr="00EF6091">
        <w:t>Článok 14 – odsek 6</w:t>
      </w:r>
      <w:r w:rsidRPr="00EF609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082" w:rsidRPr="00EF6091" w14:paraId="14C80A43" w14:textId="77777777" w:rsidTr="00BC1135">
        <w:trPr>
          <w:trHeight w:hRule="exact" w:val="240"/>
          <w:jc w:val="center"/>
        </w:trPr>
        <w:tc>
          <w:tcPr>
            <w:tcW w:w="9752" w:type="dxa"/>
            <w:gridSpan w:val="2"/>
          </w:tcPr>
          <w:p w14:paraId="4F7D4B8C" w14:textId="77777777" w:rsidR="00A25082" w:rsidRPr="00EF6091" w:rsidRDefault="00A25082" w:rsidP="00BC1135"/>
        </w:tc>
      </w:tr>
      <w:tr w:rsidR="00A25082" w:rsidRPr="00EF6091" w14:paraId="0E72FC8D" w14:textId="77777777" w:rsidTr="00BC1135">
        <w:trPr>
          <w:trHeight w:val="240"/>
          <w:jc w:val="center"/>
        </w:trPr>
        <w:tc>
          <w:tcPr>
            <w:tcW w:w="4876" w:type="dxa"/>
          </w:tcPr>
          <w:p w14:paraId="593E5BFE" w14:textId="77777777" w:rsidR="00A25082" w:rsidRPr="00EF6091" w:rsidRDefault="00A25082" w:rsidP="00BC1135">
            <w:pPr>
              <w:pStyle w:val="ColumnHeading"/>
            </w:pPr>
            <w:r w:rsidRPr="00EF6091">
              <w:t>Text predložený Komisiou</w:t>
            </w:r>
          </w:p>
        </w:tc>
        <w:tc>
          <w:tcPr>
            <w:tcW w:w="4876" w:type="dxa"/>
          </w:tcPr>
          <w:p w14:paraId="485C0D31" w14:textId="77777777" w:rsidR="00A25082" w:rsidRPr="00EF6091" w:rsidRDefault="00A25082" w:rsidP="00BC1135">
            <w:pPr>
              <w:pStyle w:val="ColumnHeading"/>
            </w:pPr>
            <w:r w:rsidRPr="00EF6091">
              <w:t>Pozmeňujúci návrh</w:t>
            </w:r>
          </w:p>
        </w:tc>
      </w:tr>
      <w:tr w:rsidR="00A25082" w:rsidRPr="00EF6091" w14:paraId="0F26D145" w14:textId="77777777" w:rsidTr="00BC1135">
        <w:trPr>
          <w:jc w:val="center"/>
        </w:trPr>
        <w:tc>
          <w:tcPr>
            <w:tcW w:w="4876" w:type="dxa"/>
          </w:tcPr>
          <w:p w14:paraId="6C4F6857" w14:textId="77777777" w:rsidR="00A25082" w:rsidRPr="00EF6091" w:rsidRDefault="00A25082" w:rsidP="00BC1135">
            <w:pPr>
              <w:pStyle w:val="Normal6"/>
            </w:pPr>
            <w:r w:rsidRPr="00EF6091">
              <w:t>6.</w:t>
            </w:r>
            <w:r w:rsidRPr="00EF6091">
              <w:tab/>
              <w:t>Bez toho, aby bol dotknutý odsek 5, Komisia môže po konzultácii s členským štátom a v prípade potreby s tretími stranami rozhodnúť, že opatrenie prijaté členským štátom nie je odôvodnené a môže požiadať členský štát, aby ho zrušil.</w:t>
            </w:r>
          </w:p>
        </w:tc>
        <w:tc>
          <w:tcPr>
            <w:tcW w:w="4876" w:type="dxa"/>
          </w:tcPr>
          <w:p w14:paraId="3D62B782" w14:textId="34171EEC" w:rsidR="00A25082" w:rsidRPr="00EF6091" w:rsidRDefault="00A25082" w:rsidP="00ED53D1">
            <w:pPr>
              <w:pStyle w:val="Normal6"/>
            </w:pPr>
            <w:r w:rsidRPr="00EF6091">
              <w:t>6.</w:t>
            </w:r>
            <w:r w:rsidRPr="00EF6091">
              <w:tab/>
              <w:t xml:space="preserve">Bez toho, aby bol dotknutý odsek 5, Komisia môže po konzultácii s členským štátom a v prípade potreby s tretími stranami rozhodnúť, že opatrenie prijaté členským štátom nie je odôvodnené a môže požiadať členský štát, aby ho zrušil. </w:t>
            </w:r>
            <w:r w:rsidRPr="00EF6091">
              <w:rPr>
                <w:b/>
                <w:i/>
              </w:rPr>
              <w:t>Vnútroštátne kontaktné miesto dotknutého členského štátu o tomto rozhodnutí informuje hospodárske subjekty a online trhy pôsobiace ako sprostredkovatelia na území tohto členského štátu.</w:t>
            </w:r>
          </w:p>
        </w:tc>
      </w:tr>
    </w:tbl>
    <w:p w14:paraId="1FFDD0B1" w14:textId="5F36EBC7" w:rsidR="00A25082" w:rsidRPr="00EF6091" w:rsidRDefault="00A25082" w:rsidP="00A25082">
      <w:r w:rsidRPr="00EF6091">
        <w:rPr>
          <w:rStyle w:val="HideTWBExt"/>
          <w:noProof w:val="0"/>
        </w:rPr>
        <w:t>&lt;/Amend&gt;</w:t>
      </w:r>
    </w:p>
    <w:p w14:paraId="4D669050" w14:textId="6DAC3181" w:rsidR="00281D6C" w:rsidRPr="00EF6091" w:rsidRDefault="00281D6C" w:rsidP="00281D6C">
      <w:pPr>
        <w:pStyle w:val="AMNumberTabs"/>
      </w:pPr>
      <w:r w:rsidRPr="00EF6091">
        <w:rPr>
          <w:rStyle w:val="HideTWBExt"/>
          <w:noProof w:val="0"/>
        </w:rPr>
        <w:t>&lt;Amend&gt;</w:t>
      </w:r>
      <w:r w:rsidRPr="00EF6091">
        <w:t>Pozmeňujúci návrh</w:t>
      </w:r>
      <w:r w:rsidRPr="00EF6091">
        <w:tab/>
      </w:r>
      <w:r w:rsidRPr="00EF6091">
        <w:tab/>
      </w:r>
      <w:r w:rsidRPr="00EF6091">
        <w:rPr>
          <w:rStyle w:val="HideTWBExt"/>
          <w:noProof w:val="0"/>
        </w:rPr>
        <w:t>&lt;NumAm&gt;</w:t>
      </w:r>
      <w:r w:rsidRPr="00EF6091">
        <w:t>37</w:t>
      </w:r>
      <w:r w:rsidRPr="00EF6091">
        <w:rPr>
          <w:rStyle w:val="HideTWBExt"/>
          <w:noProof w:val="0"/>
        </w:rPr>
        <w:t>&lt;/NumAm&gt;</w:t>
      </w:r>
    </w:p>
    <w:p w14:paraId="72BB1CA2" w14:textId="77777777" w:rsidR="00281D6C" w:rsidRPr="00EF6091" w:rsidRDefault="00281D6C" w:rsidP="00281D6C">
      <w:pPr>
        <w:pStyle w:val="NormalBold12b"/>
      </w:pPr>
      <w:r w:rsidRPr="00EF6091">
        <w:rPr>
          <w:rStyle w:val="HideTWBExt"/>
          <w:noProof w:val="0"/>
        </w:rPr>
        <w:t>&lt;DocAmend&gt;</w:t>
      </w:r>
      <w:r w:rsidRPr="00EF6091">
        <w:t>Návrh nariadenia</w:t>
      </w:r>
      <w:r w:rsidRPr="00EF6091">
        <w:rPr>
          <w:rStyle w:val="HideTWBExt"/>
          <w:noProof w:val="0"/>
        </w:rPr>
        <w:t>&lt;/DocAmend&gt;</w:t>
      </w:r>
    </w:p>
    <w:p w14:paraId="7812CAFA" w14:textId="77777777" w:rsidR="00281D6C" w:rsidRPr="00EF6091" w:rsidRDefault="00281D6C" w:rsidP="00281D6C">
      <w:pPr>
        <w:pStyle w:val="NormalBold"/>
      </w:pPr>
      <w:r w:rsidRPr="00EF6091">
        <w:rPr>
          <w:rStyle w:val="HideTWBExt"/>
          <w:b w:val="0"/>
          <w:noProof w:val="0"/>
        </w:rPr>
        <w:t>&lt;Article&gt;</w:t>
      </w:r>
      <w:r w:rsidRPr="00EF6091">
        <w:t>Článok 22 – odsek 1</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81D6C" w:rsidRPr="00EF6091" w14:paraId="531B2D84" w14:textId="77777777" w:rsidTr="001566F4">
        <w:trPr>
          <w:jc w:val="center"/>
        </w:trPr>
        <w:tc>
          <w:tcPr>
            <w:tcW w:w="9752" w:type="dxa"/>
            <w:gridSpan w:val="2"/>
          </w:tcPr>
          <w:p w14:paraId="0401C625" w14:textId="77777777" w:rsidR="00281D6C" w:rsidRPr="00EF6091" w:rsidRDefault="00281D6C" w:rsidP="001566F4">
            <w:pPr>
              <w:keepNext/>
            </w:pPr>
          </w:p>
        </w:tc>
      </w:tr>
      <w:tr w:rsidR="00281D6C" w:rsidRPr="00EF6091" w14:paraId="54E035D0" w14:textId="77777777" w:rsidTr="001566F4">
        <w:trPr>
          <w:jc w:val="center"/>
        </w:trPr>
        <w:tc>
          <w:tcPr>
            <w:tcW w:w="4876" w:type="dxa"/>
          </w:tcPr>
          <w:p w14:paraId="54AE0402" w14:textId="77777777" w:rsidR="00281D6C" w:rsidRPr="00EF6091" w:rsidRDefault="00281D6C" w:rsidP="001566F4">
            <w:pPr>
              <w:pStyle w:val="ColumnHeading"/>
              <w:keepNext/>
            </w:pPr>
            <w:r w:rsidRPr="00EF6091">
              <w:t>Text predložený Komisiou</w:t>
            </w:r>
          </w:p>
        </w:tc>
        <w:tc>
          <w:tcPr>
            <w:tcW w:w="4876" w:type="dxa"/>
          </w:tcPr>
          <w:p w14:paraId="32DC9F83" w14:textId="77777777" w:rsidR="00281D6C" w:rsidRPr="00EF6091" w:rsidRDefault="00281D6C" w:rsidP="001566F4">
            <w:pPr>
              <w:pStyle w:val="ColumnHeading"/>
              <w:keepNext/>
            </w:pPr>
            <w:r w:rsidRPr="00EF6091">
              <w:t>Pozmeňujúci návrh</w:t>
            </w:r>
          </w:p>
        </w:tc>
      </w:tr>
      <w:tr w:rsidR="00281D6C" w:rsidRPr="00EF6091" w14:paraId="50B65C6E" w14:textId="77777777" w:rsidTr="001566F4">
        <w:trPr>
          <w:jc w:val="center"/>
        </w:trPr>
        <w:tc>
          <w:tcPr>
            <w:tcW w:w="4876" w:type="dxa"/>
          </w:tcPr>
          <w:p w14:paraId="387D4282" w14:textId="77777777" w:rsidR="00281D6C" w:rsidRPr="00EF6091" w:rsidRDefault="00281D6C" w:rsidP="001566F4">
            <w:pPr>
              <w:pStyle w:val="Normal6"/>
            </w:pPr>
            <w:r w:rsidRPr="00EF6091">
              <w:rPr>
                <w:b/>
                <w:i/>
              </w:rPr>
              <w:t>Najskôr [po šiestich rokoch</w:t>
            </w:r>
            <w:r w:rsidRPr="00EF6091">
              <w:t xml:space="preserve"> odo dňa </w:t>
            </w:r>
            <w:r w:rsidRPr="00EF6091">
              <w:rPr>
                <w:b/>
                <w:i/>
              </w:rPr>
              <w:t>začatia uplatňovania</w:t>
            </w:r>
            <w:r w:rsidRPr="00EF6091">
              <w:t xml:space="preserve"> tohto nariadenia] Komisia vykoná posúdenie tohto nariadenia a predloží správu o hlavných zisteniach Európskemu parlamentu, Rade a Európskemu hospodárskemu a sociálnemu výboru. Hodnotenie sa uskutoční podľa usmernení Komisie pre lepšiu právnu reguláciu.</w:t>
            </w:r>
          </w:p>
        </w:tc>
        <w:tc>
          <w:tcPr>
            <w:tcW w:w="4876" w:type="dxa"/>
          </w:tcPr>
          <w:p w14:paraId="386D35D1" w14:textId="77777777" w:rsidR="00281D6C" w:rsidRPr="00EF6091" w:rsidRDefault="00281D6C" w:rsidP="001566F4">
            <w:pPr>
              <w:pStyle w:val="Normal6"/>
              <w:rPr>
                <w:szCs w:val="24"/>
              </w:rPr>
            </w:pPr>
            <w:r w:rsidRPr="00EF6091">
              <w:rPr>
                <w:b/>
                <w:i/>
              </w:rPr>
              <w:t>Do ... [štyroch rokov</w:t>
            </w:r>
            <w:r w:rsidRPr="00EF6091">
              <w:t xml:space="preserve"> odo dňa </w:t>
            </w:r>
            <w:r w:rsidRPr="00EF6091">
              <w:rPr>
                <w:b/>
                <w:i/>
              </w:rPr>
              <w:t>nadobudnutia účinnosti</w:t>
            </w:r>
            <w:r w:rsidRPr="00EF6091">
              <w:t xml:space="preserve"> tohto nariadenia] Komisia vykoná posúdenie tohto nariadenia a predloží správu o hlavných zisteniach Európskemu parlamentu, Rade a Európskemu hospodárskemu a sociálnemu výboru. Hodnotenie sa uskutoční podľa usmernení Komisie pre lepšiu právnu reguláciu.</w:t>
            </w:r>
          </w:p>
        </w:tc>
      </w:tr>
    </w:tbl>
    <w:p w14:paraId="7FA6BBB2" w14:textId="533E7CEC" w:rsidR="00A25082" w:rsidRPr="00EF6091" w:rsidRDefault="00281D6C" w:rsidP="00A25082">
      <w:r w:rsidRPr="00EF6091">
        <w:rPr>
          <w:rStyle w:val="HideTWBExt"/>
          <w:noProof w:val="0"/>
        </w:rPr>
        <w:t>&lt;/Amend&gt;</w:t>
      </w:r>
    </w:p>
    <w:p w14:paraId="674EC6CA" w14:textId="12F942BB" w:rsidR="00C171D8" w:rsidRPr="00EF6091" w:rsidRDefault="00A25082"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38</w:t>
      </w:r>
      <w:r w:rsidRPr="00EF6091">
        <w:rPr>
          <w:rStyle w:val="HideTWBExt"/>
          <w:b w:val="0"/>
          <w:noProof w:val="0"/>
        </w:rPr>
        <w:t>&lt;/NumAm&gt;</w:t>
      </w:r>
    </w:p>
    <w:p w14:paraId="169E0324" w14:textId="1A847A26" w:rsidR="00A25082" w:rsidRPr="00EF6091" w:rsidRDefault="00A25082" w:rsidP="00C171D8">
      <w:pPr>
        <w:pStyle w:val="NormalBold12b"/>
      </w:pPr>
      <w:r w:rsidRPr="00EF6091">
        <w:rPr>
          <w:rStyle w:val="HideTWBExt"/>
          <w:b w:val="0"/>
          <w:noProof w:val="0"/>
        </w:rPr>
        <w:t>&lt;DocAmend&gt;</w:t>
      </w:r>
      <w:r w:rsidRPr="00EF6091">
        <w:t>Návrh nariadenia</w:t>
      </w:r>
      <w:r w:rsidRPr="00EF6091">
        <w:rPr>
          <w:rStyle w:val="HideTWBExt"/>
          <w:b w:val="0"/>
          <w:noProof w:val="0"/>
        </w:rPr>
        <w:t>&lt;/DocAmend&gt;</w:t>
      </w:r>
    </w:p>
    <w:p w14:paraId="46EB3581" w14:textId="77777777" w:rsidR="00A25082" w:rsidRPr="00EF6091" w:rsidRDefault="00A25082" w:rsidP="00A25082">
      <w:pPr>
        <w:pStyle w:val="NormalBold"/>
      </w:pPr>
      <w:r w:rsidRPr="00EF6091">
        <w:rPr>
          <w:rStyle w:val="HideTWBExt"/>
          <w:b w:val="0"/>
          <w:noProof w:val="0"/>
        </w:rPr>
        <w:t>&lt;Article&gt;</w:t>
      </w:r>
      <w:r w:rsidRPr="00EF6091">
        <w:t>Príloha I – odsek 1</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25082" w:rsidRPr="00EF6091" w14:paraId="1C11EAC6" w14:textId="77777777" w:rsidTr="00BC1135">
        <w:trPr>
          <w:jc w:val="center"/>
        </w:trPr>
        <w:tc>
          <w:tcPr>
            <w:tcW w:w="9752" w:type="dxa"/>
            <w:gridSpan w:val="2"/>
          </w:tcPr>
          <w:p w14:paraId="48706CFC" w14:textId="77777777" w:rsidR="00A25082" w:rsidRPr="00EF6091" w:rsidRDefault="00A25082" w:rsidP="00BC1135">
            <w:pPr>
              <w:keepNext/>
            </w:pPr>
          </w:p>
        </w:tc>
      </w:tr>
      <w:tr w:rsidR="00A25082" w:rsidRPr="00EF6091" w14:paraId="221D81A7" w14:textId="77777777" w:rsidTr="00BC1135">
        <w:trPr>
          <w:jc w:val="center"/>
        </w:trPr>
        <w:tc>
          <w:tcPr>
            <w:tcW w:w="4876" w:type="dxa"/>
          </w:tcPr>
          <w:p w14:paraId="76685EA1" w14:textId="77777777" w:rsidR="00A25082" w:rsidRPr="00EF6091" w:rsidRDefault="00A25082" w:rsidP="00BC1135">
            <w:pPr>
              <w:pStyle w:val="ColumnHeading"/>
              <w:keepNext/>
            </w:pPr>
            <w:r w:rsidRPr="00EF6091">
              <w:t>Text predložený Komisiou</w:t>
            </w:r>
          </w:p>
        </w:tc>
        <w:tc>
          <w:tcPr>
            <w:tcW w:w="4876" w:type="dxa"/>
          </w:tcPr>
          <w:p w14:paraId="1D03493E" w14:textId="77777777" w:rsidR="00A25082" w:rsidRPr="00EF6091" w:rsidRDefault="00A25082" w:rsidP="00BC1135">
            <w:pPr>
              <w:pStyle w:val="ColumnHeading"/>
              <w:keepNext/>
            </w:pPr>
            <w:r w:rsidRPr="00EF6091">
              <w:t>Pozmeňujúci návrh</w:t>
            </w:r>
          </w:p>
        </w:tc>
      </w:tr>
      <w:tr w:rsidR="00A25082" w:rsidRPr="00EF6091" w14:paraId="4CBB26F3" w14:textId="77777777" w:rsidTr="00BC1135">
        <w:trPr>
          <w:jc w:val="center"/>
        </w:trPr>
        <w:tc>
          <w:tcPr>
            <w:tcW w:w="4876" w:type="dxa"/>
          </w:tcPr>
          <w:p w14:paraId="6103AAFF" w14:textId="77777777" w:rsidR="00A25082" w:rsidRPr="00EF6091" w:rsidRDefault="00A25082" w:rsidP="00BC1135">
            <w:pPr>
              <w:pStyle w:val="Normal6"/>
            </w:pPr>
            <w:r w:rsidRPr="00EF6091">
              <w:t xml:space="preserve">Látky, ktoré sa nesprístupňujú členom širokej verejnosti, títo ich nedovážajú, </w:t>
            </w:r>
            <w:r w:rsidRPr="00EF6091">
              <w:rPr>
                <w:b/>
                <w:i/>
              </w:rPr>
              <w:t>nevlastnia</w:t>
            </w:r>
            <w:r w:rsidRPr="00EF6091">
              <w:t xml:space="preserve"> ani nepoužívajú samostatne ani v zmesiach či látkach, ktoré ich obsahujú, okrem prípadov, ak je koncentrácia nižšia alebo rovnaká ako prahové hodnoty uvedené v stĺpci 2:</w:t>
            </w:r>
          </w:p>
        </w:tc>
        <w:tc>
          <w:tcPr>
            <w:tcW w:w="4876" w:type="dxa"/>
          </w:tcPr>
          <w:p w14:paraId="64C3F5D7" w14:textId="77777777" w:rsidR="00A25082" w:rsidRPr="00EF6091" w:rsidRDefault="00A25082" w:rsidP="00BC1135">
            <w:pPr>
              <w:pStyle w:val="Normal6"/>
              <w:rPr>
                <w:szCs w:val="24"/>
              </w:rPr>
            </w:pPr>
            <w:r w:rsidRPr="00EF6091">
              <w:t xml:space="preserve">Látky, ktoré sa nesprístupňujú členom širokej verejnosti, títo ich nedovážajú, </w:t>
            </w:r>
            <w:r w:rsidRPr="00EF6091">
              <w:rPr>
                <w:b/>
                <w:i/>
              </w:rPr>
              <w:t>nedržia</w:t>
            </w:r>
            <w:r w:rsidRPr="00EF6091">
              <w:t xml:space="preserve"> ani nepoužívajú samostatne ani v zmesiach či látkach, ktoré ich obsahujú, okrem prípadov, ak je koncentrácia nižšia alebo rovnaká ako prahové hodnoty uvedené v stĺpci 2</w:t>
            </w:r>
            <w:r w:rsidRPr="00EF6091">
              <w:rPr>
                <w:b/>
                <w:i/>
              </w:rPr>
              <w:t>, a v prípade ktorých existuje povinnosť nahlásiť podozrivé transakcie do 24 hodín</w:t>
            </w:r>
            <w:r w:rsidRPr="00EF6091">
              <w:t>:</w:t>
            </w:r>
          </w:p>
        </w:tc>
      </w:tr>
    </w:tbl>
    <w:p w14:paraId="35564B88" w14:textId="66F32749" w:rsidR="00A25082" w:rsidRPr="00EF6091" w:rsidRDefault="00C92B29" w:rsidP="00A25082">
      <w:r w:rsidRPr="00EF6091">
        <w:rPr>
          <w:rStyle w:val="HideTWBExt"/>
          <w:noProof w:val="0"/>
        </w:rPr>
        <w:t>&lt;/Amend&gt;</w:t>
      </w:r>
    </w:p>
    <w:p w14:paraId="619A3BC5" w14:textId="2FC67E0E" w:rsidR="00C171D8" w:rsidRPr="00EF6091" w:rsidRDefault="00A25082" w:rsidP="00A25082">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39</w:t>
      </w:r>
      <w:r w:rsidRPr="00EF6091">
        <w:rPr>
          <w:rStyle w:val="HideTWBExt"/>
          <w:b w:val="0"/>
          <w:noProof w:val="0"/>
        </w:rPr>
        <w:t>&lt;/NumAm&gt;</w:t>
      </w:r>
    </w:p>
    <w:p w14:paraId="0EDA7D7A" w14:textId="542D1C0F" w:rsidR="00A25082" w:rsidRPr="00EF6091" w:rsidRDefault="00A25082" w:rsidP="00C171D8">
      <w:pPr>
        <w:pStyle w:val="NormalBold12b"/>
      </w:pPr>
      <w:r w:rsidRPr="00EF6091">
        <w:rPr>
          <w:rStyle w:val="HideTWBExt"/>
          <w:b w:val="0"/>
          <w:noProof w:val="0"/>
        </w:rPr>
        <w:t>&lt;DocAmend&gt;</w:t>
      </w:r>
      <w:r w:rsidRPr="00EF6091">
        <w:t>Návrh nariadenia</w:t>
      </w:r>
      <w:r w:rsidRPr="00EF6091">
        <w:rPr>
          <w:rStyle w:val="HideTWBExt"/>
          <w:b w:val="0"/>
          <w:noProof w:val="0"/>
        </w:rPr>
        <w:t>&lt;/DocAmend&gt;</w:t>
      </w:r>
    </w:p>
    <w:p w14:paraId="6F0C6F49" w14:textId="77777777" w:rsidR="00A25082" w:rsidRPr="00EF6091" w:rsidRDefault="00A25082" w:rsidP="00A25082">
      <w:pPr>
        <w:pStyle w:val="NormalBold"/>
      </w:pPr>
      <w:r w:rsidRPr="00EF6091">
        <w:rPr>
          <w:rStyle w:val="HideTWBExt"/>
          <w:b w:val="0"/>
          <w:noProof w:val="0"/>
        </w:rPr>
        <w:t>&lt;Article&gt;</w:t>
      </w:r>
      <w:r w:rsidRPr="00EF6091">
        <w:t>Príloha II – odsek 1</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25082" w:rsidRPr="00EF6091" w14:paraId="2BB035E4" w14:textId="77777777" w:rsidTr="00BC1135">
        <w:trPr>
          <w:jc w:val="center"/>
        </w:trPr>
        <w:tc>
          <w:tcPr>
            <w:tcW w:w="9752" w:type="dxa"/>
            <w:gridSpan w:val="2"/>
          </w:tcPr>
          <w:p w14:paraId="4B1625AD" w14:textId="77777777" w:rsidR="00A25082" w:rsidRPr="00EF6091" w:rsidRDefault="00A25082" w:rsidP="00BC1135">
            <w:pPr>
              <w:keepNext/>
            </w:pPr>
          </w:p>
        </w:tc>
      </w:tr>
      <w:tr w:rsidR="00A25082" w:rsidRPr="00EF6091" w14:paraId="33084D2C" w14:textId="77777777" w:rsidTr="00BC1135">
        <w:trPr>
          <w:jc w:val="center"/>
        </w:trPr>
        <w:tc>
          <w:tcPr>
            <w:tcW w:w="4876" w:type="dxa"/>
          </w:tcPr>
          <w:p w14:paraId="22102FB7" w14:textId="77777777" w:rsidR="00A25082" w:rsidRPr="00EF6091" w:rsidRDefault="00A25082" w:rsidP="00BC1135">
            <w:pPr>
              <w:pStyle w:val="ColumnHeading"/>
              <w:keepNext/>
            </w:pPr>
            <w:r w:rsidRPr="00EF6091">
              <w:t>Text predložený Komisiou</w:t>
            </w:r>
          </w:p>
        </w:tc>
        <w:tc>
          <w:tcPr>
            <w:tcW w:w="4876" w:type="dxa"/>
          </w:tcPr>
          <w:p w14:paraId="620348AF" w14:textId="77777777" w:rsidR="00A25082" w:rsidRPr="00EF6091" w:rsidRDefault="00A25082" w:rsidP="00BC1135">
            <w:pPr>
              <w:pStyle w:val="ColumnHeading"/>
              <w:keepNext/>
            </w:pPr>
            <w:r w:rsidRPr="00EF6091">
              <w:t>Pozmeňujúci návrh</w:t>
            </w:r>
          </w:p>
        </w:tc>
      </w:tr>
      <w:tr w:rsidR="00A25082" w:rsidRPr="00EF6091" w14:paraId="41C574BA" w14:textId="77777777" w:rsidTr="00BC1135">
        <w:trPr>
          <w:jc w:val="center"/>
        </w:trPr>
        <w:tc>
          <w:tcPr>
            <w:tcW w:w="4876" w:type="dxa"/>
          </w:tcPr>
          <w:p w14:paraId="60856487" w14:textId="77777777" w:rsidR="00A25082" w:rsidRPr="00EF6091" w:rsidRDefault="00A25082" w:rsidP="00BC1135">
            <w:pPr>
              <w:pStyle w:val="Normal6"/>
            </w:pPr>
            <w:r w:rsidRPr="00EF6091">
              <w:t xml:space="preserve">Látky samostatné alebo v zmesiach, v prípade ktorých </w:t>
            </w:r>
            <w:r w:rsidRPr="00EF6091">
              <w:rPr>
                <w:b/>
                <w:i/>
              </w:rPr>
              <w:t>sa nahlasujú</w:t>
            </w:r>
            <w:r w:rsidRPr="00EF6091">
              <w:t xml:space="preserve"> podozrivé transakcie</w:t>
            </w:r>
          </w:p>
        </w:tc>
        <w:tc>
          <w:tcPr>
            <w:tcW w:w="4876" w:type="dxa"/>
          </w:tcPr>
          <w:p w14:paraId="786E7D2F" w14:textId="77777777" w:rsidR="00A25082" w:rsidRPr="00EF6091" w:rsidRDefault="00A25082" w:rsidP="00BC1135">
            <w:pPr>
              <w:pStyle w:val="Normal6"/>
              <w:rPr>
                <w:szCs w:val="24"/>
              </w:rPr>
            </w:pPr>
            <w:r w:rsidRPr="00EF6091">
              <w:t xml:space="preserve">Látky samostatné alebo v zmesiach, v prípade ktorých </w:t>
            </w:r>
            <w:r w:rsidRPr="00EF6091">
              <w:rPr>
                <w:b/>
                <w:i/>
              </w:rPr>
              <w:t>existuje povinnosť nahlásiť</w:t>
            </w:r>
            <w:r w:rsidRPr="00EF6091">
              <w:t xml:space="preserve"> podozrivé transakcie</w:t>
            </w:r>
            <w:r w:rsidRPr="00EF6091">
              <w:rPr>
                <w:b/>
                <w:i/>
              </w:rPr>
              <w:t xml:space="preserve"> do 24 hodín.</w:t>
            </w:r>
          </w:p>
        </w:tc>
      </w:tr>
    </w:tbl>
    <w:p w14:paraId="6E3BC961" w14:textId="4F1BD8C3" w:rsidR="00A25082" w:rsidRPr="00EF6091" w:rsidRDefault="00A25082" w:rsidP="00A25082">
      <w:r w:rsidRPr="00EF6091">
        <w:rPr>
          <w:rStyle w:val="HideTWBExt"/>
          <w:noProof w:val="0"/>
        </w:rPr>
        <w:t>&lt;/Amend&gt;</w:t>
      </w:r>
    </w:p>
    <w:p w14:paraId="07BCB416" w14:textId="37E7A814" w:rsidR="000440FA" w:rsidRPr="00EF6091" w:rsidRDefault="000440FA" w:rsidP="000440FA">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40</w:t>
      </w:r>
      <w:r w:rsidRPr="00EF6091">
        <w:rPr>
          <w:rStyle w:val="HideTWBExt"/>
          <w:b w:val="0"/>
          <w:noProof w:val="0"/>
        </w:rPr>
        <w:t>&lt;/NumAm&gt;</w:t>
      </w:r>
    </w:p>
    <w:p w14:paraId="6D556DBB" w14:textId="77777777" w:rsidR="000440FA" w:rsidRPr="00EF6091" w:rsidRDefault="000440FA" w:rsidP="000440FA">
      <w:pPr>
        <w:pStyle w:val="NormalBold12b"/>
        <w:keepNext/>
      </w:pPr>
      <w:r w:rsidRPr="00EF6091">
        <w:rPr>
          <w:rStyle w:val="HideTWBExt"/>
          <w:b w:val="0"/>
          <w:noProof w:val="0"/>
        </w:rPr>
        <w:t>&lt;DocAmend&gt;</w:t>
      </w:r>
      <w:r w:rsidRPr="00EF6091">
        <w:t>Návrh nariadenia</w:t>
      </w:r>
      <w:r w:rsidRPr="00EF6091">
        <w:rPr>
          <w:rStyle w:val="HideTWBExt"/>
          <w:b w:val="0"/>
          <w:noProof w:val="0"/>
        </w:rPr>
        <w:t>&lt;/DocAmend&gt;</w:t>
      </w:r>
    </w:p>
    <w:p w14:paraId="015F928D" w14:textId="77777777" w:rsidR="000440FA" w:rsidRPr="00EF6091" w:rsidRDefault="000440FA" w:rsidP="000440FA">
      <w:pPr>
        <w:pStyle w:val="NormalBold"/>
      </w:pPr>
      <w:r w:rsidRPr="00EF6091">
        <w:rPr>
          <w:rStyle w:val="HideTWBExt"/>
          <w:b w:val="0"/>
          <w:noProof w:val="0"/>
        </w:rPr>
        <w:t>&lt;Article&gt;</w:t>
      </w:r>
      <w:r w:rsidRPr="00EF6091">
        <w:t>Príloha III – tabuľka – bod 5 a (nový)</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0186B" w:rsidRPr="00EF6091" w14:paraId="0E4FB899" w14:textId="77777777" w:rsidTr="00BC1135">
        <w:trPr>
          <w:jc w:val="center"/>
        </w:trPr>
        <w:tc>
          <w:tcPr>
            <w:tcW w:w="9752" w:type="dxa"/>
            <w:gridSpan w:val="2"/>
          </w:tcPr>
          <w:p w14:paraId="4A85E930" w14:textId="77777777" w:rsidR="00B0186B" w:rsidRPr="00EF6091" w:rsidRDefault="00B0186B" w:rsidP="00BC1135">
            <w:pPr>
              <w:keepNext/>
            </w:pPr>
          </w:p>
        </w:tc>
      </w:tr>
      <w:tr w:rsidR="00B0186B" w:rsidRPr="00EF6091" w14:paraId="542434C4" w14:textId="77777777" w:rsidTr="00BC1135">
        <w:trPr>
          <w:jc w:val="center"/>
        </w:trPr>
        <w:tc>
          <w:tcPr>
            <w:tcW w:w="4876" w:type="dxa"/>
          </w:tcPr>
          <w:p w14:paraId="23698293" w14:textId="77777777" w:rsidR="00B0186B" w:rsidRPr="00EF6091" w:rsidRDefault="00B0186B" w:rsidP="00BC1135">
            <w:pPr>
              <w:pStyle w:val="ColumnHeading"/>
              <w:keepNext/>
            </w:pPr>
            <w:r w:rsidRPr="00EF6091">
              <w:t>Text predložený Komisiou</w:t>
            </w:r>
          </w:p>
        </w:tc>
        <w:tc>
          <w:tcPr>
            <w:tcW w:w="4876" w:type="dxa"/>
          </w:tcPr>
          <w:p w14:paraId="21C315B3" w14:textId="77777777" w:rsidR="00B0186B" w:rsidRPr="00EF6091" w:rsidRDefault="00B0186B" w:rsidP="00BC1135">
            <w:pPr>
              <w:pStyle w:val="ColumnHeading"/>
              <w:keepNext/>
            </w:pPr>
            <w:r w:rsidRPr="00EF6091">
              <w:t>Pozmeňujúci návrh</w:t>
            </w:r>
          </w:p>
        </w:tc>
      </w:tr>
      <w:tr w:rsidR="00B0186B" w:rsidRPr="00EF6091" w14:paraId="1CD53D03" w14:textId="77777777" w:rsidTr="00BC1135">
        <w:trPr>
          <w:jc w:val="center"/>
        </w:trPr>
        <w:tc>
          <w:tcPr>
            <w:tcW w:w="4876" w:type="dxa"/>
          </w:tcPr>
          <w:p w14:paraId="0C091AA6" w14:textId="77777777" w:rsidR="00B0186B" w:rsidRPr="00EF6091" w:rsidRDefault="00B0186B" w:rsidP="00BC1135">
            <w:pPr>
              <w:pStyle w:val="Normal6"/>
            </w:pPr>
          </w:p>
        </w:tc>
        <w:tc>
          <w:tcPr>
            <w:tcW w:w="4876" w:type="dxa"/>
          </w:tcPr>
          <w:p w14:paraId="545004CE" w14:textId="4D27EB4B" w:rsidR="00B0186B" w:rsidRPr="00EF6091" w:rsidRDefault="00B0186B" w:rsidP="001A5E33">
            <w:pPr>
              <w:pStyle w:val="Normal6"/>
              <w:rPr>
                <w:szCs w:val="24"/>
              </w:rPr>
            </w:pPr>
            <w:r w:rsidRPr="00EF6091">
              <w:rPr>
                <w:b/>
                <w:i/>
              </w:rPr>
              <w:t>5a. Uveďte, či prekurzor alebo prekurzory sú určené na dovoz do iného členského štátu, ako je členský štát vydávajúci toto povolenie, alebo na použitie v ňom (alebo oboje), alebo mimo Európskeho hospodárskeho priestoru.</w:t>
            </w:r>
          </w:p>
        </w:tc>
      </w:tr>
      <w:tr w:rsidR="00B0186B" w:rsidRPr="00EF6091" w14:paraId="2ED18F2F" w14:textId="77777777" w:rsidTr="00BC1135">
        <w:trPr>
          <w:jc w:val="center"/>
        </w:trPr>
        <w:tc>
          <w:tcPr>
            <w:tcW w:w="4876" w:type="dxa"/>
          </w:tcPr>
          <w:p w14:paraId="3B925E54" w14:textId="77777777" w:rsidR="00B0186B" w:rsidRPr="00EF6091" w:rsidRDefault="00B0186B" w:rsidP="00BC1135">
            <w:pPr>
              <w:pStyle w:val="Normal6"/>
            </w:pPr>
          </w:p>
        </w:tc>
        <w:tc>
          <w:tcPr>
            <w:tcW w:w="4876" w:type="dxa"/>
          </w:tcPr>
          <w:p w14:paraId="793985DE" w14:textId="77777777" w:rsidR="00B0186B" w:rsidRPr="00EF6091" w:rsidRDefault="00B0186B" w:rsidP="00BC1135">
            <w:pPr>
              <w:pStyle w:val="Normal6"/>
              <w:rPr>
                <w:b/>
                <w:i/>
              </w:rPr>
            </w:pPr>
            <w:r w:rsidRPr="00EF6091">
              <w:rPr>
                <w:b/>
                <w:i/>
              </w:rPr>
              <w:t>( ) Áno</w:t>
            </w:r>
          </w:p>
        </w:tc>
      </w:tr>
      <w:tr w:rsidR="00B0186B" w:rsidRPr="00EF6091" w14:paraId="6F0A6A97" w14:textId="77777777" w:rsidTr="00BC1135">
        <w:trPr>
          <w:jc w:val="center"/>
        </w:trPr>
        <w:tc>
          <w:tcPr>
            <w:tcW w:w="4876" w:type="dxa"/>
          </w:tcPr>
          <w:p w14:paraId="386EC987" w14:textId="77777777" w:rsidR="00B0186B" w:rsidRPr="00EF6091" w:rsidRDefault="00B0186B" w:rsidP="00BC1135">
            <w:pPr>
              <w:pStyle w:val="Normal6"/>
            </w:pPr>
          </w:p>
        </w:tc>
        <w:tc>
          <w:tcPr>
            <w:tcW w:w="4876" w:type="dxa"/>
          </w:tcPr>
          <w:p w14:paraId="0D361683" w14:textId="77777777" w:rsidR="00B0186B" w:rsidRPr="00EF6091" w:rsidRDefault="00B0186B" w:rsidP="00BC1135">
            <w:pPr>
              <w:pStyle w:val="Normal6"/>
              <w:rPr>
                <w:b/>
                <w:i/>
              </w:rPr>
            </w:pPr>
            <w:r w:rsidRPr="00EF6091">
              <w:rPr>
                <w:b/>
                <w:i/>
              </w:rPr>
              <w:t>( ) Nie</w:t>
            </w:r>
          </w:p>
        </w:tc>
      </w:tr>
      <w:tr w:rsidR="00B0186B" w:rsidRPr="00EF6091" w14:paraId="60E382AD" w14:textId="77777777" w:rsidTr="00BC1135">
        <w:trPr>
          <w:jc w:val="center"/>
        </w:trPr>
        <w:tc>
          <w:tcPr>
            <w:tcW w:w="4876" w:type="dxa"/>
          </w:tcPr>
          <w:p w14:paraId="7DA81C3C" w14:textId="77777777" w:rsidR="00B0186B" w:rsidRPr="00EF6091" w:rsidRDefault="00B0186B" w:rsidP="00BC1135">
            <w:pPr>
              <w:pStyle w:val="Normal6"/>
            </w:pPr>
          </w:p>
        </w:tc>
        <w:tc>
          <w:tcPr>
            <w:tcW w:w="4876" w:type="dxa"/>
          </w:tcPr>
          <w:p w14:paraId="355033E4" w14:textId="77777777" w:rsidR="00B0186B" w:rsidRPr="00EF6091" w:rsidRDefault="00B0186B" w:rsidP="00BC1135">
            <w:pPr>
              <w:pStyle w:val="Normal6"/>
              <w:rPr>
                <w:b/>
                <w:i/>
              </w:rPr>
            </w:pPr>
            <w:r w:rsidRPr="00EF6091">
              <w:rPr>
                <w:b/>
                <w:i/>
              </w:rPr>
              <w:t>Adresa:</w:t>
            </w:r>
          </w:p>
        </w:tc>
      </w:tr>
      <w:tr w:rsidR="00B0186B" w:rsidRPr="00EF6091" w14:paraId="15E7F59C" w14:textId="77777777" w:rsidTr="00BC1135">
        <w:trPr>
          <w:jc w:val="center"/>
        </w:trPr>
        <w:tc>
          <w:tcPr>
            <w:tcW w:w="4876" w:type="dxa"/>
          </w:tcPr>
          <w:p w14:paraId="13190051" w14:textId="77777777" w:rsidR="00B0186B" w:rsidRPr="00EF6091" w:rsidRDefault="00B0186B" w:rsidP="00BC1135">
            <w:pPr>
              <w:pStyle w:val="Normal6"/>
            </w:pPr>
          </w:p>
        </w:tc>
        <w:tc>
          <w:tcPr>
            <w:tcW w:w="4876" w:type="dxa"/>
          </w:tcPr>
          <w:p w14:paraId="412DD242" w14:textId="423BA216" w:rsidR="00B0186B" w:rsidRPr="00EF6091" w:rsidRDefault="00B0186B" w:rsidP="00BC1135">
            <w:pPr>
              <w:pStyle w:val="Normal6"/>
              <w:rPr>
                <w:b/>
                <w:i/>
              </w:rPr>
            </w:pPr>
            <w:r w:rsidRPr="00EF6091">
              <w:rPr>
                <w:b/>
                <w:i/>
              </w:rPr>
              <w:t>Časový rámec pre dovoz alebo použitie (alebo oboje) prekurzorov:</w:t>
            </w:r>
          </w:p>
        </w:tc>
      </w:tr>
    </w:tbl>
    <w:p w14:paraId="13E0798B" w14:textId="77777777" w:rsidR="00AF30F6" w:rsidRPr="00EF6091" w:rsidRDefault="000440FA" w:rsidP="000440FA">
      <w:r w:rsidRPr="00EF6091">
        <w:rPr>
          <w:rStyle w:val="HideTWBExt"/>
          <w:noProof w:val="0"/>
        </w:rPr>
        <w:t>&lt;/Amend&gt;</w:t>
      </w:r>
    </w:p>
    <w:p w14:paraId="25A38990" w14:textId="6AE27B33" w:rsidR="00AF30F6" w:rsidRPr="00EF6091" w:rsidRDefault="00AF30F6" w:rsidP="00AF30F6">
      <w:pPr>
        <w:pStyle w:val="AMNumberTabs"/>
        <w:keepNext/>
      </w:pPr>
      <w:r w:rsidRPr="00EF6091">
        <w:rPr>
          <w:rStyle w:val="HideTWBExt"/>
          <w:b w:val="0"/>
          <w:noProof w:val="0"/>
        </w:rPr>
        <w:t>&lt;Amend&gt;</w:t>
      </w:r>
      <w:r w:rsidRPr="00EF6091">
        <w:t>Pozmeňujúci návrh</w:t>
      </w:r>
      <w:r w:rsidRPr="00EF6091">
        <w:tab/>
      </w:r>
      <w:r w:rsidRPr="00EF6091">
        <w:tab/>
      </w:r>
      <w:r w:rsidRPr="00EF6091">
        <w:rPr>
          <w:rStyle w:val="HideTWBExt"/>
          <w:b w:val="0"/>
          <w:noProof w:val="0"/>
        </w:rPr>
        <w:t>&lt;NumAm&gt;</w:t>
      </w:r>
      <w:r w:rsidRPr="00EF6091">
        <w:t>41</w:t>
      </w:r>
      <w:r w:rsidRPr="00EF6091">
        <w:rPr>
          <w:rStyle w:val="HideTWBExt"/>
          <w:b w:val="0"/>
          <w:noProof w:val="0"/>
        </w:rPr>
        <w:t>&lt;/NumAm&gt;</w:t>
      </w:r>
    </w:p>
    <w:p w14:paraId="0DE11868" w14:textId="77777777" w:rsidR="00AF30F6" w:rsidRPr="00EF6091" w:rsidRDefault="00AF30F6" w:rsidP="00AF30F6">
      <w:pPr>
        <w:pStyle w:val="NormalBold12b"/>
        <w:keepNext/>
      </w:pPr>
      <w:r w:rsidRPr="00EF6091">
        <w:rPr>
          <w:rStyle w:val="HideTWBExt"/>
          <w:b w:val="0"/>
          <w:noProof w:val="0"/>
        </w:rPr>
        <w:t>&lt;DocAmend&gt;</w:t>
      </w:r>
      <w:r w:rsidRPr="00EF6091">
        <w:t>Návrh nariadenia</w:t>
      </w:r>
      <w:r w:rsidRPr="00EF6091">
        <w:rPr>
          <w:rStyle w:val="HideTWBExt"/>
          <w:b w:val="0"/>
          <w:noProof w:val="0"/>
        </w:rPr>
        <w:t>&lt;/DocAmend&gt;</w:t>
      </w:r>
    </w:p>
    <w:p w14:paraId="0F71FF03" w14:textId="67C75CEC" w:rsidR="00AF30F6" w:rsidRPr="00EF6091" w:rsidRDefault="00AF30F6" w:rsidP="00AF30F6">
      <w:pPr>
        <w:pStyle w:val="NormalBold"/>
      </w:pPr>
      <w:r w:rsidRPr="00EF6091">
        <w:rPr>
          <w:rStyle w:val="HideTWBExt"/>
          <w:b w:val="0"/>
          <w:noProof w:val="0"/>
        </w:rPr>
        <w:t>&lt;Article&gt;</w:t>
      </w:r>
      <w:r w:rsidRPr="00EF6091">
        <w:t>Príloha III – tabuľka – bod 5 b (nový)</w:t>
      </w:r>
      <w:r w:rsidRPr="00EF609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0186B" w:rsidRPr="00EF6091" w14:paraId="6F42DAF9" w14:textId="77777777" w:rsidTr="00BC1135">
        <w:trPr>
          <w:jc w:val="center"/>
        </w:trPr>
        <w:tc>
          <w:tcPr>
            <w:tcW w:w="9752" w:type="dxa"/>
            <w:gridSpan w:val="2"/>
          </w:tcPr>
          <w:p w14:paraId="2350D688" w14:textId="77777777" w:rsidR="00B0186B" w:rsidRPr="00EF6091" w:rsidRDefault="00B0186B" w:rsidP="00BC1135">
            <w:pPr>
              <w:keepNext/>
            </w:pPr>
          </w:p>
        </w:tc>
      </w:tr>
      <w:tr w:rsidR="00B0186B" w:rsidRPr="00EF6091" w14:paraId="03B97FBC" w14:textId="77777777" w:rsidTr="00BC1135">
        <w:trPr>
          <w:jc w:val="center"/>
        </w:trPr>
        <w:tc>
          <w:tcPr>
            <w:tcW w:w="4876" w:type="dxa"/>
          </w:tcPr>
          <w:p w14:paraId="72D76BCE" w14:textId="77777777" w:rsidR="00B0186B" w:rsidRPr="00EF6091" w:rsidRDefault="00B0186B" w:rsidP="00BC1135">
            <w:pPr>
              <w:pStyle w:val="ColumnHeading"/>
              <w:keepNext/>
            </w:pPr>
            <w:r w:rsidRPr="00EF6091">
              <w:t>Text predložený Komisiou</w:t>
            </w:r>
          </w:p>
        </w:tc>
        <w:tc>
          <w:tcPr>
            <w:tcW w:w="4876" w:type="dxa"/>
          </w:tcPr>
          <w:p w14:paraId="4D4FA6A9" w14:textId="77777777" w:rsidR="00B0186B" w:rsidRPr="00EF6091" w:rsidRDefault="00B0186B" w:rsidP="00BC1135">
            <w:pPr>
              <w:pStyle w:val="ColumnHeading"/>
              <w:keepNext/>
            </w:pPr>
            <w:r w:rsidRPr="00EF6091">
              <w:t>Pozmeňujúci návrh</w:t>
            </w:r>
          </w:p>
        </w:tc>
      </w:tr>
      <w:tr w:rsidR="00B0186B" w:rsidRPr="00EF6091" w14:paraId="796A5002" w14:textId="77777777" w:rsidTr="00BC1135">
        <w:trPr>
          <w:jc w:val="center"/>
        </w:trPr>
        <w:tc>
          <w:tcPr>
            <w:tcW w:w="4876" w:type="dxa"/>
          </w:tcPr>
          <w:p w14:paraId="7E65F6B5" w14:textId="77777777" w:rsidR="00B0186B" w:rsidRPr="00EF6091" w:rsidRDefault="00B0186B" w:rsidP="00BC1135">
            <w:pPr>
              <w:pStyle w:val="Normal6"/>
            </w:pPr>
          </w:p>
        </w:tc>
        <w:tc>
          <w:tcPr>
            <w:tcW w:w="4876" w:type="dxa"/>
          </w:tcPr>
          <w:p w14:paraId="28B66C6D" w14:textId="6644BA46" w:rsidR="00B0186B" w:rsidRPr="00EF6091" w:rsidRDefault="00C171D8">
            <w:pPr>
              <w:pStyle w:val="Normal6"/>
              <w:rPr>
                <w:szCs w:val="24"/>
              </w:rPr>
            </w:pPr>
            <w:r w:rsidRPr="00EF6091">
              <w:rPr>
                <w:b/>
                <w:i/>
              </w:rPr>
              <w:t>5b. Uveďte, či prekurzor alebo prekurzory sú určené na sprístupnenie na účely predaja na offline alebo online trhoch.</w:t>
            </w:r>
          </w:p>
        </w:tc>
      </w:tr>
      <w:tr w:rsidR="00B0186B" w:rsidRPr="00EF6091" w14:paraId="6F662AA6" w14:textId="77777777" w:rsidTr="00BC1135">
        <w:trPr>
          <w:jc w:val="center"/>
        </w:trPr>
        <w:tc>
          <w:tcPr>
            <w:tcW w:w="4876" w:type="dxa"/>
          </w:tcPr>
          <w:p w14:paraId="7E8C68B0" w14:textId="77777777" w:rsidR="00B0186B" w:rsidRPr="00EF6091" w:rsidRDefault="00B0186B" w:rsidP="00BC1135">
            <w:pPr>
              <w:pStyle w:val="Normal6"/>
            </w:pPr>
          </w:p>
        </w:tc>
        <w:tc>
          <w:tcPr>
            <w:tcW w:w="4876" w:type="dxa"/>
          </w:tcPr>
          <w:p w14:paraId="6B9933D4" w14:textId="77777777" w:rsidR="00B0186B" w:rsidRPr="00EF6091" w:rsidRDefault="00B0186B" w:rsidP="00BC1135">
            <w:pPr>
              <w:pStyle w:val="Normal6"/>
              <w:rPr>
                <w:b/>
                <w:i/>
              </w:rPr>
            </w:pPr>
            <w:r w:rsidRPr="00EF6091">
              <w:rPr>
                <w:b/>
                <w:i/>
              </w:rPr>
              <w:t>( ) Áno</w:t>
            </w:r>
          </w:p>
        </w:tc>
      </w:tr>
      <w:tr w:rsidR="00B0186B" w:rsidRPr="00EF6091" w14:paraId="099D679F" w14:textId="77777777" w:rsidTr="00BC1135">
        <w:trPr>
          <w:jc w:val="center"/>
        </w:trPr>
        <w:tc>
          <w:tcPr>
            <w:tcW w:w="4876" w:type="dxa"/>
          </w:tcPr>
          <w:p w14:paraId="3D7F0C07" w14:textId="77777777" w:rsidR="00B0186B" w:rsidRPr="00EF6091" w:rsidRDefault="00B0186B" w:rsidP="00BC1135">
            <w:pPr>
              <w:pStyle w:val="Normal6"/>
            </w:pPr>
          </w:p>
        </w:tc>
        <w:tc>
          <w:tcPr>
            <w:tcW w:w="4876" w:type="dxa"/>
          </w:tcPr>
          <w:p w14:paraId="4DFD4DC5" w14:textId="77777777" w:rsidR="00B0186B" w:rsidRPr="00EF6091" w:rsidRDefault="00B0186B" w:rsidP="00BC1135">
            <w:pPr>
              <w:pStyle w:val="Normal6"/>
              <w:rPr>
                <w:b/>
                <w:i/>
              </w:rPr>
            </w:pPr>
            <w:r w:rsidRPr="00EF6091">
              <w:rPr>
                <w:b/>
                <w:i/>
              </w:rPr>
              <w:t>( ) Nie</w:t>
            </w:r>
          </w:p>
        </w:tc>
      </w:tr>
      <w:tr w:rsidR="00B0186B" w:rsidRPr="00EF6091" w14:paraId="4E8CCECB" w14:textId="77777777" w:rsidTr="00BC1135">
        <w:trPr>
          <w:jc w:val="center"/>
        </w:trPr>
        <w:tc>
          <w:tcPr>
            <w:tcW w:w="4876" w:type="dxa"/>
          </w:tcPr>
          <w:p w14:paraId="769CE532" w14:textId="77777777" w:rsidR="00B0186B" w:rsidRPr="00EF6091" w:rsidRDefault="00B0186B" w:rsidP="00BC1135">
            <w:pPr>
              <w:pStyle w:val="Normal6"/>
            </w:pPr>
          </w:p>
        </w:tc>
        <w:tc>
          <w:tcPr>
            <w:tcW w:w="4876" w:type="dxa"/>
          </w:tcPr>
          <w:p w14:paraId="7C11B655" w14:textId="77777777" w:rsidR="00B0186B" w:rsidRPr="00EF6091" w:rsidRDefault="00B0186B" w:rsidP="00BC1135">
            <w:pPr>
              <w:pStyle w:val="Normal6"/>
              <w:rPr>
                <w:b/>
                <w:i/>
              </w:rPr>
            </w:pPr>
            <w:r w:rsidRPr="00EF6091">
              <w:rPr>
                <w:b/>
                <w:i/>
              </w:rPr>
              <w:t>Názov trhu:</w:t>
            </w:r>
          </w:p>
        </w:tc>
      </w:tr>
      <w:tr w:rsidR="00B0186B" w:rsidRPr="00EF6091" w14:paraId="49C7F3A6" w14:textId="77777777" w:rsidTr="00BC1135">
        <w:trPr>
          <w:jc w:val="center"/>
        </w:trPr>
        <w:tc>
          <w:tcPr>
            <w:tcW w:w="4876" w:type="dxa"/>
          </w:tcPr>
          <w:p w14:paraId="0AE61B97" w14:textId="77777777" w:rsidR="00B0186B" w:rsidRPr="00EF6091" w:rsidRDefault="00B0186B" w:rsidP="00BC1135">
            <w:pPr>
              <w:pStyle w:val="Normal6"/>
            </w:pPr>
          </w:p>
        </w:tc>
        <w:tc>
          <w:tcPr>
            <w:tcW w:w="4876" w:type="dxa"/>
          </w:tcPr>
          <w:p w14:paraId="38BD1B2A" w14:textId="77777777" w:rsidR="00B0186B" w:rsidRPr="00EF6091" w:rsidRDefault="00B0186B" w:rsidP="00BC1135">
            <w:pPr>
              <w:pStyle w:val="Normal6"/>
              <w:rPr>
                <w:b/>
                <w:i/>
              </w:rPr>
            </w:pPr>
            <w:r w:rsidRPr="00EF6091">
              <w:rPr>
                <w:b/>
                <w:i/>
              </w:rPr>
              <w:t>Adresa:</w:t>
            </w:r>
          </w:p>
        </w:tc>
      </w:tr>
    </w:tbl>
    <w:p w14:paraId="690A2E28" w14:textId="77777777" w:rsidR="002669B6" w:rsidRPr="00EF6091" w:rsidRDefault="00AF30F6" w:rsidP="002669B6">
      <w:r w:rsidRPr="00EF6091">
        <w:rPr>
          <w:rStyle w:val="HideTWBExt"/>
          <w:noProof w:val="0"/>
        </w:rPr>
        <w:t>&lt;/Amend&gt;&lt;/RepeatBlock-Amend&gt;</w:t>
      </w:r>
    </w:p>
    <w:p w14:paraId="4699A6DF" w14:textId="77777777" w:rsidR="00F411D4" w:rsidRPr="00EF6091" w:rsidRDefault="00F411D4" w:rsidP="000979A3">
      <w:pPr>
        <w:pStyle w:val="PageHeading"/>
      </w:pPr>
      <w:r w:rsidRPr="00EF6091">
        <w:br w:type="page"/>
      </w:r>
      <w:bookmarkStart w:id="4" w:name="_Toc535912266"/>
      <w:r w:rsidRPr="00EF6091">
        <w:t>DÔVODOVÁ SPRÁVA</w:t>
      </w:r>
      <w:bookmarkEnd w:id="4"/>
    </w:p>
    <w:p w14:paraId="0FA399E6" w14:textId="77777777" w:rsidR="00F411D4" w:rsidRPr="00EF6091" w:rsidRDefault="00F411D4" w:rsidP="00BC1135">
      <w:pPr>
        <w:jc w:val="both"/>
        <w:rPr>
          <w:szCs w:val="24"/>
        </w:rPr>
      </w:pPr>
      <w:r w:rsidRPr="00EF6091">
        <w:t>Uvádzanie prekurzorov výbušnín na trh a ich používanie v súčasnosti upravuje nariadenie (EÚ) č. 98/2013.  Týmto nariadením sa stanovujú čiastočne harmonizované pravidlá, ktoré obmedzujú uvádzanie chemických látok, ako je peroxid vodíka a kyselina dusičná (a zmesi, ktoré ich obsahujú), na trh. Stanovuje sa ním všeobecný zákaz držby a používania týchto chemických látok pre širokú verejnosť, členské štáty sú však oprávnené poskytovať kontrolovaný prístup na legitímne použitie zavedením vnútroštátneho režimu udeľovania povolení alebo registračného režimu. Od hospodárskych subjektov, ktoré takéto látky uvádzajú na trh, sa vyžaduje ich označovanie a nahlasovanie podozrivých transakcií vnútroštátnym kontaktným miestam. Uvedené obmedzenia a povinnosti sa nevzťahujú na profesionálnych používateľov.</w:t>
      </w:r>
    </w:p>
    <w:p w14:paraId="1253BAB7" w14:textId="77777777" w:rsidR="00F411D4" w:rsidRPr="00EF6091" w:rsidRDefault="00F411D4" w:rsidP="00BC1135">
      <w:pPr>
        <w:jc w:val="both"/>
        <w:rPr>
          <w:szCs w:val="24"/>
        </w:rPr>
      </w:pPr>
    </w:p>
    <w:p w14:paraId="312EADC3" w14:textId="7E5CB635" w:rsidR="00F411D4" w:rsidRPr="00EF6091" w:rsidRDefault="00F411D4" w:rsidP="00BC1135">
      <w:pPr>
        <w:jc w:val="both"/>
        <w:rPr>
          <w:szCs w:val="24"/>
        </w:rPr>
      </w:pPr>
      <w:r w:rsidRPr="00EF6091">
        <w:t>Komisia uskutočnila ex post hodnotenie programu REFIT týkajúce sa vykonávania nariadenia (EÚ) č. 98/2013 členskými štátmi. V rámci tohto hodnotenia sa zistili viaceré nedostatky, ako napríklad veľké rozdiely v režimoch udeľovania povolení/registračných režimoch v</w:t>
      </w:r>
      <w:r w:rsidR="00F05A7A">
        <w:t> </w:t>
      </w:r>
      <w:r w:rsidRPr="00EF6091">
        <w:t>jednotlivých členských štátoch; nejasnosti na strane hospodárskych subjektov, pokiaľ ide o to, ktoré výrobky presne patria do rozsahu pôsobnosti nariadenia, a problémy na strane vnútroštátnych orgánov spojené s monitorovaním internetového predaja, dovozu a pohybu v rámci EÚ.</w:t>
      </w:r>
    </w:p>
    <w:p w14:paraId="66CCDCEA" w14:textId="77777777" w:rsidR="00F411D4" w:rsidRPr="00EF6091" w:rsidRDefault="00F411D4" w:rsidP="00BC1135">
      <w:pPr>
        <w:jc w:val="both"/>
        <w:rPr>
          <w:szCs w:val="24"/>
        </w:rPr>
      </w:pPr>
    </w:p>
    <w:p w14:paraId="5C43FD5C" w14:textId="7D9F8222" w:rsidR="00F411D4" w:rsidRPr="00EF6091" w:rsidRDefault="00F411D4" w:rsidP="00BC1135">
      <w:pPr>
        <w:jc w:val="both"/>
        <w:rPr>
          <w:szCs w:val="24"/>
        </w:rPr>
      </w:pPr>
      <w:r w:rsidRPr="00EF6091">
        <w:t>Komisia tento nový návrh (ktorým sa zrušuje nariadenie č. 98/2013) predložila 17. apríla 2018 s cieľom riešiť existujúce nedostatky. Tento návrh je súčasťou tzv. bezpečnostného balíka zameraného na lepšiu ochranu európskych občanov pred terorizmom a inými formami závažnej trestnej činnosti. Jeho cieľom je odstrániť zistené závažné nedostatky. Medzi hlavné prvky nového návrhu patrí ukončenie registračného režimu, objasnenie vymedzenia pojmov ako hospodárske subjekty, členovia širokej verejnosti (aj zahrnutím právnických osôb) a</w:t>
      </w:r>
      <w:r w:rsidR="00F05A7A">
        <w:t> </w:t>
      </w:r>
      <w:r w:rsidRPr="00EF6091">
        <w:t xml:space="preserve">povinnosť hospodárskych subjektov pri predaji overovať povolenia (dôvodová správa, s. 10 – 17). </w:t>
      </w:r>
    </w:p>
    <w:p w14:paraId="375B9208" w14:textId="77777777" w:rsidR="00F411D4" w:rsidRPr="00EF6091" w:rsidRDefault="00F411D4" w:rsidP="00BC1135">
      <w:pPr>
        <w:jc w:val="both"/>
        <w:rPr>
          <w:szCs w:val="24"/>
        </w:rPr>
      </w:pPr>
    </w:p>
    <w:p w14:paraId="4EFE0E0E" w14:textId="77777777" w:rsidR="00F411D4" w:rsidRPr="00EF6091" w:rsidRDefault="00F411D4" w:rsidP="00BC1135">
      <w:pPr>
        <w:jc w:val="both"/>
        <w:rPr>
          <w:szCs w:val="24"/>
        </w:rPr>
      </w:pPr>
      <w:r w:rsidRPr="00EF6091">
        <w:rPr>
          <w:b/>
          <w:bCs/>
          <w:szCs w:val="24"/>
        </w:rPr>
        <w:t>Všeobecné</w:t>
      </w:r>
      <w:r w:rsidRPr="00EF6091">
        <w:t xml:space="preserve"> ciele:</w:t>
      </w:r>
    </w:p>
    <w:p w14:paraId="036DFE10" w14:textId="77777777" w:rsidR="00F411D4" w:rsidRPr="00EF6091" w:rsidRDefault="00F411D4" w:rsidP="00BC1135">
      <w:pPr>
        <w:jc w:val="both"/>
        <w:rPr>
          <w:szCs w:val="24"/>
        </w:rPr>
      </w:pPr>
      <w:r w:rsidRPr="00EF6091">
        <w:t>1. zabezpečiť fungovanie vnútorného trhu a zabrániť tak narušeniu hospodárskej súťaže alebo obchodným</w:t>
      </w:r>
    </w:p>
    <w:p w14:paraId="2DB87086" w14:textId="77777777" w:rsidR="00F411D4" w:rsidRPr="00EF6091" w:rsidRDefault="00F411D4" w:rsidP="00BC1135">
      <w:pPr>
        <w:jc w:val="both"/>
        <w:rPr>
          <w:szCs w:val="24"/>
        </w:rPr>
      </w:pPr>
      <w:r w:rsidRPr="00EF6091">
        <w:t>prekážkam (IA, s. 21),</w:t>
      </w:r>
    </w:p>
    <w:p w14:paraId="17C18DD0" w14:textId="77777777" w:rsidR="00F411D4" w:rsidRPr="00EF6091" w:rsidRDefault="00F411D4" w:rsidP="00BC1135">
      <w:pPr>
        <w:jc w:val="both"/>
        <w:rPr>
          <w:szCs w:val="24"/>
        </w:rPr>
      </w:pPr>
      <w:r w:rsidRPr="00EF6091">
        <w:t>2. zabezpečiť vysokú úroveň bezpečnosti prostredníctvom opatrení na prevenciu trestnej činnosti a boj proti nej.</w:t>
      </w:r>
    </w:p>
    <w:p w14:paraId="776A22D3" w14:textId="77777777" w:rsidR="00F411D4" w:rsidRPr="00EF6091" w:rsidRDefault="00F411D4" w:rsidP="00BC1135">
      <w:pPr>
        <w:jc w:val="both"/>
        <w:rPr>
          <w:szCs w:val="24"/>
        </w:rPr>
      </w:pPr>
    </w:p>
    <w:p w14:paraId="3DC6F6AF" w14:textId="77777777" w:rsidR="00F411D4" w:rsidRPr="00EF6091" w:rsidRDefault="00F411D4" w:rsidP="00BC1135">
      <w:pPr>
        <w:jc w:val="both"/>
        <w:rPr>
          <w:szCs w:val="24"/>
        </w:rPr>
      </w:pPr>
      <w:r w:rsidRPr="00EF6091">
        <w:rPr>
          <w:b/>
          <w:bCs/>
          <w:szCs w:val="24"/>
        </w:rPr>
        <w:t>Konkrétne</w:t>
      </w:r>
      <w:r w:rsidRPr="00EF6091">
        <w:t xml:space="preserve"> ciele:</w:t>
      </w:r>
    </w:p>
    <w:p w14:paraId="14F25F22" w14:textId="77777777" w:rsidR="00F411D4" w:rsidRPr="00EF6091" w:rsidRDefault="00F411D4" w:rsidP="00BC1135">
      <w:pPr>
        <w:jc w:val="both"/>
        <w:rPr>
          <w:szCs w:val="24"/>
        </w:rPr>
      </w:pPr>
      <w:r w:rsidRPr="00EF6091">
        <w:t>1. ďalej obmedzovať prístup k určitým prekurzorom výbušnín a posilňovať kontroly,</w:t>
      </w:r>
    </w:p>
    <w:p w14:paraId="313860BD" w14:textId="77777777" w:rsidR="00F411D4" w:rsidRPr="00EF6091" w:rsidRDefault="00F411D4" w:rsidP="00BC1135">
      <w:pPr>
        <w:jc w:val="both"/>
        <w:rPr>
          <w:szCs w:val="24"/>
        </w:rPr>
      </w:pPr>
      <w:r w:rsidRPr="00EF6091">
        <w:t>2. prispôsobiť obmedzenia a kontroly vyvíjajúcim sa hrozbám, ktoré sa týkajú prekurzorov výbušnín,</w:t>
      </w:r>
    </w:p>
    <w:p w14:paraId="5AE3EDC7" w14:textId="77777777" w:rsidR="00F411D4" w:rsidRPr="00EF6091" w:rsidRDefault="00F411D4" w:rsidP="00BC1135">
      <w:pPr>
        <w:jc w:val="both"/>
        <w:rPr>
          <w:szCs w:val="24"/>
        </w:rPr>
      </w:pPr>
      <w:r w:rsidRPr="00EF6091">
        <w:t>3. zlepšiť presadzovanie nariadenia zo strany príslušných orgánov,</w:t>
      </w:r>
    </w:p>
    <w:p w14:paraId="7525D131" w14:textId="77777777" w:rsidR="00F411D4" w:rsidRPr="00EF6091" w:rsidRDefault="00F411D4" w:rsidP="00BC1135">
      <w:pPr>
        <w:jc w:val="both"/>
        <w:rPr>
          <w:szCs w:val="24"/>
        </w:rPr>
      </w:pPr>
      <w:r w:rsidRPr="00EF6091">
        <w:t>4. zlepšiť prenos informácií a dodržiavanie súladu v rámci dodávateľského reťazca,</w:t>
      </w:r>
    </w:p>
    <w:p w14:paraId="46D74634" w14:textId="77777777" w:rsidR="00F411D4" w:rsidRPr="00EF6091" w:rsidRDefault="00F411D4" w:rsidP="00BC1135">
      <w:pPr>
        <w:jc w:val="both"/>
        <w:rPr>
          <w:szCs w:val="24"/>
        </w:rPr>
      </w:pPr>
      <w:r w:rsidRPr="00EF6091">
        <w:t>5. uľahčiť obchod v rámci EÚ a zabrániť narušeniu hospodárskej súťaže,</w:t>
      </w:r>
    </w:p>
    <w:p w14:paraId="4BAD070A" w14:textId="77777777" w:rsidR="00F411D4" w:rsidRPr="00EF6091" w:rsidRDefault="00F411D4" w:rsidP="00BC1135">
      <w:pPr>
        <w:jc w:val="both"/>
        <w:rPr>
          <w:szCs w:val="24"/>
        </w:rPr>
      </w:pPr>
      <w:r w:rsidRPr="00EF6091">
        <w:t>6. zlepšiť zrozumiteľnosť nariadenia a zabezpečiť jednotnosť jeho uplatňovania (IA, s. 21).</w:t>
      </w:r>
    </w:p>
    <w:p w14:paraId="47F3F5C8" w14:textId="77777777" w:rsidR="00F411D4" w:rsidRPr="00EF6091" w:rsidRDefault="00F411D4" w:rsidP="00BC1135">
      <w:pPr>
        <w:jc w:val="both"/>
        <w:rPr>
          <w:szCs w:val="24"/>
        </w:rPr>
      </w:pPr>
    </w:p>
    <w:p w14:paraId="7528C9C0" w14:textId="77777777" w:rsidR="00F411D4" w:rsidRPr="00EF6091" w:rsidRDefault="00F411D4" w:rsidP="00ED0B2C">
      <w:pPr>
        <w:keepNext/>
        <w:widowControl/>
        <w:spacing w:before="100" w:beforeAutospacing="1" w:after="100" w:afterAutospacing="1"/>
        <w:rPr>
          <w:szCs w:val="24"/>
        </w:rPr>
      </w:pPr>
      <w:r w:rsidRPr="00EF6091">
        <w:rPr>
          <w:b/>
          <w:szCs w:val="24"/>
        </w:rPr>
        <w:t>Stanovisko spravodajcu</w:t>
      </w:r>
      <w:r w:rsidRPr="00EF6091">
        <w:t xml:space="preserve"> </w:t>
      </w:r>
    </w:p>
    <w:p w14:paraId="38D0D19F" w14:textId="77777777" w:rsidR="00F411D4" w:rsidRPr="00EF6091" w:rsidRDefault="00F411D4" w:rsidP="00ED0B2C">
      <w:pPr>
        <w:keepNext/>
        <w:widowControl/>
        <w:spacing w:before="100" w:beforeAutospacing="1" w:after="100" w:afterAutospacing="1"/>
        <w:rPr>
          <w:szCs w:val="24"/>
        </w:rPr>
      </w:pPr>
      <w:r w:rsidRPr="00EF6091">
        <w:t xml:space="preserve">Spravodajca víta návrh nariadenia o prekurzoroch výbušnín [COM(2018)0209 final – 2018/0103(COD)], ktorý predložila Komisia. Skutočnosť, že v približne 40 % teroristických útokov spáchaných v Európskej únii v rokoch 2015 a 2016 boli použité doma vyrobené výbušniny, dokazuje, že je potrebné odstrániť existujúce nedostatky s cieľom obmedziť možnosti prístupu k vysokonebezpečným látkam. Spravodajca sa však domnieva, že niektoré aspekty návrhu Komisie by sa mohli vylepšiť, najmä pokiaľ ide o objasnenia a špecifikácie. </w:t>
      </w:r>
    </w:p>
    <w:p w14:paraId="3E0698CE" w14:textId="77777777" w:rsidR="00F411D4" w:rsidRPr="00EF6091" w:rsidRDefault="00F411D4" w:rsidP="002F5BC5">
      <w:pPr>
        <w:pStyle w:val="Normal12"/>
      </w:pPr>
      <w:r w:rsidRPr="00EF6091">
        <w:t>A na záver, spravodajca navrhuje predložené pozmeňujúce návrhy schváliť a zmenený návrh predložiť plénu na prijatie.</w:t>
      </w:r>
    </w:p>
    <w:p w14:paraId="7FF0D1B7" w14:textId="79C8FEC1" w:rsidR="002F5BC5" w:rsidRPr="00EF6091" w:rsidRDefault="0063487A" w:rsidP="002F5BC5">
      <w:pPr>
        <w:pStyle w:val="PageHeading"/>
      </w:pPr>
      <w:r w:rsidRPr="00EF6091">
        <w:br w:type="page"/>
      </w:r>
      <w:bookmarkStart w:id="5" w:name="ProcPageRR"/>
      <w:bookmarkStart w:id="6" w:name="_Toc535912267"/>
      <w:r w:rsidRPr="00EF6091">
        <w:t>POSTUP – GESTORSKÝ VÝBOR</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F5BC5" w:rsidRPr="00EF6091" w14:paraId="7A37BD5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AA54BD" w14:textId="77777777" w:rsidR="002F5BC5" w:rsidRPr="00EF6091" w:rsidRDefault="002F5BC5">
            <w:pPr>
              <w:autoSpaceDE w:val="0"/>
              <w:autoSpaceDN w:val="0"/>
              <w:adjustRightInd w:val="0"/>
              <w:rPr>
                <w:b/>
                <w:bCs/>
                <w:color w:val="000000"/>
                <w:sz w:val="20"/>
              </w:rPr>
            </w:pPr>
            <w:r w:rsidRPr="00EF6091">
              <w:rPr>
                <w:b/>
                <w:bCs/>
                <w:color w:val="000000"/>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81A8DC" w14:textId="77777777" w:rsidR="002F5BC5" w:rsidRPr="00EF6091" w:rsidRDefault="002F5BC5">
            <w:pPr>
              <w:autoSpaceDE w:val="0"/>
              <w:autoSpaceDN w:val="0"/>
              <w:adjustRightInd w:val="0"/>
              <w:rPr>
                <w:color w:val="000000"/>
                <w:sz w:val="20"/>
              </w:rPr>
            </w:pPr>
            <w:r w:rsidRPr="00EF6091">
              <w:rPr>
                <w:color w:val="000000"/>
                <w:sz w:val="20"/>
              </w:rPr>
              <w:t>Uvádzanie prekurzorov výbušnín na trh a ich používanie</w:t>
            </w:r>
          </w:p>
        </w:tc>
      </w:tr>
      <w:tr w:rsidR="002F5BC5" w:rsidRPr="00EF6091" w14:paraId="1925F76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687087" w14:textId="77777777" w:rsidR="002F5BC5" w:rsidRPr="00EF6091" w:rsidRDefault="002F5BC5">
            <w:pPr>
              <w:autoSpaceDE w:val="0"/>
              <w:autoSpaceDN w:val="0"/>
              <w:adjustRightInd w:val="0"/>
              <w:rPr>
                <w:b/>
                <w:bCs/>
                <w:color w:val="000000"/>
                <w:sz w:val="20"/>
              </w:rPr>
            </w:pPr>
            <w:r w:rsidRPr="00EF6091">
              <w:rPr>
                <w:b/>
                <w:bCs/>
                <w:color w:val="000000"/>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CB1B97F" w14:textId="77777777" w:rsidR="002F5BC5" w:rsidRPr="00EF6091" w:rsidRDefault="002F5BC5">
            <w:pPr>
              <w:autoSpaceDE w:val="0"/>
              <w:autoSpaceDN w:val="0"/>
              <w:adjustRightInd w:val="0"/>
              <w:rPr>
                <w:color w:val="000000"/>
                <w:sz w:val="20"/>
              </w:rPr>
            </w:pPr>
            <w:r w:rsidRPr="00EF6091">
              <w:rPr>
                <w:color w:val="000000"/>
                <w:sz w:val="20"/>
              </w:rPr>
              <w:t>COM(2018)0209 – C8-0151/2018 – 2018/0103(COD)</w:t>
            </w:r>
          </w:p>
        </w:tc>
      </w:tr>
      <w:tr w:rsidR="002F5BC5" w:rsidRPr="00EF6091" w14:paraId="51F865A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0921CF0" w14:textId="77777777" w:rsidR="002F5BC5" w:rsidRPr="00EF6091" w:rsidRDefault="002F5BC5">
            <w:pPr>
              <w:autoSpaceDE w:val="0"/>
              <w:autoSpaceDN w:val="0"/>
              <w:adjustRightInd w:val="0"/>
              <w:rPr>
                <w:b/>
                <w:bCs/>
                <w:color w:val="000000"/>
                <w:sz w:val="20"/>
              </w:rPr>
            </w:pPr>
            <w:r w:rsidRPr="00EF6091">
              <w:rPr>
                <w:b/>
                <w:bCs/>
                <w:color w:val="000000"/>
                <w:sz w:val="20"/>
              </w:rPr>
              <w:t>Dátum predloženia v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6D0531" w14:textId="77777777" w:rsidR="002F5BC5" w:rsidRPr="00EF6091" w:rsidRDefault="002F5BC5">
            <w:pPr>
              <w:autoSpaceDE w:val="0"/>
              <w:autoSpaceDN w:val="0"/>
              <w:adjustRightInd w:val="0"/>
              <w:rPr>
                <w:color w:val="000000"/>
                <w:sz w:val="20"/>
              </w:rPr>
            </w:pPr>
            <w:r w:rsidRPr="00EF6091">
              <w:rPr>
                <w:color w:val="000000"/>
                <w:sz w:val="20"/>
              </w:rPr>
              <w:t>17.4.2018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16D191E" w14:textId="77777777" w:rsidR="002F5BC5" w:rsidRPr="00EF6091" w:rsidRDefault="002F5B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697873" w14:textId="77777777" w:rsidR="002F5BC5" w:rsidRPr="00EF6091" w:rsidRDefault="002F5B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3ECAD7" w14:textId="77777777" w:rsidR="002F5BC5" w:rsidRPr="00EF6091" w:rsidRDefault="002F5BC5">
            <w:pPr>
              <w:autoSpaceDE w:val="0"/>
              <w:autoSpaceDN w:val="0"/>
              <w:adjustRightInd w:val="0"/>
              <w:rPr>
                <w:rFonts w:ascii="sans-serif" w:hAnsi="sans-serif" w:cs="sans-serif"/>
                <w:color w:val="000000"/>
                <w:szCs w:val="24"/>
              </w:rPr>
            </w:pPr>
          </w:p>
        </w:tc>
      </w:tr>
      <w:tr w:rsidR="002F5BC5" w:rsidRPr="00EF6091" w14:paraId="0CF82BF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5FD54A" w14:textId="77777777" w:rsidR="002F5BC5" w:rsidRPr="00EF6091" w:rsidRDefault="002F5BC5">
            <w:pPr>
              <w:autoSpaceDE w:val="0"/>
              <w:autoSpaceDN w:val="0"/>
              <w:adjustRightInd w:val="0"/>
              <w:rPr>
                <w:b/>
                <w:bCs/>
                <w:color w:val="000000"/>
                <w:sz w:val="20"/>
              </w:rPr>
            </w:pPr>
            <w:r w:rsidRPr="00EF6091">
              <w:rPr>
                <w:b/>
                <w:bCs/>
                <w:color w:val="000000"/>
                <w:sz w:val="20"/>
              </w:rPr>
              <w:t>Gestorský výbor</w:t>
            </w:r>
          </w:p>
          <w:p w14:paraId="14863EC5" w14:textId="77777777" w:rsidR="002F5BC5" w:rsidRPr="00EF6091" w:rsidRDefault="002F5BC5">
            <w:pPr>
              <w:autoSpaceDE w:val="0"/>
              <w:autoSpaceDN w:val="0"/>
              <w:adjustRightInd w:val="0"/>
              <w:rPr>
                <w:color w:val="000000"/>
                <w:sz w:val="20"/>
              </w:rPr>
            </w:pPr>
            <w:r w:rsidRPr="00EF6091">
              <w:rPr>
                <w:color w:val="000000"/>
                <w:sz w:val="20"/>
              </w:rPr>
              <w:t>       dátum oznámenia na schôdzi</w:t>
            </w:r>
          </w:p>
        </w:tc>
        <w:tc>
          <w:tcPr>
            <w:tcW w:w="1530" w:type="dxa"/>
            <w:tcBorders>
              <w:top w:val="nil"/>
              <w:left w:val="nil"/>
              <w:bottom w:val="single" w:sz="8" w:space="0" w:color="000000"/>
              <w:right w:val="nil"/>
            </w:tcBorders>
            <w:tcMar>
              <w:top w:w="79" w:type="dxa"/>
              <w:left w:w="79" w:type="dxa"/>
              <w:bottom w:w="79" w:type="dxa"/>
              <w:right w:w="79" w:type="dxa"/>
            </w:tcMar>
          </w:tcPr>
          <w:p w14:paraId="7D22B898" w14:textId="77777777" w:rsidR="002F5BC5" w:rsidRPr="00EF6091" w:rsidRDefault="002F5BC5">
            <w:pPr>
              <w:autoSpaceDE w:val="0"/>
              <w:autoSpaceDN w:val="0"/>
              <w:adjustRightInd w:val="0"/>
              <w:rPr>
                <w:color w:val="000000"/>
                <w:sz w:val="20"/>
              </w:rPr>
            </w:pPr>
            <w:r w:rsidRPr="00EF6091">
              <w:rPr>
                <w:color w:val="000000"/>
                <w:sz w:val="20"/>
              </w:rPr>
              <w:t>LIBE</w:t>
            </w:r>
          </w:p>
          <w:p w14:paraId="3810A5CA" w14:textId="77777777" w:rsidR="002F5BC5" w:rsidRPr="00EF6091" w:rsidRDefault="002F5BC5">
            <w:pPr>
              <w:autoSpaceDE w:val="0"/>
              <w:autoSpaceDN w:val="0"/>
              <w:adjustRightInd w:val="0"/>
              <w:rPr>
                <w:color w:val="000000"/>
                <w:sz w:val="20"/>
              </w:rPr>
            </w:pPr>
            <w:r w:rsidRPr="00EF6091">
              <w:rPr>
                <w:color w:val="000000"/>
                <w:sz w:val="20"/>
              </w:rPr>
              <w:t>28.5.2018</w:t>
            </w:r>
          </w:p>
        </w:tc>
        <w:tc>
          <w:tcPr>
            <w:tcW w:w="1474" w:type="dxa"/>
            <w:tcBorders>
              <w:top w:val="nil"/>
              <w:left w:val="nil"/>
              <w:bottom w:val="single" w:sz="8" w:space="0" w:color="000000"/>
              <w:right w:val="nil"/>
            </w:tcBorders>
            <w:tcMar>
              <w:top w:w="79" w:type="dxa"/>
              <w:left w:w="79" w:type="dxa"/>
              <w:bottom w:w="79" w:type="dxa"/>
              <w:right w:w="79" w:type="dxa"/>
            </w:tcMar>
          </w:tcPr>
          <w:p w14:paraId="71B518E9" w14:textId="77777777" w:rsidR="002F5BC5" w:rsidRPr="00EF6091" w:rsidRDefault="002F5B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B899D60" w14:textId="77777777" w:rsidR="002F5BC5" w:rsidRPr="00EF6091" w:rsidRDefault="002F5B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9675A17" w14:textId="77777777" w:rsidR="002F5BC5" w:rsidRPr="00EF6091" w:rsidRDefault="002F5BC5">
            <w:pPr>
              <w:autoSpaceDE w:val="0"/>
              <w:autoSpaceDN w:val="0"/>
              <w:adjustRightInd w:val="0"/>
              <w:rPr>
                <w:rFonts w:ascii="sans-serif" w:hAnsi="sans-serif" w:cs="sans-serif"/>
                <w:color w:val="000000"/>
                <w:szCs w:val="24"/>
              </w:rPr>
            </w:pPr>
          </w:p>
        </w:tc>
      </w:tr>
      <w:tr w:rsidR="002F5BC5" w:rsidRPr="00EF6091" w14:paraId="2B6E1A8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BBE6F8" w14:textId="77777777" w:rsidR="002F5BC5" w:rsidRPr="00EF6091" w:rsidRDefault="002F5BC5">
            <w:pPr>
              <w:autoSpaceDE w:val="0"/>
              <w:autoSpaceDN w:val="0"/>
              <w:adjustRightInd w:val="0"/>
              <w:rPr>
                <w:b/>
                <w:bCs/>
                <w:color w:val="000000"/>
                <w:sz w:val="20"/>
              </w:rPr>
            </w:pPr>
            <w:r w:rsidRPr="00EF6091">
              <w:rPr>
                <w:b/>
                <w:bCs/>
                <w:color w:val="000000"/>
                <w:sz w:val="20"/>
              </w:rPr>
              <w:t>Výbory požiadané o stanovisko</w:t>
            </w:r>
          </w:p>
          <w:p w14:paraId="6E988711" w14:textId="77777777" w:rsidR="002F5BC5" w:rsidRPr="00EF6091" w:rsidRDefault="002F5BC5">
            <w:pPr>
              <w:autoSpaceDE w:val="0"/>
              <w:autoSpaceDN w:val="0"/>
              <w:adjustRightInd w:val="0"/>
              <w:rPr>
                <w:color w:val="000000"/>
                <w:sz w:val="20"/>
              </w:rPr>
            </w:pPr>
            <w:r w:rsidRPr="00EF6091">
              <w:rPr>
                <w:color w:val="000000"/>
                <w:sz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C82823F" w14:textId="77777777" w:rsidR="002F5BC5" w:rsidRPr="00EF6091" w:rsidRDefault="002F5BC5">
            <w:pPr>
              <w:autoSpaceDE w:val="0"/>
              <w:autoSpaceDN w:val="0"/>
              <w:adjustRightInd w:val="0"/>
              <w:rPr>
                <w:color w:val="000000"/>
                <w:sz w:val="20"/>
              </w:rPr>
            </w:pPr>
            <w:r w:rsidRPr="00EF6091">
              <w:rPr>
                <w:color w:val="000000"/>
                <w:sz w:val="20"/>
              </w:rPr>
              <w:t>ENVI</w:t>
            </w:r>
          </w:p>
          <w:p w14:paraId="65CB9A74" w14:textId="77777777" w:rsidR="002F5BC5" w:rsidRPr="00EF6091" w:rsidRDefault="002F5BC5">
            <w:pPr>
              <w:autoSpaceDE w:val="0"/>
              <w:autoSpaceDN w:val="0"/>
              <w:adjustRightInd w:val="0"/>
              <w:rPr>
                <w:color w:val="000000"/>
                <w:sz w:val="20"/>
              </w:rPr>
            </w:pPr>
            <w:r w:rsidRPr="00EF6091">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EF13FD0" w14:textId="77777777" w:rsidR="002F5BC5" w:rsidRPr="00EF6091" w:rsidRDefault="002F5BC5">
            <w:pPr>
              <w:autoSpaceDE w:val="0"/>
              <w:autoSpaceDN w:val="0"/>
              <w:adjustRightInd w:val="0"/>
              <w:rPr>
                <w:color w:val="000000"/>
                <w:sz w:val="20"/>
              </w:rPr>
            </w:pPr>
            <w:r w:rsidRPr="00EF6091">
              <w:rPr>
                <w:color w:val="000000"/>
                <w:sz w:val="20"/>
              </w:rPr>
              <w:t>ITRE</w:t>
            </w:r>
          </w:p>
          <w:p w14:paraId="1829E914" w14:textId="77777777" w:rsidR="002F5BC5" w:rsidRPr="00EF6091" w:rsidRDefault="002F5BC5">
            <w:pPr>
              <w:autoSpaceDE w:val="0"/>
              <w:autoSpaceDN w:val="0"/>
              <w:adjustRightInd w:val="0"/>
              <w:rPr>
                <w:color w:val="000000"/>
                <w:sz w:val="20"/>
              </w:rPr>
            </w:pPr>
            <w:r w:rsidRPr="00EF6091">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DF67EE" w14:textId="77777777" w:rsidR="002F5BC5" w:rsidRPr="00EF6091" w:rsidRDefault="002F5BC5">
            <w:pPr>
              <w:autoSpaceDE w:val="0"/>
              <w:autoSpaceDN w:val="0"/>
              <w:adjustRightInd w:val="0"/>
              <w:rPr>
                <w:color w:val="000000"/>
                <w:sz w:val="20"/>
              </w:rPr>
            </w:pPr>
            <w:r w:rsidRPr="00EF6091">
              <w:rPr>
                <w:color w:val="000000"/>
                <w:sz w:val="20"/>
              </w:rPr>
              <w:t>IMCO</w:t>
            </w:r>
          </w:p>
          <w:p w14:paraId="07A2C9C4" w14:textId="77777777" w:rsidR="002F5BC5" w:rsidRPr="00EF6091" w:rsidRDefault="002F5BC5">
            <w:pPr>
              <w:autoSpaceDE w:val="0"/>
              <w:autoSpaceDN w:val="0"/>
              <w:adjustRightInd w:val="0"/>
              <w:rPr>
                <w:color w:val="000000"/>
                <w:sz w:val="20"/>
              </w:rPr>
            </w:pPr>
            <w:r w:rsidRPr="00EF6091">
              <w:rPr>
                <w:color w:val="000000"/>
                <w:sz w:val="20"/>
              </w:rPr>
              <w:t>28.5.2018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230F71" w14:textId="77777777" w:rsidR="002F5BC5" w:rsidRPr="00EF6091" w:rsidRDefault="002F5BC5">
            <w:pPr>
              <w:autoSpaceDE w:val="0"/>
              <w:autoSpaceDN w:val="0"/>
              <w:adjustRightInd w:val="0"/>
              <w:rPr>
                <w:color w:val="000000"/>
                <w:sz w:val="20"/>
              </w:rPr>
            </w:pPr>
            <w:r w:rsidRPr="00EF6091">
              <w:rPr>
                <w:color w:val="000000"/>
                <w:sz w:val="20"/>
              </w:rPr>
              <w:t>JURI</w:t>
            </w:r>
          </w:p>
          <w:p w14:paraId="5B140E1B" w14:textId="77777777" w:rsidR="002F5BC5" w:rsidRPr="00EF6091" w:rsidRDefault="002F5BC5">
            <w:pPr>
              <w:autoSpaceDE w:val="0"/>
              <w:autoSpaceDN w:val="0"/>
              <w:adjustRightInd w:val="0"/>
              <w:rPr>
                <w:color w:val="000000"/>
                <w:sz w:val="20"/>
              </w:rPr>
            </w:pPr>
            <w:r w:rsidRPr="00EF6091">
              <w:rPr>
                <w:color w:val="000000"/>
                <w:sz w:val="20"/>
              </w:rPr>
              <w:t>28.5.2018</w:t>
            </w:r>
          </w:p>
        </w:tc>
      </w:tr>
      <w:tr w:rsidR="002F5BC5" w:rsidRPr="00EF6091" w14:paraId="2255030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9FC2BB2" w14:textId="77777777" w:rsidR="002F5BC5" w:rsidRPr="00EF6091" w:rsidRDefault="002F5BC5">
            <w:pPr>
              <w:autoSpaceDE w:val="0"/>
              <w:autoSpaceDN w:val="0"/>
              <w:adjustRightInd w:val="0"/>
              <w:rPr>
                <w:b/>
                <w:bCs/>
                <w:color w:val="000000"/>
                <w:sz w:val="20"/>
              </w:rPr>
            </w:pPr>
            <w:r w:rsidRPr="00EF6091">
              <w:rPr>
                <w:b/>
                <w:bCs/>
                <w:color w:val="000000"/>
                <w:sz w:val="20"/>
              </w:rPr>
              <w:t>Bez predloženia stanoviska</w:t>
            </w:r>
          </w:p>
          <w:p w14:paraId="1A251B2A" w14:textId="77777777" w:rsidR="002F5BC5" w:rsidRPr="00EF6091" w:rsidRDefault="002F5BC5">
            <w:pPr>
              <w:autoSpaceDE w:val="0"/>
              <w:autoSpaceDN w:val="0"/>
              <w:adjustRightInd w:val="0"/>
              <w:rPr>
                <w:color w:val="000000"/>
                <w:sz w:val="20"/>
              </w:rPr>
            </w:pPr>
            <w:r w:rsidRPr="00EF6091">
              <w:rPr>
                <w:color w:val="000000"/>
                <w:sz w:val="20"/>
              </w:rPr>
              <w:t>       dátum rozhodnutia</w:t>
            </w:r>
          </w:p>
        </w:tc>
        <w:tc>
          <w:tcPr>
            <w:tcW w:w="1530" w:type="dxa"/>
            <w:tcBorders>
              <w:top w:val="nil"/>
              <w:left w:val="nil"/>
              <w:bottom w:val="single" w:sz="8" w:space="0" w:color="000000"/>
              <w:right w:val="nil"/>
            </w:tcBorders>
            <w:tcMar>
              <w:top w:w="79" w:type="dxa"/>
              <w:left w:w="79" w:type="dxa"/>
              <w:bottom w:w="79" w:type="dxa"/>
              <w:right w:w="79" w:type="dxa"/>
            </w:tcMar>
          </w:tcPr>
          <w:p w14:paraId="1C8FE962" w14:textId="77777777" w:rsidR="002F5BC5" w:rsidRPr="00EF6091" w:rsidRDefault="002F5BC5">
            <w:pPr>
              <w:autoSpaceDE w:val="0"/>
              <w:autoSpaceDN w:val="0"/>
              <w:adjustRightInd w:val="0"/>
              <w:rPr>
                <w:color w:val="000000"/>
                <w:sz w:val="20"/>
              </w:rPr>
            </w:pPr>
            <w:r w:rsidRPr="00EF6091">
              <w:rPr>
                <w:color w:val="000000"/>
                <w:sz w:val="20"/>
              </w:rPr>
              <w:t>ENVI</w:t>
            </w:r>
          </w:p>
          <w:p w14:paraId="57F9273F" w14:textId="77777777" w:rsidR="002F5BC5" w:rsidRPr="00EF6091" w:rsidRDefault="002F5BC5">
            <w:pPr>
              <w:autoSpaceDE w:val="0"/>
              <w:autoSpaceDN w:val="0"/>
              <w:adjustRightInd w:val="0"/>
              <w:rPr>
                <w:color w:val="000000"/>
                <w:sz w:val="20"/>
              </w:rPr>
            </w:pPr>
            <w:r w:rsidRPr="00EF6091">
              <w:rPr>
                <w:color w:val="000000"/>
                <w:sz w:val="20"/>
              </w:rPr>
              <w:t>16.5.2018</w:t>
            </w:r>
          </w:p>
        </w:tc>
        <w:tc>
          <w:tcPr>
            <w:tcW w:w="1474" w:type="dxa"/>
            <w:tcBorders>
              <w:top w:val="nil"/>
              <w:left w:val="nil"/>
              <w:bottom w:val="single" w:sz="8" w:space="0" w:color="000000"/>
              <w:right w:val="nil"/>
            </w:tcBorders>
            <w:tcMar>
              <w:top w:w="79" w:type="dxa"/>
              <w:left w:w="79" w:type="dxa"/>
              <w:bottom w:w="79" w:type="dxa"/>
              <w:right w:w="79" w:type="dxa"/>
            </w:tcMar>
          </w:tcPr>
          <w:p w14:paraId="0C638324" w14:textId="77777777" w:rsidR="002F5BC5" w:rsidRPr="00EF6091" w:rsidRDefault="002F5BC5">
            <w:pPr>
              <w:autoSpaceDE w:val="0"/>
              <w:autoSpaceDN w:val="0"/>
              <w:adjustRightInd w:val="0"/>
              <w:rPr>
                <w:color w:val="000000"/>
                <w:sz w:val="20"/>
              </w:rPr>
            </w:pPr>
            <w:r w:rsidRPr="00EF6091">
              <w:rPr>
                <w:color w:val="000000"/>
                <w:sz w:val="20"/>
              </w:rPr>
              <w:t>ITRE</w:t>
            </w:r>
          </w:p>
          <w:p w14:paraId="60AABB17" w14:textId="77777777" w:rsidR="002F5BC5" w:rsidRPr="00EF6091" w:rsidRDefault="002F5BC5">
            <w:pPr>
              <w:autoSpaceDE w:val="0"/>
              <w:autoSpaceDN w:val="0"/>
              <w:adjustRightInd w:val="0"/>
              <w:rPr>
                <w:color w:val="000000"/>
                <w:sz w:val="20"/>
              </w:rPr>
            </w:pPr>
            <w:r w:rsidRPr="00EF6091">
              <w:rPr>
                <w:color w:val="000000"/>
                <w:sz w:val="20"/>
              </w:rPr>
              <w:t>28.5.2018</w:t>
            </w:r>
          </w:p>
        </w:tc>
        <w:tc>
          <w:tcPr>
            <w:tcW w:w="1474" w:type="dxa"/>
            <w:tcBorders>
              <w:top w:val="nil"/>
              <w:left w:val="nil"/>
              <w:bottom w:val="single" w:sz="8" w:space="0" w:color="000000"/>
              <w:right w:val="nil"/>
            </w:tcBorders>
            <w:tcMar>
              <w:top w:w="79" w:type="dxa"/>
              <w:left w:w="79" w:type="dxa"/>
              <w:bottom w:w="79" w:type="dxa"/>
              <w:right w:w="79" w:type="dxa"/>
            </w:tcMar>
          </w:tcPr>
          <w:p w14:paraId="10D85858" w14:textId="77777777" w:rsidR="002F5BC5" w:rsidRPr="00EF6091" w:rsidRDefault="002F5BC5">
            <w:pPr>
              <w:autoSpaceDE w:val="0"/>
              <w:autoSpaceDN w:val="0"/>
              <w:adjustRightInd w:val="0"/>
              <w:rPr>
                <w:color w:val="000000"/>
                <w:sz w:val="20"/>
              </w:rPr>
            </w:pPr>
            <w:r w:rsidRPr="00EF6091">
              <w:rPr>
                <w:color w:val="000000"/>
                <w:sz w:val="20"/>
              </w:rPr>
              <w:t>IMCO</w:t>
            </w:r>
          </w:p>
          <w:p w14:paraId="56C1EC87" w14:textId="77777777" w:rsidR="002F5BC5" w:rsidRPr="00EF6091" w:rsidRDefault="002F5BC5">
            <w:pPr>
              <w:autoSpaceDE w:val="0"/>
              <w:autoSpaceDN w:val="0"/>
              <w:adjustRightInd w:val="0"/>
              <w:rPr>
                <w:color w:val="000000"/>
                <w:sz w:val="20"/>
              </w:rPr>
            </w:pPr>
            <w:r w:rsidRPr="00EF6091">
              <w:rPr>
                <w:color w:val="000000"/>
                <w:sz w:val="20"/>
              </w:rPr>
              <w:t>16.5.2018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89BD899" w14:textId="77777777" w:rsidR="002F5BC5" w:rsidRPr="00EF6091" w:rsidRDefault="002F5BC5">
            <w:pPr>
              <w:autoSpaceDE w:val="0"/>
              <w:autoSpaceDN w:val="0"/>
              <w:adjustRightInd w:val="0"/>
              <w:rPr>
                <w:color w:val="000000"/>
                <w:sz w:val="20"/>
              </w:rPr>
            </w:pPr>
            <w:r w:rsidRPr="00EF6091">
              <w:rPr>
                <w:color w:val="000000"/>
                <w:sz w:val="20"/>
              </w:rPr>
              <w:t>JURI</w:t>
            </w:r>
          </w:p>
          <w:p w14:paraId="3DD15274" w14:textId="77777777" w:rsidR="002F5BC5" w:rsidRPr="00EF6091" w:rsidRDefault="002F5BC5">
            <w:pPr>
              <w:autoSpaceDE w:val="0"/>
              <w:autoSpaceDN w:val="0"/>
              <w:adjustRightInd w:val="0"/>
              <w:rPr>
                <w:color w:val="000000"/>
                <w:sz w:val="20"/>
              </w:rPr>
            </w:pPr>
            <w:r w:rsidRPr="00EF6091">
              <w:rPr>
                <w:color w:val="000000"/>
                <w:sz w:val="20"/>
              </w:rPr>
              <w:t>23.4.2018</w:t>
            </w:r>
          </w:p>
        </w:tc>
      </w:tr>
      <w:tr w:rsidR="002F5BC5" w:rsidRPr="00EF6091" w14:paraId="05AB4D3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6324E6" w14:textId="77777777" w:rsidR="002F5BC5" w:rsidRPr="00EF6091" w:rsidRDefault="002F5BC5">
            <w:pPr>
              <w:autoSpaceDE w:val="0"/>
              <w:autoSpaceDN w:val="0"/>
              <w:adjustRightInd w:val="0"/>
              <w:rPr>
                <w:b/>
                <w:bCs/>
                <w:color w:val="000000"/>
                <w:sz w:val="20"/>
              </w:rPr>
            </w:pPr>
            <w:r w:rsidRPr="00EF6091">
              <w:rPr>
                <w:b/>
                <w:bCs/>
                <w:color w:val="000000"/>
                <w:sz w:val="20"/>
              </w:rPr>
              <w:t>Spravodajcovia</w:t>
            </w:r>
          </w:p>
          <w:p w14:paraId="208B6C37" w14:textId="77777777" w:rsidR="002F5BC5" w:rsidRPr="00EF6091" w:rsidRDefault="002F5BC5">
            <w:pPr>
              <w:autoSpaceDE w:val="0"/>
              <w:autoSpaceDN w:val="0"/>
              <w:adjustRightInd w:val="0"/>
              <w:rPr>
                <w:color w:val="000000"/>
                <w:sz w:val="20"/>
              </w:rPr>
            </w:pPr>
            <w:r w:rsidRPr="00EF6091">
              <w:rPr>
                <w:color w:val="000000"/>
                <w:sz w:val="20"/>
              </w:rPr>
              <w:t>       dátum vymenovania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C33999" w14:textId="77777777" w:rsidR="002F5BC5" w:rsidRPr="00EF6091" w:rsidRDefault="002F5BC5">
            <w:pPr>
              <w:autoSpaceDE w:val="0"/>
              <w:autoSpaceDN w:val="0"/>
              <w:adjustRightInd w:val="0"/>
              <w:rPr>
                <w:color w:val="000000"/>
                <w:sz w:val="20"/>
              </w:rPr>
            </w:pPr>
            <w:r w:rsidRPr="00EF6091">
              <w:rPr>
                <w:color w:val="000000"/>
                <w:sz w:val="20"/>
              </w:rPr>
              <w:t>Andrejs Mamikins</w:t>
            </w:r>
          </w:p>
          <w:p w14:paraId="1F855E3A" w14:textId="77777777" w:rsidR="002F5BC5" w:rsidRPr="00EF6091" w:rsidRDefault="002F5BC5">
            <w:pPr>
              <w:autoSpaceDE w:val="0"/>
              <w:autoSpaceDN w:val="0"/>
              <w:adjustRightInd w:val="0"/>
              <w:rPr>
                <w:color w:val="000000"/>
                <w:sz w:val="20"/>
              </w:rPr>
            </w:pPr>
            <w:r w:rsidRPr="00EF6091">
              <w:rPr>
                <w:color w:val="000000"/>
                <w:sz w:val="20"/>
              </w:rPr>
              <w:t>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A7CA106" w14:textId="77777777" w:rsidR="002F5BC5" w:rsidRPr="00EF6091" w:rsidRDefault="002F5B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A3A47BB" w14:textId="77777777" w:rsidR="002F5BC5" w:rsidRPr="00EF6091" w:rsidRDefault="002F5B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8DEC7FF" w14:textId="77777777" w:rsidR="002F5BC5" w:rsidRPr="00EF6091" w:rsidRDefault="002F5BC5">
            <w:pPr>
              <w:autoSpaceDE w:val="0"/>
              <w:autoSpaceDN w:val="0"/>
              <w:adjustRightInd w:val="0"/>
              <w:rPr>
                <w:rFonts w:ascii="sans-serif" w:hAnsi="sans-serif" w:cs="sans-serif"/>
                <w:color w:val="000000"/>
                <w:szCs w:val="24"/>
              </w:rPr>
            </w:pPr>
          </w:p>
        </w:tc>
      </w:tr>
      <w:tr w:rsidR="002F5BC5" w:rsidRPr="00EF6091" w14:paraId="58E059A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7BF0191" w14:textId="77777777" w:rsidR="002F5BC5" w:rsidRPr="00EF6091" w:rsidRDefault="002F5BC5">
            <w:pPr>
              <w:autoSpaceDE w:val="0"/>
              <w:autoSpaceDN w:val="0"/>
              <w:adjustRightInd w:val="0"/>
              <w:rPr>
                <w:b/>
                <w:bCs/>
                <w:color w:val="000000"/>
                <w:sz w:val="20"/>
              </w:rPr>
            </w:pPr>
            <w:r w:rsidRPr="00EF6091">
              <w:rPr>
                <w:b/>
                <w:bCs/>
                <w:color w:val="000000"/>
                <w:sz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5ABDA71" w14:textId="77777777" w:rsidR="002F5BC5" w:rsidRPr="00EF6091" w:rsidRDefault="002F5BC5">
            <w:pPr>
              <w:autoSpaceDE w:val="0"/>
              <w:autoSpaceDN w:val="0"/>
              <w:adjustRightInd w:val="0"/>
              <w:rPr>
                <w:color w:val="000000"/>
                <w:sz w:val="20"/>
              </w:rPr>
            </w:pPr>
            <w:r w:rsidRPr="00EF6091">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CE7CE74" w14:textId="77777777" w:rsidR="002F5BC5" w:rsidRPr="00EF6091" w:rsidRDefault="002F5BC5">
            <w:pPr>
              <w:autoSpaceDE w:val="0"/>
              <w:autoSpaceDN w:val="0"/>
              <w:adjustRightInd w:val="0"/>
              <w:rPr>
                <w:color w:val="000000"/>
                <w:sz w:val="20"/>
              </w:rPr>
            </w:pPr>
            <w:r w:rsidRPr="00EF6091">
              <w:rPr>
                <w:color w:val="000000"/>
                <w:sz w:val="20"/>
              </w:rPr>
              <w:t>18.10.2018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E83B30" w14:textId="77777777" w:rsidR="002F5BC5" w:rsidRPr="00EF6091" w:rsidRDefault="002F5BC5">
            <w:pPr>
              <w:autoSpaceDE w:val="0"/>
              <w:autoSpaceDN w:val="0"/>
              <w:adjustRightInd w:val="0"/>
              <w:rPr>
                <w:color w:val="000000"/>
                <w:sz w:val="20"/>
              </w:rPr>
            </w:pPr>
            <w:r w:rsidRPr="00EF6091">
              <w:rPr>
                <w:color w:val="000000"/>
                <w:sz w:val="20"/>
              </w:rPr>
              <w:t>19.11.2018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3394CD" w14:textId="77777777" w:rsidR="002F5BC5" w:rsidRPr="00EF6091" w:rsidRDefault="002F5BC5">
            <w:pPr>
              <w:autoSpaceDE w:val="0"/>
              <w:autoSpaceDN w:val="0"/>
              <w:adjustRightInd w:val="0"/>
              <w:rPr>
                <w:color w:val="000000"/>
                <w:sz w:val="20"/>
              </w:rPr>
            </w:pPr>
            <w:r w:rsidRPr="00EF6091">
              <w:rPr>
                <w:color w:val="000000"/>
                <w:sz w:val="20"/>
              </w:rPr>
              <w:t>10.12.2018</w:t>
            </w:r>
          </w:p>
        </w:tc>
      </w:tr>
      <w:tr w:rsidR="002F5BC5" w:rsidRPr="00EF6091" w14:paraId="5A123D0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1DD66EA" w14:textId="77777777" w:rsidR="002F5BC5" w:rsidRPr="00EF6091" w:rsidRDefault="002F5BC5">
            <w:pPr>
              <w:autoSpaceDE w:val="0"/>
              <w:autoSpaceDN w:val="0"/>
              <w:adjustRightInd w:val="0"/>
              <w:rPr>
                <w:b/>
                <w:bCs/>
                <w:color w:val="000000"/>
                <w:sz w:val="20"/>
              </w:rPr>
            </w:pPr>
            <w:r w:rsidRPr="00EF6091">
              <w:rPr>
                <w:b/>
                <w:bCs/>
                <w:color w:val="000000"/>
                <w:sz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14:paraId="15C1FEC5" w14:textId="77777777" w:rsidR="002F5BC5" w:rsidRPr="00EF6091" w:rsidRDefault="002F5BC5">
            <w:pPr>
              <w:autoSpaceDE w:val="0"/>
              <w:autoSpaceDN w:val="0"/>
              <w:adjustRightInd w:val="0"/>
              <w:rPr>
                <w:color w:val="000000"/>
                <w:sz w:val="20"/>
              </w:rPr>
            </w:pPr>
            <w:r w:rsidRPr="00EF6091">
              <w:rPr>
                <w:color w:val="000000"/>
                <w:sz w:val="20"/>
              </w:rPr>
              <w:t>10.12.2018</w:t>
            </w:r>
          </w:p>
        </w:tc>
        <w:tc>
          <w:tcPr>
            <w:tcW w:w="1474" w:type="dxa"/>
            <w:tcBorders>
              <w:top w:val="nil"/>
              <w:left w:val="nil"/>
              <w:bottom w:val="single" w:sz="8" w:space="0" w:color="000000"/>
              <w:right w:val="nil"/>
            </w:tcBorders>
            <w:tcMar>
              <w:top w:w="79" w:type="dxa"/>
              <w:left w:w="79" w:type="dxa"/>
              <w:bottom w:w="79" w:type="dxa"/>
              <w:right w:w="79" w:type="dxa"/>
            </w:tcMar>
          </w:tcPr>
          <w:p w14:paraId="4E578449" w14:textId="77777777" w:rsidR="002F5BC5" w:rsidRPr="00EF6091" w:rsidRDefault="002F5B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E7AD19E" w14:textId="77777777" w:rsidR="002F5BC5" w:rsidRPr="00EF6091" w:rsidRDefault="002F5B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8C85FDC" w14:textId="77777777" w:rsidR="002F5BC5" w:rsidRPr="00EF6091" w:rsidRDefault="002F5BC5">
            <w:pPr>
              <w:autoSpaceDE w:val="0"/>
              <w:autoSpaceDN w:val="0"/>
              <w:adjustRightInd w:val="0"/>
              <w:rPr>
                <w:rFonts w:ascii="sans-serif" w:hAnsi="sans-serif" w:cs="sans-serif"/>
                <w:color w:val="000000"/>
                <w:szCs w:val="24"/>
              </w:rPr>
            </w:pPr>
          </w:p>
        </w:tc>
      </w:tr>
      <w:tr w:rsidR="002F5BC5" w:rsidRPr="00EF6091" w14:paraId="74D90D2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BB5783" w14:textId="77777777" w:rsidR="002F5BC5" w:rsidRPr="00EF6091" w:rsidRDefault="002F5BC5">
            <w:pPr>
              <w:autoSpaceDE w:val="0"/>
              <w:autoSpaceDN w:val="0"/>
              <w:adjustRightInd w:val="0"/>
              <w:rPr>
                <w:b/>
                <w:bCs/>
                <w:color w:val="000000"/>
                <w:sz w:val="20"/>
              </w:rPr>
            </w:pPr>
            <w:r w:rsidRPr="00EF6091">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618F1A4" w14:textId="77777777" w:rsidR="002F5BC5" w:rsidRPr="00EF6091" w:rsidRDefault="002F5BC5">
            <w:pPr>
              <w:autoSpaceDE w:val="0"/>
              <w:autoSpaceDN w:val="0"/>
              <w:adjustRightInd w:val="0"/>
              <w:rPr>
                <w:color w:val="000000"/>
                <w:sz w:val="20"/>
              </w:rPr>
            </w:pPr>
            <w:r w:rsidRPr="00EF6091">
              <w:rPr>
                <w:color w:val="000000"/>
                <w:sz w:val="20"/>
              </w:rPr>
              <w:t>+:</w:t>
            </w:r>
          </w:p>
          <w:p w14:paraId="55FAEB21" w14:textId="77777777" w:rsidR="002F5BC5" w:rsidRPr="00EF6091" w:rsidRDefault="002F5BC5">
            <w:pPr>
              <w:autoSpaceDE w:val="0"/>
              <w:autoSpaceDN w:val="0"/>
              <w:adjustRightInd w:val="0"/>
              <w:rPr>
                <w:color w:val="000000"/>
                <w:sz w:val="20"/>
              </w:rPr>
            </w:pPr>
            <w:r w:rsidRPr="00EF6091">
              <w:rPr>
                <w:color w:val="000000"/>
                <w:sz w:val="20"/>
              </w:rPr>
              <w:t>–:</w:t>
            </w:r>
          </w:p>
          <w:p w14:paraId="161B46EE" w14:textId="77777777" w:rsidR="002F5BC5" w:rsidRPr="00EF6091" w:rsidRDefault="002F5BC5">
            <w:pPr>
              <w:autoSpaceDE w:val="0"/>
              <w:autoSpaceDN w:val="0"/>
              <w:adjustRightInd w:val="0"/>
              <w:rPr>
                <w:color w:val="000000"/>
                <w:sz w:val="20"/>
              </w:rPr>
            </w:pPr>
            <w:r w:rsidRPr="00EF609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7CC831" w14:textId="77777777" w:rsidR="002F5BC5" w:rsidRPr="00EF6091" w:rsidRDefault="002F5BC5">
            <w:pPr>
              <w:autoSpaceDE w:val="0"/>
              <w:autoSpaceDN w:val="0"/>
              <w:adjustRightInd w:val="0"/>
              <w:rPr>
                <w:color w:val="000000"/>
                <w:sz w:val="20"/>
              </w:rPr>
            </w:pPr>
            <w:r w:rsidRPr="00EF6091">
              <w:rPr>
                <w:color w:val="000000"/>
                <w:sz w:val="20"/>
              </w:rPr>
              <w:t>32</w:t>
            </w:r>
          </w:p>
          <w:p w14:paraId="6118CE53" w14:textId="77777777" w:rsidR="002F5BC5" w:rsidRPr="00EF6091" w:rsidRDefault="002F5BC5">
            <w:pPr>
              <w:autoSpaceDE w:val="0"/>
              <w:autoSpaceDN w:val="0"/>
              <w:adjustRightInd w:val="0"/>
              <w:rPr>
                <w:color w:val="000000"/>
                <w:sz w:val="20"/>
              </w:rPr>
            </w:pPr>
            <w:r w:rsidRPr="00EF6091">
              <w:rPr>
                <w:color w:val="000000"/>
                <w:sz w:val="20"/>
              </w:rPr>
              <w:t>0</w:t>
            </w:r>
          </w:p>
          <w:p w14:paraId="0FB02DC8" w14:textId="77777777" w:rsidR="002F5BC5" w:rsidRPr="00EF6091" w:rsidRDefault="002F5BC5">
            <w:pPr>
              <w:autoSpaceDE w:val="0"/>
              <w:autoSpaceDN w:val="0"/>
              <w:adjustRightInd w:val="0"/>
              <w:rPr>
                <w:color w:val="000000"/>
                <w:sz w:val="20"/>
              </w:rPr>
            </w:pPr>
            <w:r w:rsidRPr="00EF6091">
              <w:rPr>
                <w:color w:val="000000"/>
                <w:sz w:val="20"/>
              </w:rPr>
              <w:t>0</w:t>
            </w:r>
          </w:p>
        </w:tc>
      </w:tr>
      <w:tr w:rsidR="002F5BC5" w:rsidRPr="00EF6091" w14:paraId="5E5B4AD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DA4D2F" w14:textId="77777777" w:rsidR="002F5BC5" w:rsidRPr="00EF6091" w:rsidRDefault="002F5BC5">
            <w:pPr>
              <w:autoSpaceDE w:val="0"/>
              <w:autoSpaceDN w:val="0"/>
              <w:adjustRightInd w:val="0"/>
              <w:rPr>
                <w:b/>
                <w:bCs/>
                <w:color w:val="000000"/>
                <w:sz w:val="20"/>
              </w:rPr>
            </w:pPr>
            <w:r w:rsidRPr="00EF6091">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CFF0F1" w14:textId="77777777" w:rsidR="002F5BC5" w:rsidRPr="00EF6091" w:rsidRDefault="002F5BC5">
            <w:pPr>
              <w:autoSpaceDE w:val="0"/>
              <w:autoSpaceDN w:val="0"/>
              <w:adjustRightInd w:val="0"/>
              <w:rPr>
                <w:color w:val="000000"/>
                <w:sz w:val="20"/>
              </w:rPr>
            </w:pPr>
            <w:r w:rsidRPr="00EF6091">
              <w:rPr>
                <w:color w:val="000000"/>
                <w:sz w:val="20"/>
              </w:rPr>
              <w:t>Martina Anderson, Monika Beňová, Michał Boni, Caterina Chinnici, Cornelia Ernst, Romeo Franz, Ana Gomes, Nathalie Griesbeck, Jussi Halla-aho, Dietmar Köster, Juan Fernando López Aguilar, Monica Macovei, Roberta Metsola, Claude Moraes, Péter Niedermüller, Ivari Padar, Giancarlo Scottà, Birgit Sippel, Csaba Sógor, Helga Stevens, Bodil Valero, Harald Vilimsky, Josef Weidenholzer</w:t>
            </w:r>
          </w:p>
        </w:tc>
      </w:tr>
      <w:tr w:rsidR="002F5BC5" w:rsidRPr="00EF6091" w14:paraId="2427509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F529BD4" w14:textId="77777777" w:rsidR="002F5BC5" w:rsidRPr="00EF6091" w:rsidRDefault="002F5BC5">
            <w:pPr>
              <w:autoSpaceDE w:val="0"/>
              <w:autoSpaceDN w:val="0"/>
              <w:adjustRightInd w:val="0"/>
              <w:rPr>
                <w:b/>
                <w:bCs/>
                <w:color w:val="000000"/>
                <w:sz w:val="20"/>
              </w:rPr>
            </w:pPr>
            <w:r w:rsidRPr="00EF6091">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F30F4AC" w14:textId="77777777" w:rsidR="002F5BC5" w:rsidRPr="00EF6091" w:rsidRDefault="002F5BC5">
            <w:pPr>
              <w:autoSpaceDE w:val="0"/>
              <w:autoSpaceDN w:val="0"/>
              <w:adjustRightInd w:val="0"/>
              <w:rPr>
                <w:color w:val="000000"/>
                <w:sz w:val="20"/>
              </w:rPr>
            </w:pPr>
            <w:r w:rsidRPr="00EF6091">
              <w:rPr>
                <w:color w:val="000000"/>
                <w:sz w:val="20"/>
              </w:rPr>
              <w:t>Marek Jurek, Jean Lambert, Andrejs Mamikins, Angelika Mlinar, Maite Pagazaurtundúa Ruiz, Barbara Spinelli, Axel Voss</w:t>
            </w:r>
          </w:p>
        </w:tc>
      </w:tr>
      <w:tr w:rsidR="002F5BC5" w:rsidRPr="00EF6091" w14:paraId="099ECA7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34C609E" w14:textId="77777777" w:rsidR="002F5BC5" w:rsidRPr="00EF6091" w:rsidRDefault="002F5BC5">
            <w:pPr>
              <w:autoSpaceDE w:val="0"/>
              <w:autoSpaceDN w:val="0"/>
              <w:adjustRightInd w:val="0"/>
              <w:rPr>
                <w:b/>
                <w:bCs/>
                <w:color w:val="000000"/>
                <w:sz w:val="20"/>
              </w:rPr>
            </w:pPr>
            <w:r w:rsidRPr="00EF6091">
              <w:rPr>
                <w:b/>
                <w:bCs/>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4234F1C" w14:textId="77777777" w:rsidR="002F5BC5" w:rsidRPr="00EF6091" w:rsidRDefault="002F5BC5">
            <w:pPr>
              <w:autoSpaceDE w:val="0"/>
              <w:autoSpaceDN w:val="0"/>
              <w:adjustRightInd w:val="0"/>
              <w:rPr>
                <w:color w:val="000000"/>
                <w:sz w:val="20"/>
              </w:rPr>
            </w:pPr>
            <w:r w:rsidRPr="00EF6091">
              <w:rPr>
                <w:color w:val="000000"/>
                <w:sz w:val="20"/>
              </w:rPr>
              <w:t>Lucy Anderson, Margrete Auken</w:t>
            </w:r>
          </w:p>
        </w:tc>
      </w:tr>
      <w:tr w:rsidR="002F5BC5" w:rsidRPr="00EF6091" w14:paraId="17963DA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CA73FA" w14:textId="77777777" w:rsidR="002F5BC5" w:rsidRPr="00EF6091" w:rsidRDefault="002F5BC5">
            <w:pPr>
              <w:autoSpaceDE w:val="0"/>
              <w:autoSpaceDN w:val="0"/>
              <w:adjustRightInd w:val="0"/>
              <w:rPr>
                <w:b/>
                <w:bCs/>
                <w:color w:val="000000"/>
                <w:sz w:val="20"/>
              </w:rPr>
            </w:pPr>
            <w:r w:rsidRPr="00EF6091">
              <w:rPr>
                <w:b/>
                <w:bCs/>
                <w:color w:val="000000"/>
                <w:sz w:val="20"/>
              </w:rPr>
              <w:t>Dátum predloženia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0D00681" w14:textId="77777777" w:rsidR="002F5BC5" w:rsidRPr="00EF6091" w:rsidRDefault="002F5BC5">
            <w:pPr>
              <w:autoSpaceDE w:val="0"/>
              <w:autoSpaceDN w:val="0"/>
              <w:adjustRightInd w:val="0"/>
              <w:rPr>
                <w:color w:val="000000"/>
                <w:sz w:val="20"/>
              </w:rPr>
            </w:pPr>
            <w:r w:rsidRPr="00EF6091">
              <w:rPr>
                <w:color w:val="000000"/>
                <w:sz w:val="20"/>
              </w:rPr>
              <w:t>18.12.2018</w:t>
            </w:r>
          </w:p>
        </w:tc>
      </w:tr>
    </w:tbl>
    <w:p w14:paraId="79C92C9A" w14:textId="77777777" w:rsidR="002F5BC5" w:rsidRPr="00EF6091" w:rsidRDefault="002F5BC5">
      <w:pPr>
        <w:autoSpaceDE w:val="0"/>
        <w:autoSpaceDN w:val="0"/>
        <w:adjustRightInd w:val="0"/>
        <w:rPr>
          <w:rFonts w:ascii="Arial" w:hAnsi="Arial" w:cs="Arial"/>
          <w:szCs w:val="24"/>
        </w:rPr>
      </w:pPr>
    </w:p>
    <w:bookmarkEnd w:id="5"/>
    <w:p w14:paraId="7883C4F6" w14:textId="477BF73F" w:rsidR="00F4413A" w:rsidRPr="00EF6091" w:rsidRDefault="00F4413A" w:rsidP="002F5BC5">
      <w:pPr>
        <w:pStyle w:val="PageHeading"/>
      </w:pPr>
      <w:r w:rsidRPr="00EF6091">
        <w:br w:type="page"/>
      </w:r>
      <w:bookmarkStart w:id="7" w:name="RollCallPageRR"/>
      <w:bookmarkStart w:id="8" w:name="_Toc535912268"/>
      <w:r w:rsidRPr="00EF6091">
        <w:t>ZÁVEREČNÉ HLASOVANIE PODĽA MIEN V GESTORSKOM VÝBORE</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4413A" w:rsidRPr="00EF6091" w14:paraId="1E0B9E6B" w14:textId="77777777" w:rsidTr="00BC1135">
        <w:trPr>
          <w:cantSplit/>
        </w:trPr>
        <w:tc>
          <w:tcPr>
            <w:tcW w:w="1701" w:type="dxa"/>
            <w:shd w:val="pct10" w:color="000000" w:fill="FFFFFF"/>
            <w:vAlign w:val="center"/>
          </w:tcPr>
          <w:p w14:paraId="722806A1" w14:textId="34709D65" w:rsidR="00F4413A" w:rsidRPr="00EF6091" w:rsidRDefault="00F4413A" w:rsidP="00BC1135">
            <w:pPr>
              <w:spacing w:before="120" w:after="120"/>
              <w:jc w:val="center"/>
              <w:rPr>
                <w:b/>
                <w:sz w:val="20"/>
              </w:rPr>
            </w:pPr>
            <w:r w:rsidRPr="00EF6091">
              <w:rPr>
                <w:b/>
                <w:sz w:val="20"/>
              </w:rPr>
              <w:t>32</w:t>
            </w:r>
          </w:p>
        </w:tc>
        <w:tc>
          <w:tcPr>
            <w:tcW w:w="7371" w:type="dxa"/>
            <w:shd w:val="pct10" w:color="000000" w:fill="FFFFFF"/>
          </w:tcPr>
          <w:p w14:paraId="049332AC" w14:textId="77777777" w:rsidR="00F4413A" w:rsidRPr="00EF6091" w:rsidRDefault="00F4413A" w:rsidP="00BC1135">
            <w:pPr>
              <w:spacing w:before="120" w:after="120"/>
              <w:jc w:val="center"/>
              <w:rPr>
                <w:rFonts w:ascii="Arial" w:hAnsi="Arial" w:cs="Arial"/>
                <w:b/>
                <w:sz w:val="28"/>
                <w:szCs w:val="28"/>
              </w:rPr>
            </w:pPr>
            <w:r w:rsidRPr="00EF6091">
              <w:rPr>
                <w:rFonts w:ascii="Arial" w:hAnsi="Arial"/>
                <w:b/>
                <w:sz w:val="28"/>
                <w:szCs w:val="28"/>
              </w:rPr>
              <w:t>+</w:t>
            </w:r>
          </w:p>
        </w:tc>
      </w:tr>
      <w:tr w:rsidR="00F4413A" w:rsidRPr="00EF6091" w14:paraId="3C327067" w14:textId="77777777" w:rsidTr="00BC1135">
        <w:trPr>
          <w:cantSplit/>
        </w:trPr>
        <w:tc>
          <w:tcPr>
            <w:tcW w:w="1701" w:type="dxa"/>
            <w:shd w:val="clear" w:color="auto" w:fill="FFFFFF"/>
          </w:tcPr>
          <w:p w14:paraId="3EC92F9C" w14:textId="2303814C" w:rsidR="00F4413A" w:rsidRPr="00EF6091" w:rsidRDefault="00F4413A" w:rsidP="00BC1135">
            <w:pPr>
              <w:spacing w:before="120" w:after="120"/>
              <w:rPr>
                <w:sz w:val="20"/>
              </w:rPr>
            </w:pPr>
            <w:r w:rsidRPr="00EF6091">
              <w:rPr>
                <w:sz w:val="20"/>
              </w:rPr>
              <w:t>ALDE</w:t>
            </w:r>
          </w:p>
        </w:tc>
        <w:tc>
          <w:tcPr>
            <w:tcW w:w="7371" w:type="dxa"/>
            <w:shd w:val="clear" w:color="auto" w:fill="FFFFFF"/>
          </w:tcPr>
          <w:p w14:paraId="47344B1D" w14:textId="78E68AE4" w:rsidR="00F4413A" w:rsidRPr="00EF6091" w:rsidRDefault="00F4413A" w:rsidP="00BC1135">
            <w:pPr>
              <w:spacing w:before="120" w:after="120"/>
              <w:rPr>
                <w:sz w:val="20"/>
              </w:rPr>
            </w:pPr>
            <w:r w:rsidRPr="00EF6091">
              <w:rPr>
                <w:sz w:val="20"/>
              </w:rPr>
              <w:t>Nathalie Griesbeck, Angelika Mlinar, Maite Pagazaurtundúa Ruiz</w:t>
            </w:r>
          </w:p>
        </w:tc>
      </w:tr>
      <w:tr w:rsidR="00F4413A" w:rsidRPr="00EF6091" w14:paraId="03B546AD" w14:textId="77777777" w:rsidTr="00BC1135">
        <w:trPr>
          <w:cantSplit/>
        </w:trPr>
        <w:tc>
          <w:tcPr>
            <w:tcW w:w="1701" w:type="dxa"/>
            <w:shd w:val="clear" w:color="auto" w:fill="FFFFFF"/>
          </w:tcPr>
          <w:p w14:paraId="227F0331" w14:textId="1B7A2EF9" w:rsidR="00F4413A" w:rsidRPr="00EF6091" w:rsidRDefault="00F4413A" w:rsidP="00BC1135">
            <w:pPr>
              <w:spacing w:before="120" w:after="120"/>
              <w:rPr>
                <w:sz w:val="20"/>
              </w:rPr>
            </w:pPr>
            <w:r w:rsidRPr="00EF6091">
              <w:rPr>
                <w:sz w:val="20"/>
              </w:rPr>
              <w:t>ECR</w:t>
            </w:r>
          </w:p>
        </w:tc>
        <w:tc>
          <w:tcPr>
            <w:tcW w:w="7371" w:type="dxa"/>
            <w:shd w:val="clear" w:color="auto" w:fill="FFFFFF"/>
          </w:tcPr>
          <w:p w14:paraId="7DAA275E" w14:textId="69926497" w:rsidR="00F4413A" w:rsidRPr="00EF6091" w:rsidRDefault="00F4413A" w:rsidP="00BC1135">
            <w:pPr>
              <w:spacing w:before="120" w:after="120"/>
              <w:rPr>
                <w:sz w:val="20"/>
              </w:rPr>
            </w:pPr>
            <w:r w:rsidRPr="00EF6091">
              <w:rPr>
                <w:sz w:val="20"/>
              </w:rPr>
              <w:t>Jussi Halla-aho, Marek Jurek, Monica Macovei, Helga Stevens</w:t>
            </w:r>
          </w:p>
        </w:tc>
      </w:tr>
      <w:tr w:rsidR="00F4413A" w:rsidRPr="00EF6091" w14:paraId="5E8F7D17" w14:textId="77777777" w:rsidTr="00BC1135">
        <w:trPr>
          <w:cantSplit/>
        </w:trPr>
        <w:tc>
          <w:tcPr>
            <w:tcW w:w="1701" w:type="dxa"/>
            <w:shd w:val="clear" w:color="auto" w:fill="FFFFFF"/>
          </w:tcPr>
          <w:p w14:paraId="63D45FDD" w14:textId="3BA7725A" w:rsidR="00F4413A" w:rsidRPr="00EF6091" w:rsidRDefault="00F4413A" w:rsidP="00BC1135">
            <w:pPr>
              <w:spacing w:before="120" w:after="120"/>
              <w:rPr>
                <w:sz w:val="20"/>
              </w:rPr>
            </w:pPr>
            <w:r w:rsidRPr="00EF6091">
              <w:rPr>
                <w:sz w:val="20"/>
              </w:rPr>
              <w:t>ENF</w:t>
            </w:r>
          </w:p>
        </w:tc>
        <w:tc>
          <w:tcPr>
            <w:tcW w:w="7371" w:type="dxa"/>
            <w:shd w:val="clear" w:color="auto" w:fill="FFFFFF"/>
          </w:tcPr>
          <w:p w14:paraId="656E9679" w14:textId="3CBFE4FF" w:rsidR="00F4413A" w:rsidRPr="00EF6091" w:rsidRDefault="00F4413A" w:rsidP="00BC1135">
            <w:pPr>
              <w:spacing w:before="120" w:after="120"/>
              <w:rPr>
                <w:sz w:val="20"/>
              </w:rPr>
            </w:pPr>
            <w:r w:rsidRPr="00EF6091">
              <w:rPr>
                <w:sz w:val="20"/>
              </w:rPr>
              <w:t>Giancarlo Scottà, Harald Vilimsky</w:t>
            </w:r>
          </w:p>
        </w:tc>
      </w:tr>
      <w:tr w:rsidR="00F4413A" w:rsidRPr="00EF6091" w14:paraId="76D5B7AC" w14:textId="77777777" w:rsidTr="00BC1135">
        <w:trPr>
          <w:cantSplit/>
        </w:trPr>
        <w:tc>
          <w:tcPr>
            <w:tcW w:w="1701" w:type="dxa"/>
            <w:shd w:val="clear" w:color="auto" w:fill="FFFFFF"/>
          </w:tcPr>
          <w:p w14:paraId="4D2A1088" w14:textId="66155AA0" w:rsidR="00F4413A" w:rsidRPr="00EF6091" w:rsidRDefault="00F4413A" w:rsidP="00BC1135">
            <w:pPr>
              <w:spacing w:before="120" w:after="120"/>
              <w:rPr>
                <w:sz w:val="20"/>
              </w:rPr>
            </w:pPr>
            <w:r w:rsidRPr="00EF6091">
              <w:rPr>
                <w:sz w:val="20"/>
              </w:rPr>
              <w:t>GUE/NGL</w:t>
            </w:r>
          </w:p>
        </w:tc>
        <w:tc>
          <w:tcPr>
            <w:tcW w:w="7371" w:type="dxa"/>
            <w:shd w:val="clear" w:color="auto" w:fill="FFFFFF"/>
          </w:tcPr>
          <w:p w14:paraId="61C8FE6E" w14:textId="11AE5101" w:rsidR="00F4413A" w:rsidRPr="00EF6091" w:rsidRDefault="00F4413A" w:rsidP="00BC1135">
            <w:pPr>
              <w:spacing w:before="120" w:after="120"/>
              <w:rPr>
                <w:sz w:val="20"/>
              </w:rPr>
            </w:pPr>
            <w:r w:rsidRPr="00EF6091">
              <w:rPr>
                <w:sz w:val="20"/>
              </w:rPr>
              <w:t>Martina Anderson, Cornelia Ernst, Barbara Spinelli</w:t>
            </w:r>
          </w:p>
        </w:tc>
      </w:tr>
      <w:tr w:rsidR="00F4413A" w:rsidRPr="00EF6091" w14:paraId="34832EAA" w14:textId="77777777" w:rsidTr="00BC1135">
        <w:trPr>
          <w:cantSplit/>
        </w:trPr>
        <w:tc>
          <w:tcPr>
            <w:tcW w:w="1701" w:type="dxa"/>
            <w:shd w:val="clear" w:color="auto" w:fill="FFFFFF"/>
          </w:tcPr>
          <w:p w14:paraId="08FB428A" w14:textId="02092231" w:rsidR="00F4413A" w:rsidRPr="00EF6091" w:rsidRDefault="00F4413A" w:rsidP="00BC1135">
            <w:pPr>
              <w:spacing w:before="120" w:after="120"/>
              <w:rPr>
                <w:sz w:val="20"/>
              </w:rPr>
            </w:pPr>
            <w:r w:rsidRPr="00EF6091">
              <w:rPr>
                <w:sz w:val="20"/>
              </w:rPr>
              <w:t>PPE</w:t>
            </w:r>
          </w:p>
        </w:tc>
        <w:tc>
          <w:tcPr>
            <w:tcW w:w="7371" w:type="dxa"/>
            <w:shd w:val="clear" w:color="auto" w:fill="FFFFFF"/>
          </w:tcPr>
          <w:p w14:paraId="2A3453E5" w14:textId="74D7F423" w:rsidR="00F4413A" w:rsidRPr="00EF6091" w:rsidRDefault="00F4413A" w:rsidP="00BC1135">
            <w:pPr>
              <w:spacing w:before="120" w:after="120"/>
              <w:rPr>
                <w:sz w:val="20"/>
              </w:rPr>
            </w:pPr>
            <w:r w:rsidRPr="00EF6091">
              <w:rPr>
                <w:sz w:val="20"/>
              </w:rPr>
              <w:t>Michał Boni, Roberta Metsola, Csaba Sógor, Axel Voss</w:t>
            </w:r>
          </w:p>
        </w:tc>
      </w:tr>
      <w:tr w:rsidR="00F4413A" w:rsidRPr="00EF6091" w14:paraId="47DC007D" w14:textId="77777777" w:rsidTr="00BC1135">
        <w:trPr>
          <w:cantSplit/>
        </w:trPr>
        <w:tc>
          <w:tcPr>
            <w:tcW w:w="1701" w:type="dxa"/>
            <w:shd w:val="clear" w:color="auto" w:fill="FFFFFF"/>
          </w:tcPr>
          <w:p w14:paraId="4D440B7E" w14:textId="0BB892DD" w:rsidR="00F4413A" w:rsidRPr="00EF6091" w:rsidRDefault="00F4413A" w:rsidP="00BC1135">
            <w:pPr>
              <w:spacing w:before="120" w:after="120"/>
              <w:rPr>
                <w:sz w:val="20"/>
              </w:rPr>
            </w:pPr>
            <w:r w:rsidRPr="00EF6091">
              <w:rPr>
                <w:sz w:val="20"/>
              </w:rPr>
              <w:t>S&amp;D</w:t>
            </w:r>
          </w:p>
        </w:tc>
        <w:tc>
          <w:tcPr>
            <w:tcW w:w="7371" w:type="dxa"/>
            <w:shd w:val="clear" w:color="auto" w:fill="FFFFFF"/>
          </w:tcPr>
          <w:p w14:paraId="4679C088" w14:textId="5EBA259E" w:rsidR="00F4413A" w:rsidRPr="00EF6091" w:rsidRDefault="00F4413A" w:rsidP="00BC1135">
            <w:pPr>
              <w:spacing w:before="120" w:after="120"/>
              <w:rPr>
                <w:sz w:val="20"/>
              </w:rPr>
            </w:pPr>
            <w:r w:rsidRPr="00EF6091">
              <w:rPr>
                <w:sz w:val="20"/>
              </w:rPr>
              <w:t>Lucy Anderson, Monika Beňová, Caterina Chinnici, Ana Gomes, Dietmar Köster, Juan Fernando López Aguilar, Andrejs Mamikins, Claude Moraes, Péter Niedermüller, Ivari Padar, Birgit Sippel, Josef Weidenholzer</w:t>
            </w:r>
          </w:p>
        </w:tc>
      </w:tr>
      <w:tr w:rsidR="00F4413A" w:rsidRPr="00EF6091" w14:paraId="6E687B64" w14:textId="77777777" w:rsidTr="00BC1135">
        <w:trPr>
          <w:cantSplit/>
        </w:trPr>
        <w:tc>
          <w:tcPr>
            <w:tcW w:w="1701" w:type="dxa"/>
            <w:shd w:val="clear" w:color="auto" w:fill="FFFFFF"/>
          </w:tcPr>
          <w:p w14:paraId="3A41934F" w14:textId="1B9F9770" w:rsidR="00F4413A" w:rsidRPr="00EF6091" w:rsidRDefault="00F4413A" w:rsidP="00BC1135">
            <w:pPr>
              <w:spacing w:before="120" w:after="120"/>
              <w:rPr>
                <w:sz w:val="20"/>
              </w:rPr>
            </w:pPr>
            <w:r w:rsidRPr="00EF6091">
              <w:rPr>
                <w:sz w:val="20"/>
              </w:rPr>
              <w:t>VERTS/ALE</w:t>
            </w:r>
          </w:p>
        </w:tc>
        <w:tc>
          <w:tcPr>
            <w:tcW w:w="7371" w:type="dxa"/>
            <w:shd w:val="clear" w:color="auto" w:fill="FFFFFF"/>
          </w:tcPr>
          <w:p w14:paraId="00BD04A9" w14:textId="01E89108" w:rsidR="00F4413A" w:rsidRPr="00EF6091" w:rsidRDefault="00F4413A" w:rsidP="00BC1135">
            <w:pPr>
              <w:spacing w:before="120" w:after="120"/>
              <w:rPr>
                <w:sz w:val="20"/>
              </w:rPr>
            </w:pPr>
            <w:r w:rsidRPr="00EF6091">
              <w:rPr>
                <w:sz w:val="20"/>
              </w:rPr>
              <w:t>Margrete Auken, Romeo Franz, Jean Lambert, Bodil Valero</w:t>
            </w:r>
          </w:p>
        </w:tc>
      </w:tr>
    </w:tbl>
    <w:p w14:paraId="760EE33A" w14:textId="77777777" w:rsidR="00F4413A" w:rsidRPr="00EF6091" w:rsidRDefault="00F4413A" w:rsidP="00BC113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4413A" w:rsidRPr="00EF6091" w14:paraId="16F58E47" w14:textId="77777777" w:rsidTr="00BC1135">
        <w:trPr>
          <w:cantSplit/>
        </w:trPr>
        <w:tc>
          <w:tcPr>
            <w:tcW w:w="1701" w:type="dxa"/>
            <w:shd w:val="pct10" w:color="000000" w:fill="FFFFFF"/>
            <w:vAlign w:val="center"/>
          </w:tcPr>
          <w:p w14:paraId="343010AC" w14:textId="28EA8F14" w:rsidR="00F4413A" w:rsidRPr="00EF6091" w:rsidRDefault="00F4413A" w:rsidP="00BC1135">
            <w:pPr>
              <w:spacing w:before="120" w:after="120"/>
              <w:jc w:val="center"/>
              <w:rPr>
                <w:b/>
                <w:sz w:val="20"/>
              </w:rPr>
            </w:pPr>
            <w:r w:rsidRPr="00EF6091">
              <w:rPr>
                <w:b/>
                <w:sz w:val="20"/>
              </w:rPr>
              <w:t>0</w:t>
            </w:r>
          </w:p>
        </w:tc>
        <w:tc>
          <w:tcPr>
            <w:tcW w:w="7371" w:type="dxa"/>
            <w:shd w:val="pct10" w:color="000000" w:fill="FFFFFF"/>
          </w:tcPr>
          <w:p w14:paraId="32FC5FD7" w14:textId="77777777" w:rsidR="00F4413A" w:rsidRPr="00EF6091" w:rsidRDefault="00F4413A" w:rsidP="00BC1135">
            <w:pPr>
              <w:spacing w:before="120" w:after="120"/>
              <w:jc w:val="center"/>
              <w:rPr>
                <w:sz w:val="28"/>
                <w:szCs w:val="28"/>
              </w:rPr>
            </w:pPr>
            <w:r w:rsidRPr="00EF6091">
              <w:rPr>
                <w:rFonts w:ascii="Arial" w:hAnsi="Arial"/>
                <w:b/>
                <w:sz w:val="28"/>
                <w:szCs w:val="28"/>
              </w:rPr>
              <w:t>-</w:t>
            </w:r>
          </w:p>
        </w:tc>
      </w:tr>
      <w:tr w:rsidR="00F4413A" w:rsidRPr="00EF6091" w14:paraId="1B445248" w14:textId="77777777" w:rsidTr="00BC1135">
        <w:trPr>
          <w:cantSplit/>
        </w:trPr>
        <w:tc>
          <w:tcPr>
            <w:tcW w:w="1701" w:type="dxa"/>
            <w:shd w:val="clear" w:color="auto" w:fill="FFFFFF"/>
          </w:tcPr>
          <w:p w14:paraId="65600518" w14:textId="434E424D" w:rsidR="00F4413A" w:rsidRPr="00EF6091" w:rsidRDefault="00F4413A" w:rsidP="00BC1135">
            <w:pPr>
              <w:spacing w:before="120" w:after="120"/>
              <w:rPr>
                <w:sz w:val="20"/>
              </w:rPr>
            </w:pPr>
          </w:p>
        </w:tc>
        <w:tc>
          <w:tcPr>
            <w:tcW w:w="7371" w:type="dxa"/>
            <w:shd w:val="clear" w:color="auto" w:fill="FFFFFF"/>
          </w:tcPr>
          <w:p w14:paraId="2FB0589D" w14:textId="79106DA8" w:rsidR="00F4413A" w:rsidRPr="00EF6091" w:rsidRDefault="00F4413A" w:rsidP="00BC1135">
            <w:pPr>
              <w:spacing w:before="120" w:after="120"/>
              <w:rPr>
                <w:sz w:val="20"/>
              </w:rPr>
            </w:pPr>
          </w:p>
        </w:tc>
      </w:tr>
    </w:tbl>
    <w:p w14:paraId="2715666E" w14:textId="77777777" w:rsidR="00F4413A" w:rsidRPr="00EF6091" w:rsidRDefault="00F4413A" w:rsidP="00BC113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4413A" w:rsidRPr="00EF6091" w14:paraId="2798F51A" w14:textId="77777777" w:rsidTr="00BC1135">
        <w:trPr>
          <w:cantSplit/>
        </w:trPr>
        <w:tc>
          <w:tcPr>
            <w:tcW w:w="1701" w:type="dxa"/>
            <w:shd w:val="pct10" w:color="000000" w:fill="FFFFFF"/>
            <w:vAlign w:val="center"/>
          </w:tcPr>
          <w:p w14:paraId="7B074E5E" w14:textId="6197F60B" w:rsidR="00F4413A" w:rsidRPr="00EF6091" w:rsidRDefault="00F4413A" w:rsidP="00BC1135">
            <w:pPr>
              <w:spacing w:before="120" w:after="120"/>
              <w:jc w:val="center"/>
              <w:rPr>
                <w:b/>
                <w:sz w:val="20"/>
              </w:rPr>
            </w:pPr>
            <w:r w:rsidRPr="00EF6091">
              <w:rPr>
                <w:b/>
                <w:sz w:val="20"/>
              </w:rPr>
              <w:t>0</w:t>
            </w:r>
          </w:p>
        </w:tc>
        <w:tc>
          <w:tcPr>
            <w:tcW w:w="7371" w:type="dxa"/>
            <w:shd w:val="pct10" w:color="000000" w:fill="FFFFFF"/>
          </w:tcPr>
          <w:p w14:paraId="62566621" w14:textId="77777777" w:rsidR="00F4413A" w:rsidRPr="00EF6091" w:rsidRDefault="00F4413A" w:rsidP="00BC1135">
            <w:pPr>
              <w:spacing w:before="120" w:after="120"/>
              <w:jc w:val="center"/>
              <w:rPr>
                <w:sz w:val="28"/>
                <w:szCs w:val="28"/>
              </w:rPr>
            </w:pPr>
            <w:r w:rsidRPr="00EF6091">
              <w:rPr>
                <w:rFonts w:ascii="Arial" w:hAnsi="Arial"/>
                <w:b/>
                <w:sz w:val="28"/>
                <w:szCs w:val="28"/>
              </w:rPr>
              <w:t>0</w:t>
            </w:r>
          </w:p>
        </w:tc>
      </w:tr>
      <w:tr w:rsidR="00F4413A" w:rsidRPr="00EF6091" w14:paraId="3095268D" w14:textId="77777777" w:rsidTr="00BC1135">
        <w:trPr>
          <w:cantSplit/>
        </w:trPr>
        <w:tc>
          <w:tcPr>
            <w:tcW w:w="1701" w:type="dxa"/>
            <w:shd w:val="clear" w:color="auto" w:fill="FFFFFF"/>
          </w:tcPr>
          <w:p w14:paraId="31FFBC9D" w14:textId="30AB67DC" w:rsidR="00F4413A" w:rsidRPr="00EF6091" w:rsidRDefault="00F4413A" w:rsidP="00BC1135">
            <w:pPr>
              <w:spacing w:before="120" w:after="120"/>
              <w:rPr>
                <w:sz w:val="20"/>
              </w:rPr>
            </w:pPr>
          </w:p>
        </w:tc>
        <w:tc>
          <w:tcPr>
            <w:tcW w:w="7371" w:type="dxa"/>
            <w:shd w:val="clear" w:color="auto" w:fill="FFFFFF"/>
          </w:tcPr>
          <w:p w14:paraId="3AF3A887" w14:textId="2C6A479A" w:rsidR="00F4413A" w:rsidRPr="00EF6091" w:rsidRDefault="00F4413A" w:rsidP="00BC1135">
            <w:pPr>
              <w:spacing w:before="120" w:after="120"/>
              <w:rPr>
                <w:sz w:val="20"/>
              </w:rPr>
            </w:pPr>
          </w:p>
        </w:tc>
      </w:tr>
    </w:tbl>
    <w:p w14:paraId="64F4AB17" w14:textId="77777777" w:rsidR="00F4413A" w:rsidRPr="00EF6091" w:rsidRDefault="00F4413A" w:rsidP="00BC1135">
      <w:pPr>
        <w:pStyle w:val="Normal12"/>
      </w:pPr>
    </w:p>
    <w:p w14:paraId="19547038" w14:textId="2FB2ADFB" w:rsidR="00F4413A" w:rsidRPr="00EF6091" w:rsidRDefault="00F4413A" w:rsidP="00BC1135">
      <w:r w:rsidRPr="00EF6091">
        <w:t>Vysvetlenie použitých znakov:</w:t>
      </w:r>
    </w:p>
    <w:p w14:paraId="5761C62C" w14:textId="69EA6988" w:rsidR="00F4413A" w:rsidRPr="00EF6091" w:rsidRDefault="00F4413A" w:rsidP="00BC1135">
      <w:pPr>
        <w:pStyle w:val="NormalTabs"/>
      </w:pPr>
      <w:r w:rsidRPr="00EF6091">
        <w:t>+</w:t>
      </w:r>
      <w:r w:rsidRPr="00EF6091">
        <w:tab/>
        <w:t>:</w:t>
      </w:r>
      <w:r w:rsidRPr="00EF6091">
        <w:tab/>
        <w:t>za</w:t>
      </w:r>
    </w:p>
    <w:p w14:paraId="5CFC57CE" w14:textId="76B548F3" w:rsidR="00F4413A" w:rsidRPr="00EF6091" w:rsidRDefault="00F4413A" w:rsidP="00BC1135">
      <w:pPr>
        <w:pStyle w:val="NormalTabs"/>
      </w:pPr>
      <w:r w:rsidRPr="00EF6091">
        <w:t>-</w:t>
      </w:r>
      <w:r w:rsidRPr="00EF6091">
        <w:tab/>
        <w:t>:</w:t>
      </w:r>
      <w:r w:rsidRPr="00EF6091">
        <w:tab/>
        <w:t>proti</w:t>
      </w:r>
    </w:p>
    <w:p w14:paraId="57C16129" w14:textId="12AE5D0E" w:rsidR="00F4413A" w:rsidRPr="00EF6091" w:rsidRDefault="00F4413A" w:rsidP="00BC1135">
      <w:pPr>
        <w:pStyle w:val="NormalTabs"/>
      </w:pPr>
      <w:r w:rsidRPr="00EF6091">
        <w:t>0</w:t>
      </w:r>
      <w:r w:rsidRPr="00EF6091">
        <w:tab/>
        <w:t>:</w:t>
      </w:r>
      <w:r w:rsidRPr="00EF6091">
        <w:tab/>
        <w:t>zdržali sa hlasovania</w:t>
      </w:r>
    </w:p>
    <w:p w14:paraId="30B94E3E" w14:textId="77777777" w:rsidR="00F4413A" w:rsidRPr="00EF6091" w:rsidRDefault="00F4413A" w:rsidP="00BC1135"/>
    <w:bookmarkEnd w:id="7"/>
    <w:p w14:paraId="60458FAB" w14:textId="77777777" w:rsidR="00F411D4" w:rsidRPr="00EF6091" w:rsidRDefault="00F411D4" w:rsidP="00F4413A"/>
    <w:sectPr w:rsidR="00F411D4" w:rsidRPr="00EF6091" w:rsidSect="00EF609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A007E" w14:textId="77777777" w:rsidR="001566F4" w:rsidRPr="00EF6091" w:rsidRDefault="001566F4">
      <w:r w:rsidRPr="00EF6091">
        <w:separator/>
      </w:r>
    </w:p>
  </w:endnote>
  <w:endnote w:type="continuationSeparator" w:id="0">
    <w:p w14:paraId="04E19EAD" w14:textId="77777777" w:rsidR="001566F4" w:rsidRPr="00EF6091" w:rsidRDefault="001566F4">
      <w:r w:rsidRPr="00EF60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EF92" w14:textId="3688B1F4" w:rsidR="001566F4" w:rsidRPr="00EF6091" w:rsidRDefault="001566F4" w:rsidP="00EF6091">
    <w:pPr>
      <w:pStyle w:val="Footer"/>
    </w:pPr>
    <w:r w:rsidRPr="00EF6091">
      <w:t>PE</w:t>
    </w:r>
    <w:r w:rsidRPr="00EF6091">
      <w:rPr>
        <w:rStyle w:val="HideTWBExt"/>
        <w:noProof w:val="0"/>
      </w:rPr>
      <w:t>&lt;NoPE&gt;</w:t>
    </w:r>
    <w:r w:rsidRPr="00EF6091">
      <w:t>627.056</w:t>
    </w:r>
    <w:r w:rsidRPr="00EF6091">
      <w:rPr>
        <w:rStyle w:val="HideTWBExt"/>
        <w:noProof w:val="0"/>
      </w:rPr>
      <w:t>&lt;/NoPE&gt;&lt;Version&gt;</w:t>
    </w:r>
    <w:r w:rsidRPr="00EF6091">
      <w:t>v02-00</w:t>
    </w:r>
    <w:r w:rsidRPr="00EF6091">
      <w:rPr>
        <w:rStyle w:val="HideTWBExt"/>
        <w:noProof w:val="0"/>
      </w:rPr>
      <w:t>&lt;/Version&gt;</w:t>
    </w:r>
    <w:r w:rsidRPr="00EF6091">
      <w:tab/>
    </w:r>
    <w:r w:rsidRPr="00EF6091">
      <w:fldChar w:fldCharType="begin"/>
    </w:r>
    <w:r w:rsidRPr="00EF6091">
      <w:instrText xml:space="preserve"> PAGE  \* MERGEFORMAT </w:instrText>
    </w:r>
    <w:r w:rsidRPr="00EF6091">
      <w:fldChar w:fldCharType="separate"/>
    </w:r>
    <w:r w:rsidR="00F05A7A">
      <w:rPr>
        <w:noProof/>
      </w:rPr>
      <w:t>6</w:t>
    </w:r>
    <w:r w:rsidRPr="00EF6091">
      <w:fldChar w:fldCharType="end"/>
    </w:r>
    <w:r w:rsidRPr="00EF6091">
      <w:t>/</w:t>
    </w:r>
    <w:fldSimple w:instr=" NUMPAGES  \* MERGEFORMAT ">
      <w:r w:rsidR="00F05A7A">
        <w:rPr>
          <w:noProof/>
        </w:rPr>
        <w:t>27</w:t>
      </w:r>
    </w:fldSimple>
    <w:r w:rsidRPr="00EF6091">
      <w:tab/>
    </w:r>
    <w:r w:rsidRPr="00EF6091">
      <w:rPr>
        <w:rStyle w:val="HideTWBExt"/>
        <w:noProof w:val="0"/>
      </w:rPr>
      <w:t>&lt;PathFdR&gt;</w:t>
    </w:r>
    <w:r w:rsidRPr="00EF6091">
      <w:t>RR\1172672SK.docx</w:t>
    </w:r>
    <w:r w:rsidRPr="00EF6091">
      <w:rPr>
        <w:rStyle w:val="HideTWBExt"/>
        <w:noProof w:val="0"/>
      </w:rPr>
      <w:t>&lt;/PathFdR&gt;</w:t>
    </w:r>
  </w:p>
  <w:p w14:paraId="411CE1EC" w14:textId="3261428A" w:rsidR="001566F4" w:rsidRPr="00EF6091" w:rsidRDefault="001566F4" w:rsidP="00EF6091">
    <w:pPr>
      <w:pStyle w:val="Footer2"/>
    </w:pPr>
    <w:r w:rsidRPr="00EF6091">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240F" w14:textId="605D969F" w:rsidR="001566F4" w:rsidRPr="00EF6091" w:rsidRDefault="001566F4" w:rsidP="00EF6091">
    <w:pPr>
      <w:pStyle w:val="Footer"/>
    </w:pPr>
    <w:r w:rsidRPr="00EF6091">
      <w:rPr>
        <w:rStyle w:val="HideTWBExt"/>
        <w:noProof w:val="0"/>
      </w:rPr>
      <w:t>&lt;PathFdR&gt;</w:t>
    </w:r>
    <w:r w:rsidRPr="00EF6091">
      <w:t>RR\1172672SK.docx</w:t>
    </w:r>
    <w:r w:rsidRPr="00EF6091">
      <w:rPr>
        <w:rStyle w:val="HideTWBExt"/>
        <w:noProof w:val="0"/>
      </w:rPr>
      <w:t>&lt;/PathFdR&gt;</w:t>
    </w:r>
    <w:r w:rsidRPr="00EF6091">
      <w:tab/>
    </w:r>
    <w:r w:rsidRPr="00EF6091">
      <w:fldChar w:fldCharType="begin"/>
    </w:r>
    <w:r w:rsidRPr="00EF6091">
      <w:instrText xml:space="preserve"> PAGE  \* MERGEFORMAT </w:instrText>
    </w:r>
    <w:r w:rsidRPr="00EF6091">
      <w:fldChar w:fldCharType="separate"/>
    </w:r>
    <w:r w:rsidR="00F05A7A">
      <w:rPr>
        <w:noProof/>
      </w:rPr>
      <w:t>5</w:t>
    </w:r>
    <w:r w:rsidRPr="00EF6091">
      <w:fldChar w:fldCharType="end"/>
    </w:r>
    <w:r w:rsidRPr="00EF6091">
      <w:t>/</w:t>
    </w:r>
    <w:fldSimple w:instr=" NUMPAGES  \* MERGEFORMAT ">
      <w:r w:rsidR="00F05A7A">
        <w:rPr>
          <w:noProof/>
        </w:rPr>
        <w:t>27</w:t>
      </w:r>
    </w:fldSimple>
    <w:r w:rsidRPr="00EF6091">
      <w:tab/>
      <w:t>PE</w:t>
    </w:r>
    <w:r w:rsidRPr="00EF6091">
      <w:rPr>
        <w:rStyle w:val="HideTWBExt"/>
        <w:noProof w:val="0"/>
      </w:rPr>
      <w:t>&lt;NoPE&gt;</w:t>
    </w:r>
    <w:r w:rsidRPr="00EF6091">
      <w:t>627.056</w:t>
    </w:r>
    <w:r w:rsidRPr="00EF6091">
      <w:rPr>
        <w:rStyle w:val="HideTWBExt"/>
        <w:noProof w:val="0"/>
      </w:rPr>
      <w:t>&lt;/NoPE&gt;&lt;Version&gt;</w:t>
    </w:r>
    <w:r w:rsidRPr="00EF6091">
      <w:t>v02-00</w:t>
    </w:r>
    <w:r w:rsidRPr="00EF6091">
      <w:rPr>
        <w:rStyle w:val="HideTWBExt"/>
        <w:noProof w:val="0"/>
      </w:rPr>
      <w:t>&lt;/Version&gt;</w:t>
    </w:r>
  </w:p>
  <w:p w14:paraId="3CD37D19" w14:textId="2F969896" w:rsidR="001566F4" w:rsidRPr="00EF6091" w:rsidRDefault="001566F4" w:rsidP="00EF6091">
    <w:pPr>
      <w:pStyle w:val="Footer2"/>
    </w:pPr>
    <w:r w:rsidRPr="00EF6091">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5BB8" w14:textId="77777777" w:rsidR="001566F4" w:rsidRPr="00EF6091" w:rsidRDefault="001566F4" w:rsidP="00EF6091">
    <w:pPr>
      <w:pStyle w:val="Footer"/>
    </w:pPr>
    <w:r w:rsidRPr="00EF6091">
      <w:rPr>
        <w:rStyle w:val="HideTWBExt"/>
        <w:noProof w:val="0"/>
      </w:rPr>
      <w:t>&lt;PathFdR&gt;</w:t>
    </w:r>
    <w:r w:rsidRPr="00EF6091">
      <w:t>RR\1172672SK.docx</w:t>
    </w:r>
    <w:r w:rsidRPr="00EF6091">
      <w:rPr>
        <w:rStyle w:val="HideTWBExt"/>
        <w:noProof w:val="0"/>
      </w:rPr>
      <w:t>&lt;/PathFdR&gt;</w:t>
    </w:r>
    <w:r w:rsidRPr="00EF6091">
      <w:tab/>
    </w:r>
    <w:r w:rsidRPr="00EF6091">
      <w:tab/>
      <w:t>PE</w:t>
    </w:r>
    <w:r w:rsidRPr="00EF6091">
      <w:rPr>
        <w:rStyle w:val="HideTWBExt"/>
        <w:noProof w:val="0"/>
      </w:rPr>
      <w:t>&lt;NoPE&gt;</w:t>
    </w:r>
    <w:r w:rsidRPr="00EF6091">
      <w:t>627.056</w:t>
    </w:r>
    <w:r w:rsidRPr="00EF6091">
      <w:rPr>
        <w:rStyle w:val="HideTWBExt"/>
        <w:noProof w:val="0"/>
      </w:rPr>
      <w:t>&lt;/NoPE&gt;&lt;Version&gt;</w:t>
    </w:r>
    <w:r w:rsidRPr="00EF6091">
      <w:t>v02-00</w:t>
    </w:r>
    <w:r w:rsidRPr="00EF6091">
      <w:rPr>
        <w:rStyle w:val="HideTWBExt"/>
        <w:noProof w:val="0"/>
      </w:rPr>
      <w:t>&lt;/Version&gt;</w:t>
    </w:r>
  </w:p>
  <w:p w14:paraId="28BA0822" w14:textId="3EF9A2BC" w:rsidR="001566F4" w:rsidRPr="00EF6091" w:rsidRDefault="001566F4" w:rsidP="00EF6091">
    <w:pPr>
      <w:pStyle w:val="Footer2"/>
      <w:tabs>
        <w:tab w:val="center" w:pos="4535"/>
        <w:tab w:val="right" w:pos="9921"/>
      </w:tabs>
    </w:pPr>
    <w:r w:rsidRPr="00EF6091">
      <w:t>SK</w:t>
    </w:r>
    <w:r w:rsidRPr="00EF6091">
      <w:tab/>
    </w:r>
    <w:r w:rsidRPr="00EF6091">
      <w:rPr>
        <w:b w:val="0"/>
        <w:i/>
        <w:color w:val="C0C0C0"/>
        <w:sz w:val="22"/>
      </w:rPr>
      <w:t>Zjednotení v rozmanitosti</w:t>
    </w:r>
    <w:r w:rsidRPr="00EF6091">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37308" w14:textId="77777777" w:rsidR="001566F4" w:rsidRPr="00EF6091" w:rsidRDefault="001566F4">
      <w:r w:rsidRPr="00EF6091">
        <w:separator/>
      </w:r>
    </w:p>
  </w:footnote>
  <w:footnote w:type="continuationSeparator" w:id="0">
    <w:p w14:paraId="70F2391B" w14:textId="77777777" w:rsidR="001566F4" w:rsidRPr="00EF6091" w:rsidRDefault="001566F4">
      <w:r w:rsidRPr="00EF6091">
        <w:continuationSeparator/>
      </w:r>
    </w:p>
  </w:footnote>
  <w:footnote w:id="1">
    <w:p w14:paraId="3C946402" w14:textId="75AB08E3" w:rsidR="001566F4" w:rsidRPr="00EF6091" w:rsidRDefault="001566F4">
      <w:pPr>
        <w:pStyle w:val="FootnoteText"/>
        <w:rPr>
          <w:sz w:val="24"/>
          <w:szCs w:val="24"/>
        </w:rPr>
      </w:pPr>
      <w:r w:rsidRPr="00EF6091">
        <w:rPr>
          <w:rStyle w:val="FootnoteReference"/>
          <w:sz w:val="24"/>
          <w:szCs w:val="24"/>
        </w:rPr>
        <w:footnoteRef/>
      </w:r>
      <w:r w:rsidRPr="00EF6091">
        <w:rPr>
          <w:sz w:val="24"/>
          <w:szCs w:val="24"/>
        </w:rPr>
        <w:t xml:space="preserve"> </w:t>
      </w:r>
      <w:r w:rsidRPr="00EF6091">
        <w:rPr>
          <w:sz w:val="24"/>
          <w:szCs w:val="24"/>
        </w:rPr>
        <w:tab/>
        <w:t>Ú. v. EÚ C 367, 10.10.2018, s.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1900" w14:textId="77777777" w:rsidR="001566F4" w:rsidRDefault="00156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1903" w14:textId="77777777" w:rsidR="001566F4" w:rsidRDefault="00156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B1E5" w14:textId="77777777" w:rsidR="001566F4" w:rsidRDefault="00156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LIBE"/>
    <w:docVar w:name="CopyToNetwork" w:val="-1"/>
    <w:docVar w:name="CVar" w:val="1"/>
    <w:docVar w:name="DOCDT" w:val="18/12/2018"/>
    <w:docVar w:name="DOCMNU" w:val=" 1"/>
    <w:docVar w:name="EPSTATMNU" w:val=" 1"/>
    <w:docVar w:name="iNoAmend" w:val="1"/>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75893 HideTWBExt;}{\*\cs16 \additive \v\cf15 \spriority0 \styrsid1975893 HideTWBInt;}{\s17\ql \li0\ri0\sa120\nowidctlpar\wrapdefault\aspalpha\aspnum\faauto\adjustright\rin0\lin0\itap0 _x000d__x000a_\rtlch\fcs1 \af0\afs20\alang1025 \ltrch\fcs0 \fs24\lang2057\langfe2057\cgrid\langnp2057\langfenp2057 \sbasedon0 \snext17 \slink18 \spriority0 \styrsid1975893 Normal6;}{\*\cs18 \additive \fs24 \slink17 \slocked \spriority0 \styrsid1975893 Normal6 Char;}{_x000d__x000a_\s19\ql \li0\ri0\nowidctlpar\wrapdefault\aspalpha\aspnum\faauto\adjustright\rin0\lin0\itap0 \rtlch\fcs1 \af0\afs20\alang1025 \ltrch\fcs0 \b\fs24\lang2057\langfe2057\cgrid\langnp2057\langfenp2057 \sbasedon0 \snext19 \slink20 \spriority0 \styrsid1975893 _x000d__x000a_NormalBold;}{\*\cs20 \additive \b\fs24 \slink19 \slocked \spriority0 \styrsid1975893 NormalBold Char;}{\s21\ql \li0\ri0\sb240\nowidctlpar\wrapdefault\aspalpha\aspnum\faauto\adjustright\rin0\lin0\itap0 \rtlch\fcs1 \af0\afs20\alang1025 \ltrch\fcs0 _x000d__x000a_\i\fs24\lang2057\langfe2057\cgrid\langnp2057\langfenp2057 \sbasedon0 \snext21 \spriority0 \styrsid1975893 Normal12Italic;}{\s22\qc \li0\ri0\sb240\nowidctlpar\wrapdefault\aspalpha\aspnum\faauto\adjustright\rin0\lin0\itap0 \rtlch\fcs1 \af0\afs20\alang1025 _x000d__x000a_\ltrch\fcs0 \i\fs24\lang2057\langfe2057\cgrid\langnp2057\langfenp2057 \sbasedon0 \snext22 \spriority0 \styrsid1975893 CrossRef;}{\s23\qc \li0\ri0\sb240\keepn\nowidctlpar\wrapdefault\aspalpha\aspnum\faauto\adjustright\rin0\lin0\itap0 \rtlch\fcs1 _x000d__x000a_\af0\afs20\alang1025 \ltrch\fcs0 \i\fs24\lang2057\langfe2057\cgrid\langnp2057\langfenp2057 \sbasedon0 \snext0 \spriority0 \styrsid1975893 JustificationTitle;}{_x000d__x000a_\s24\qc \li0\ri0\sa240\nowidctlpar\wrapdefault\aspalpha\aspnum\faauto\adjustright\rin0\lin0\itap0 \rtlch\fcs1 \af0\afs20\alang1025 \ltrch\fcs0 \i\fs24\lang2057\langfe2057\cgrid\langnp2057\langfenp2057 \sbasedon0 \snext24 \spriority0 \styrsid1975893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975893 AMNumberTabs;}{_x000d__x000a_\s26\ql \li0\ri0\sb240\nowidctlpar\wrapdefault\aspalpha\aspnum\faauto\adjustright\rin0\lin0\itap0 \rtlch\fcs1 \af0\afs20\alang1025 \ltrch\fcs0 \b\fs24\lang2057\langfe2057\cgrid\langnp2057\langfenp2057 \sbasedon0 \snext26 \spriority0 \styrsid1975893 _x000d__x000a_NormalBold12b;}}{\*\rsidtbl \rsid24658\rsid735077\rsid1975893\rsid2892074\rsid4666813\rsid6641733\rsid9636012\rsid11215221\rsid12154954\rsid12729426\rsid14424199\rsid15204470\rsid15285974\rsid15950462\rsid16324206\rsid16662270}{\mmathPr\mmathFont34_x000d__x000a_\mbrkBin0\mbrkBinSub0\msmallFrac0\mdispDef1\mlMargin0\mrMargin0\mdefJc1\mwrapIndent1440\mintLim0\mnaryLim1}{\info{\author BERNIQUET Catherine}{\operator BERNIQUET Catherine}{\creatim\yr2018\mo12\dy11\hr12\min20}{\revtim\yr2018\mo12\dy11\hr12\min20}_x000d__x000a_{\version1}{\edmins0}{\nofpages1}{\nofwords96}{\nofchars534}{\*\company European Parliament}{\nofcharsws623}{\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75893\utinl \donotshowprops1\fet0{\*\wgrffmtfilter 013f}\ilfomacatclnup0{\*\template C:\\Users\\CBERNI~1\\AppData\\Local\\Temp\\Blank1.dot}{\*\ftnsep \ltrpar _x000d__x000a_\pard\plain \ltrpar\ql \li0\ri0\widctlpar\wrapdefault\aspalpha\aspnum\faauto\adjustright\rin0\lin0\itap0 \rtlch\fcs1 \af0\afs20\alang1025 \ltrch\fcs0 \fs24\lang2057\langfe2057\cgrid\langnp2057\langfenp2057 {\rtlch\fcs1 \af0 \ltrch\fcs0 \insrsid1272942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729426 \chftnsepc _x000d__x000a_\par }}{\*\aftnsep \ltrpar \pard\plain \ltrpar\ql \li0\ri0\widctlpar\wrapdefault\aspalpha\aspnum\faauto\adjustright\rin0\lin0\itap0 \rtlch\fcs1 \af0\afs20\alang1025 \ltrch\fcs0 \fs24\lang2057\langfe2057\cgrid\langnp2057\langfenp2057 {\rtlch\fcs1 \af0 _x000d__x000a_\ltrch\fcs0 \insrsid12729426 \chftnsep _x000d__x000a_\par }}{\*\aftnsepc \ltrpar \pard\plain \ltrpar\ql \li0\ri0\widctlpar\wrapdefault\aspalpha\aspnum\faauto\adjustright\rin0\lin0\itap0 \rtlch\fcs1 \af0\afs20\alang1025 \ltrch\fcs0 \fs24\lang2057\langfe2057\cgrid\langnp2057\langfenp2057 {\rtlch\fcs1 \af0 _x000d__x000a_\ltrch\fcs0 \insrsid1272942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975893 \rtlch\fcs1 \af0\afs20\alang1025 \ltrch\fcs0 \b\fs24\lang2057\langfe2057\cgrid\langnp2057\langfenp2057 {\rtlch\fcs1 \af0 \ltrch\fcs0 \cs15\b0\v\f1\fs20\cf9\insrsid1975893\charrsid2914391 {\*\bkmkstart restart}&lt;Amend&gt;}{_x000d__x000a_\rtlch\fcs1 \af0 \ltrch\fcs0 \insrsid1975893\charrsid2914391 Amendment\tab \tab }{\rtlch\fcs1 \af0 \ltrch\fcs0 \cs15\b0\v\f1\fs20\cf9\insrsid1975893\charrsid2914391 &lt;NumAm&gt;}{\rtlch\fcs1 \af0 \ltrch\fcs0 \insrsid1975893\charrsid2914391 #}{\rtlch\fcs1 \af0 _x000d__x000a_\ltrch\fcs0 \cs16\v\cf15\insrsid1975893\charrsid2914391 ENMIENDA@NRAM@}{\rtlch\fcs1 \af0 \ltrch\fcs0 \insrsid1975893\charrsid2914391 #}{\rtlch\fcs1 \af0 \ltrch\fcs0 \cs15\b0\v\f1\fs20\cf9\insrsid1975893\charrsid2914391 &lt;/NumAm&gt;}{\rtlch\fcs1 \af0 _x000d__x000a_\ltrch\fcs0 \insrsid1975893\charrsid2914391 _x000d__x000a_\par }\pard\plain \ltrpar\s26\ql \li0\ri0\sb240\keepn\nowidctlpar\wrapdefault\aspalpha\aspnum\faauto\adjustright\rin0\lin0\itap0\pararsid1975893 \rtlch\fcs1 \af0\afs20\alang1025 \ltrch\fcs0 \b\fs24\lang2057\langfe2057\cgrid\langnp2057\langfenp2057 {_x000d__x000a_\rtlch\fcs1 \af0 \ltrch\fcs0 \cs15\b0\v\f1\fs20\cf9\insrsid1975893\charrsid2914391 &lt;DocAmend&gt;}{\rtlch\fcs1 \af0 \ltrch\fcs0 \insrsid1975893\charrsid2914391 Proposal for a #}{\rtlch\fcs1 \af0 \ltrch\fcs0 \cs16\v\cf15\insrsid1975893\charrsid2914391 _x000d__x000a_MNU[DOC1][DOC2][DOC3]@DOCMSG@DOCMNU}{\rtlch\fcs1 \af0 \ltrch\fcs0 \insrsid1975893\charrsid2914391 ##}{\rtlch\fcs1 \af0 \ltrch\fcs0 \cs16\v\cf15\insrsid1975893\charrsid2914391 MNU[AMACTYES][NOTAPP]@CHOICE@AMACTMNU}{\rtlch\fcs1 \af0 \ltrch\fcs0 _x000d__x000a_\insrsid1975893\charrsid2914391 #}{\rtlch\fcs1 \af0 \ltrch\fcs0 \cs15\b0\v\f1\fs20\cf9\insrsid1975893\charrsid2914391 &lt;/DocAmend&gt;}{\rtlch\fcs1 \af0 \ltrch\fcs0 \insrsid1975893\charrsid2914391 _x000d__x000a_\par }\pard\plain \ltrpar\s19\ql \li0\ri0\keepn\nowidctlpar\wrapdefault\aspalpha\aspnum\faauto\adjustright\rin0\lin0\itap0\pararsid1975893 \rtlch\fcs1 \af0\afs20\alang1025 \ltrch\fcs0 \b\fs24\lang2057\langfe2057\cgrid\langnp2057\langfenp2057 {\rtlch\fcs1 \af0 _x000d__x000a_\ltrch\fcs0 \cs15\b0\v\f1\fs20\cf9\insrsid1975893\charrsid2914391 &lt;Article&gt;}{\rtlch\fcs1 \af0 \ltrch\fcs0 \insrsid1975893\charrsid2914391 #}{\rtlch\fcs1 \af0 \ltrch\fcs0 \cs16\v\cf15\insrsid1975893\charrsid2914391 _x000d__x000a_MNU[AMACTPARTYES][AMACTPARTNO]@CHOICE@AMACTMNU}{\rtlch\fcs1 \af0 \ltrch\fcs0 \insrsid1975893\charrsid2914391 #}{\rtlch\fcs1 \af0 \ltrch\fcs0 \cs15\b0\v\f1\fs20\cf9\insrsid1975893\charrsid2914391 &lt;/Article&gt;}{\rtlch\fcs1 \af0 \ltrch\fcs0 _x000d__x000a_\insrsid1975893\charrsid2914391 _x000d__x000a_\par }\pard\plain \ltrpar\ql \li0\ri0\keepn\widctlpar\wrapdefault\aspalpha\aspnum\faauto\adjustright\rin0\lin0\itap0\pararsid1975893 \rtlch\fcs1 \af0\afs20\alang1025 \ltrch\fcs0 \fs24\lang2057\langfe2057\cgrid\langnp2057\langfenp2057 {\rtlch\fcs1 \af0 _x000d__x000a_\ltrch\fcs0 \cs15\v\f1\fs20\cf9\insrsid1975893\charrsid2914391 &lt;DocAmend2&gt;&lt;OptDel&gt;}{\rtlch\fcs1 \af0 \ltrch\fcs0 \insrsid1975893\charrsid2914391 #}{\rtlch\fcs1 \af0 \ltrch\fcs0 \cs16\v\cf15\insrsid1975893\charrsid2914391 _x000d__x000a_MNU[OPTNRACTYES][NOTAPP]@CHOICE@AMACTMNU}{\rtlch\fcs1 \af0 \ltrch\fcs0 \insrsid1975893\charrsid2914391 #}{\rtlch\fcs1 \af0 \ltrch\fcs0 \cs15\v\f1\fs20\cf9\insrsid1975893\charrsid2914391 &lt;/OptDel&gt;&lt;/DocAmend2&gt;}{\rtlch\fcs1 \af0 \ltrch\fcs0 _x000d__x000a_\insrsid1975893\charrsid2914391 _x000d__x000a_\par }\pard \ltrpar\ql \li0\ri0\widctlpar\wrapdefault\aspalpha\aspnum\faauto\adjustright\rin0\lin0\itap0\pararsid1975893 {\rtlch\fcs1 \af0 \ltrch\fcs0 \cs15\v\f1\fs20\cf9\insrsid1975893\charrsid2914391 &lt;Article2&gt;&lt;OptDel&gt;}{\rtlch\fcs1 \af0 \ltrch\fcs0 _x000d__x000a_\insrsid1975893\charrsid2914391 #}{\rtlch\fcs1 \af0 \ltrch\fcs0 \cs16\v\cf15\insrsid1975893\charrsid2914391 MNU[OPTACTPARTYES][NOTAPP]@CHOICE@AMACTMNU}{\rtlch\fcs1 \af0 \ltrch\fcs0 \insrsid1975893\charrsid2914391 #}{\rtlch\fcs1 \af0 \ltrch\fcs0 _x000d__x000a_\cs15\v\f1\fs20\cf9\insrsid1975893\charrsid2914391 &lt;/OptDel&gt;&lt;/Article2&gt;}{\rtlch\fcs1 \af0 \ltrch\fcs0 \insrsid1975893\charrsid2914391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975893\charrsid2914391 \cell }\pard \ltrpar\ql \li0\ri0\widctlpar\intbl\wrapdefault\aspalpha\aspnum\faauto\adjustright\rin0\lin0 {\rtlch\fcs1 \af0 \ltrch\fcs0 \insrsid1975893\charrsid2914391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975893\charrsid2914391 #}{\rtlch\fcs1 \af0 \ltrch\fcs0 \cs16\v\cf15\insrsid1975893\charrsid2914391 MNU[OPTLEFTAMACT][LEFTPROP]@CHOICE@AMACTMNU}{\rtlch\fcs1 \af0 \ltrch\fcs0 \insrsid1975893\charrsid2914391 #\cell Amendment\cell _x000d__x000a_}\pard\plain \ltrpar\ql \li0\ri0\widctlpar\intbl\wrapdefault\aspalpha\aspnum\faauto\adjustright\rin0\lin0 \rtlch\fcs1 \af0\afs20\alang1025 \ltrch\fcs0 \fs24\lang2057\langfe2057\cgrid\langnp2057\langfenp2057 {\rtlch\fcs1 \af0 \ltrch\fcs0 _x000d__x000a_\insrsid1975893\charrsid2914391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975893\charrsid2914391 ##\cell ##}{\rtlch\fcs1 \af0\afs24 \ltrch\fcs0 \insrsid1975893\charrsid2914391 \cell }\pard\plain \ltrpar\ql \li0\ri0\widctlpar\intbl\wrapdefault\aspalpha\aspnum\faauto\adjustright\rin0\lin0 \rtlch\fcs1 _x000d__x000a_\af0\afs20\alang1025 \ltrch\fcs0 \fs24\lang2057\langfe2057\cgrid\langnp2057\langfenp2057 {\rtlch\fcs1 \af0 \ltrch\fcs0 \insrsid1975893\charrsid2914391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975893 \rtlch\fcs1 \af0\afs20\alang1025 \ltrch\fcs0 \i\fs24\lang2057\langfe2057\cgrid\langnp2057\langfenp2057 {\rtlch\fcs1 \af0 \ltrch\fcs0 _x000d__x000a_\cs15\i0\v\f1\fs20\cf9\insrsid1975893\charrsid2914391 &lt;OptDel&gt;}{\rtlch\fcs1 \af0 \ltrch\fcs0 \insrsid1975893\charrsid2914391 #}{\rtlch\fcs1 \af0 \ltrch\fcs0 \cs16\v\cf15\insrsid1975893\charrsid2914391 MNU[CROSSREFNO][CROSSREFYES]@CHOICE@}{\rtlch\fcs1 _x000d__x000a_\af0 \ltrch\fcs0 \insrsid1975893\charrsid2914391 #}{\rtlch\fcs1 \af0 \ltrch\fcs0 \cs15\i0\v\f1\fs20\cf9\insrsid1975893\charrsid2914391 &lt;/OptDel&gt;}{\rtlch\fcs1 \af0 \ltrch\fcs0 \insrsid1975893\charrsid2914391 _x000d__x000a_\par }\pard\plain \ltrpar\s23\qc \li0\ri0\sb240\keepn\nowidctlpar\wrapdefault\aspalpha\aspnum\faauto\adjustright\rin0\lin0\itap0\pararsid1975893 \rtlch\fcs1 \af0\afs20\alang1025 \ltrch\fcs0 \i\fs24\lang2057\langfe2057\cgrid\langnp2057\langfenp2057 {_x000d__x000a_\rtlch\fcs1 \af0 \ltrch\fcs0 \cs15\i0\v\f1\fs20\cf9\insrsid1975893\charrsid2914391 &lt;TitreJust&gt;}{\rtlch\fcs1 \af0 \ltrch\fcs0 \insrsid1975893\charrsid2914391 Justification}{\rtlch\fcs1 \af0 \ltrch\fcs0 \cs15\i0\v\f1\fs20\cf9\insrsid1975893\charrsid2914391 _x000d__x000a_&lt;/TitreJust&gt;}{\rtlch\fcs1 \af0 \ltrch\fcs0 \insrsid1975893\charrsid2914391 _x000d__x000a_\par }\pard\plain \ltrpar\s21\ql \li0\ri0\sb240\nowidctlpar\wrapdefault\aspalpha\aspnum\faauto\adjustright\rin0\lin0\itap0\pararsid1975893 \rtlch\fcs1 \af0\afs20\alang1025 \ltrch\fcs0 \i\fs24\lang2057\langfe2057\cgrid\langnp2057\langfenp2057 {\rtlch\fcs1 \af0 _x000d__x000a_\ltrch\fcs0 \cs15\i0\v\f1\fs20\cf9\insrsid1975893\charrsid2914391 &lt;OptDelPrev&gt;}{\rtlch\fcs1 \af0 \ltrch\fcs0 \insrsid1975893\charrsid2914391 #}{\rtlch\fcs1 \af0 \ltrch\fcs0 \cs16\v\cf15\insrsid1975893\charrsid2914391 MNU[TEXTJUSTYES][TEXTJUSTNO]@CHOICE@}{_x000d__x000a_\rtlch\fcs1 \af0 \ltrch\fcs0 \insrsid1975893\charrsid2914391 #}{\rtlch\fcs1 \af0 \ltrch\fcs0 \cs15\i0\v\f1\fs20\cf9\insrsid1975893\charrsid2914391 &lt;/OptDelPrev&gt;}{\rtlch\fcs1 \af0 \ltrch\fcs0 \insrsid1975893\charrsid2914391 _x000d__x000a_\par }\pard\plain \ltrpar\ql \li0\ri0\widctlpar\wrapdefault\aspalpha\aspnum\faauto\adjustright\rin0\lin0\itap0\pararsid1975893 \rtlch\fcs1 \af0\afs20\alang1025 \ltrch\fcs0 \fs24\lang2057\langfe2057\cgrid\langnp2057\langfenp2057 {\rtlch\fcs1 \af0 \ltrch\fcs0 _x000d__x000a_\cs15\v\f1\fs20\cf9\insrsid1975893\charrsid2914391 &lt;/Amend&gt;}{\rtlch\fcs1 \af0 \ltrch\fcs0 \insrsid197589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a6_x000d__x000a_2188439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982602 HideTWBExt;}{\s16\ql \li0\ri0\sa120\nowidctlpar\wrapdefault\aspalpha\aspnum\faauto\adjustright\rin0\lin0\itap0 \rtlch\fcs1 \af0\afs20\alang1025 \ltrch\fcs0 _x000d__x000a_\fs24\lang2057\langfe2057\cgrid\langnp2057\langfenp2057 \sbasedon0 \snext16 \slink17 \spriority0 \styrsid4982602 Normal6;}{\*\cs17 \additive \fs24 \slink16 \slocked \spriority0 \styrsid4982602 Normal6 Char;}{_x000d__x000a_\s18\ql \li0\ri0\nowidctlpar\wrapdefault\aspalpha\aspnum\faauto\adjustright\rin0\lin0\itap0 \rtlch\fcs1 \af0\afs20\alang1025 \ltrch\fcs0 \b\fs24\lang2057\langfe2057\cgrid\langnp2057\langfenp2057 \sbasedon0 \snext18 \slink19 \spriority0 \styrsid4982602 _x000d__x000a_NormalBold;}{\*\cs19 \additive \b\fs24 \slink18 \slocked \spriority0 \styrsid4982602 NormalBold Char;}{\s20\ql \li0\ri0\sb240\nowidctlpar\wrapdefault\aspalpha\aspnum\faauto\adjustright\rin0\lin0\itap0 \rtlch\fcs1 \af0\afs20\alang1025 \ltrch\fcs0 _x000d__x000a_\i\fs24\lang2057\langfe2057\cgrid\langnp2057\langfenp2057 \sbasedon0 \snext20 \spriority0 \styrsid4982602 Normal12Italic;}{\s21\qc \li0\ri0\sb240\nowidctlpar\wrapdefault\aspalpha\aspnum\faauto\adjustright\rin0\lin0\itap0 \rtlch\fcs1 \af0\afs20\alang1025 _x000d__x000a_\ltrch\fcs0 \i\fs24\lang2057\langfe2057\cgrid\langnp2057\langfenp2057 \sbasedon0 \snext21 \spriority0 \styrsid4982602 CrossRef;}{\s22\qc \li0\ri0\sb240\keepn\nowidctlpar\wrapdefault\aspalpha\aspnum\faauto\adjustright\rin0\lin0\itap0 \rtlch\fcs1 _x000d__x000a_\af0\afs20\alang1025 \ltrch\fcs0 \i\fs24\lang2057\langfe2057\cgrid\langnp2057\langfenp2057 \sbasedon0 \snext0 \spriority0 \styrsid4982602 JustificationTitle;}{_x000d__x000a_\s23\qc \li0\ri0\sa240\nowidctlpar\wrapdefault\aspalpha\aspnum\faauto\adjustright\rin0\lin0\itap0 \rtlch\fcs1 \af0\afs20\alang1025 \ltrch\fcs0 \i\fs24\lang2057\langfe2057\cgrid\langnp2057\langfenp2057 \sbasedon0 \snext23 \spriority0 \styrsid498260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982602 AMNumberTabs;}{_x000d__x000a_\s25\ql \li0\ri0\sb240\nowidctlpar\wrapdefault\aspalpha\aspnum\faauto\adjustright\rin0\lin0\itap0 \rtlch\fcs1 \af0\afs20\alang1025 \ltrch\fcs0 \b\fs24\lang2057\langfe2057\cgrid\langnp2057\langfenp2057 \sbasedon0 \snext25 \spriority0 \styrsid4982602 _x000d__x000a_NormalBold12b;}}{\*\rsidtbl \rsid24658\rsid417385\rsid735077\rsid2892074\rsid4666813\rsid4982602\rsid6641733\rsid9636012\rsid11215221\rsid12154954\rsid14424199\rsid15204470\rsid15285974\rsid15950462\rsid16324206\rsid16662270}{\mmathPr\mmathFont34\mbrkBin0_x000d__x000a_\mbrkBinSub0\msmallFrac0\mdispDef1\mlMargin0\mrMargin0\mdefJc1\mwrapIndent1440\mintLim0\mnaryLim1}{\info{\author BERNIQUET Catherine}{\operator BERNIQUET Catherine}{\creatim\yr2018\mo12\dy11\hr12\min20}{\revtim\yr2018\mo12\dy11\hr12\min20}{\version1}_x000d__x000a_{\edmins0}{\nofpages1}{\nofwords56}{\nofchars311}{\*\company European Parliament}{\nofcharsws363}{\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982602\utinl \donotshowprops1\fet0{\*\wgrffmtfilter 013f}\ilfomacatclnup0{\*\template C:\\Users\\CBERNI~1\\AppData\\Local\\Temp\\Blank1.dot}{\*\ftnsep \ltrpar _x000d__x000a_\pard\plain \ltrpar\ql \li0\ri0\widctlpar\wrapdefault\aspalpha\aspnum\faauto\adjustright\rin0\lin0\itap0 \rtlch\fcs1 \af0\afs20\alang1025 \ltrch\fcs0 \fs24\lang2057\langfe2057\cgrid\langnp2057\langfenp2057 {\rtlch\fcs1 \af0 \ltrch\fcs0 \insrsid41738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17385 \chftnsepc _x000d__x000a_\par }}{\*\aftnsep \ltrpar \pard\plain \ltrpar\ql \li0\ri0\widctlpar\wrapdefault\aspalpha\aspnum\faauto\adjustright\rin0\lin0\itap0 \rtlch\fcs1 \af0\afs20\alang1025 \ltrch\fcs0 \fs24\lang2057\langfe2057\cgrid\langnp2057\langfenp2057 {\rtlch\fcs1 \af0 _x000d__x000a_\ltrch\fcs0 \insrsid417385 \chftnsep _x000d__x000a_\par }}{\*\aftnsepc \ltrpar \pard\plain \ltrpar\ql \li0\ri0\widctlpar\wrapdefault\aspalpha\aspnum\faauto\adjustright\rin0\lin0\itap0 \rtlch\fcs1 \af0\afs20\alang1025 \ltrch\fcs0 \fs24\lang2057\langfe2057\cgrid\langnp2057\langfenp2057 {\rtlch\fcs1 \af0 _x000d__x000a_\ltrch\fcs0 \insrsid4173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982602 \rtlch\fcs1 \af0\afs20\alang1025 \ltrch\fcs0 \b\fs24\lang2057\langfe2057\cgrid\langnp2057\langfenp2057 {\rtlch\fcs1 \af0 \ltrch\fcs0 \cs15\b0\v\f1\fs20\cf9\insrsid4982602\charrsid4593153 {\*\bkmkstart restart}&lt;Amend&gt;}{_x000d__x000a_\rtlch\fcs1 \af0 \ltrch\fcs0 \insrsid4982602\charrsid4593153 [ZAMENDMENT]\tab \tab }{\rtlch\fcs1 \af0 \ltrch\fcs0 \cs15\b0\v\f1\fs20\cf9\insrsid4982602\charrsid4593153 &lt;NumAm&gt;}{\rtlch\fcs1 \af0 \ltrch\fcs0 \insrsid4982602\charrsid4593153 [ZNRAM]}{_x000d__x000a_\rtlch\fcs1 \af0 \ltrch\fcs0 \cs15\b0\v\f1\fs20\cf9\insrsid4982602\charrsid4593153 &lt;/NumAm&gt;}{\rtlch\fcs1 \af0 \ltrch\fcs0 \insrsid4982602\charrsid4593153 _x000d__x000a_\par }\pard\plain \ltrpar\s25\ql \li0\ri0\sb240\keepn\nowidctlpar\wrapdefault\aspalpha\aspnum\faauto\adjustright\rin0\lin0\itap0\pararsid4982602 \rtlch\fcs1 \af0\afs20\alang1025 \ltrch\fcs0 \b\fs24\lang2057\langfe2057\cgrid\langnp2057\langfenp2057 {_x000d__x000a_\rtlch\fcs1 \af0 \ltrch\fcs0 \cs15\b0\v\f1\fs20\cf9\insrsid4982602\charrsid4593153 &lt;DocAmend&gt;}{\rtlch\fcs1 \af0 \ltrch\fcs0 \insrsid4982602\charrsid4593153 [ZPROPOSAL][ZAMACT]}{\rtlch\fcs1 \af0 \ltrch\fcs0 _x000d__x000a_\cs15\b0\v\f1\fs20\cf9\insrsid4982602\charrsid4593153 &lt;/DocAmend&gt;}{\rtlch\fcs1 \af0 \ltrch\fcs0 \insrsid4982602\charrsid4593153 _x000d__x000a_\par }\pard\plain \ltrpar\s18\ql \li0\ri0\keepn\nowidctlpar\wrapdefault\aspalpha\aspnum\faauto\adjustright\rin0\lin0\itap0\pararsid4982602 \rtlch\fcs1 \af0\afs20\alang1025 \ltrch\fcs0 \b\fs24\lang2057\langfe2057\cgrid\langnp2057\langfenp2057 {\rtlch\fcs1 \af0 _x000d__x000a_\ltrch\fcs0 \cs15\b0\v\f1\fs20\cf9\insrsid4982602\charrsid4593153 &lt;Article&gt;}{\rtlch\fcs1 \af0 \ltrch\fcs0 \insrsid4982602\charrsid4593153 [ZAMPART]}{\rtlch\fcs1 \af0 \ltrch\fcs0 \cs15\b0\v\f1\fs20\cf9\insrsid4982602\charrsid4593153 &lt;/Article&gt;}{_x000d__x000a_\rtlch\fcs1 \af0 \ltrch\fcs0 \insrsid4982602\charrsid4593153 _x000d__x000a_\par }\pard\plain \ltrpar\ql \li0\ri0\keepn\widctlpar\wrapdefault\aspalpha\aspnum\faauto\adjustright\rin0\lin0\itap0\pararsid4982602 \rtlch\fcs1 \af0\afs20\alang1025 \ltrch\fcs0 \fs24\lang2057\langfe2057\cgrid\langnp2057\langfenp2057 {\rtlch\fcs1 \af0 _x000d__x000a_\ltrch\fcs0 \cs15\v\f1\fs20\cf9\insrsid4982602\charrsid4593153 &lt;DocAmend2&gt;&lt;OptDel&gt;}{\rtlch\fcs1 \af0 \ltrch\fcs0 \insrsid4982602\charrsid4593153 [ZNRACT]}{\rtlch\fcs1 \af0 \ltrch\fcs0 \cs15\v\f1\fs20\cf9\insrsid4982602\charrsid4593153 _x000d__x000a_&lt;/OptDel&gt;&lt;/DocAmend2&gt;}{\rtlch\fcs1 \af0 \ltrch\fcs0 \insrsid4982602\charrsid4593153 _x000d__x000a_\par }\pard \ltrpar\ql \li0\ri0\widctlpar\wrapdefault\aspalpha\aspnum\faauto\adjustright\rin0\lin0\itap0\pararsid4982602 {\rtlch\fcs1 \af0 \ltrch\fcs0 \cs15\v\f1\fs20\cf9\insrsid4982602\charrsid4593153 &lt;Article2&gt;&lt;OptDel&gt;}{\rtlch\fcs1 \af0 \ltrch\fcs0 _x000d__x000a_\insrsid4982602\charrsid4593153 [ZACTPART]}{\rtlch\fcs1 \af0 \ltrch\fcs0 \cs15\v\f1\fs20\cf9\insrsid4982602\charrsid4593153 &lt;/OptDel&gt;&lt;/Article2&gt;}{\rtlch\fcs1 \af0 \ltrch\fcs0 \insrsid4982602\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4982602\charrsid4593153 \cell }\pard \ltrpar\ql \li0\ri0\widctlpar\intbl\wrapdefault\aspalpha\aspnum\faauto\adjustright\rin0\lin0 {\rtlch\fcs1 \af0 \ltrch\fcs0 \insrsid4982602\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4982602\charrsid4593153 [ZLEFT]\cell [ZRIGHT]\cell }\pard\plain \ltrpar\ql \li0\ri0\widctlpar\intbl\wrapdefault\aspalpha\aspnum\faauto\adjustright\rin0\lin0 \rtlch\fcs1 \af0\afs20\alang1025 \ltrch\fcs0 _x000d__x000a_\fs24\lang2057\langfe2057\cgrid\langnp2057\langfenp2057 {\rtlch\fcs1 \af0 \ltrch\fcs0 \insrsid4982602\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4982602\charrsid4593153 [ZTEXTL]\cell [ZTEXTR]}{\rtlch\fcs1 \af0\afs24 \ltrch\fcs0 \insrsid4982602\charrsid4593153 \cell }\pard\plain \ltrpar\ql \li0\ri0\widctlpar\intbl\wrapdefault\aspalpha\aspnum\faauto\adjustright\rin0\lin0 \rtlch\fcs1 _x000d__x000a_\af0\afs20\alang1025 \ltrch\fcs0 \fs24\lang2057\langfe2057\cgrid\langnp2057\langfenp2057 {\rtlch\fcs1 \af0 \ltrch\fcs0 \insrsid4982602\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4982602 \rtlch\fcs1 \af0\afs20\alang1025 \ltrch\fcs0 \i\fs24\lang2057\langfe2057\cgrid\langnp2057\langfenp2057 {\rtlch\fcs1 \af0 \ltrch\fcs0 _x000d__x000a_\cs15\i0\v\f1\fs20\cf9\insrsid4982602\charrsid4593153 &lt;OptDel&gt;}{\rtlch\fcs1 \af0 \ltrch\fcs0 \insrsid4982602\charrsid4593153 [ZCROSSREF]}{\rtlch\fcs1 \af0 \ltrch\fcs0 \cs15\i0\v\f1\fs20\cf9\insrsid4982602\charrsid4593153 &lt;/OptDel&gt;}{\rtlch\fcs1 \af0 _x000d__x000a_\ltrch\fcs0 \insrsid4982602\charrsid4593153 _x000d__x000a_\par }\pard\plain \ltrpar\s22\qc \li0\ri0\sb240\keepn\nowidctlpar\wrapdefault\aspalpha\aspnum\faauto\adjustright\rin0\lin0\itap0\pararsid4982602 \rtlch\fcs1 \af0\afs20\alang1025 \ltrch\fcs0 \i\fs24\lang2057\langfe2057\cgrid\langnp2057\langfenp2057 {_x000d__x000a_\rtlch\fcs1 \af0 \ltrch\fcs0 \cs15\i0\v\f1\fs20\cf9\insrsid4982602\charrsid4593153 &lt;TitreJust&gt;}{\rtlch\fcs1 \af0 \ltrch\fcs0 \insrsid4982602\charrsid4593153 [ZJUSTIFICATION]}{\rtlch\fcs1 \af0 \ltrch\fcs0 _x000d__x000a_\cs15\i0\v\f1\fs20\cf9\insrsid4982602\charrsid4593153 &lt;/TitreJust&gt;}{\rtlch\fcs1 \af0 \ltrch\fcs0 \insrsid4982602\charrsid4593153 _x000d__x000a_\par }\pard\plain \ltrpar\s20\ql \li0\ri0\sb240\nowidctlpar\wrapdefault\aspalpha\aspnum\faauto\adjustright\rin0\lin0\itap0\pararsid4982602 \rtlch\fcs1 \af0\afs20\alang1025 \ltrch\fcs0 \i\fs24\lang2057\langfe2057\cgrid\langnp2057\langfenp2057 {\rtlch\fcs1 \af0 _x000d__x000a_\ltrch\fcs0 \cs15\i0\v\f1\fs20\cf9\insrsid4982602\charrsid4593153 &lt;OptDelPrev&gt;}{\rtlch\fcs1 \af0 \ltrch\fcs0 \insrsid4982602\charrsid4593153 [ZTEXTJUST]}{\rtlch\fcs1 \af0 \ltrch\fcs0 \cs15\i0\v\f1\fs20\cf9\insrsid4982602\charrsid4593153 &lt;/OptDelPrev&gt;}{_x000d__x000a_\rtlch\fcs1 \af0 \ltrch\fcs0 \insrsid4982602\charrsid4593153 _x000d__x000a_\par }\pard\plain \ltrpar\ql \li0\ri0\widctlpar\wrapdefault\aspalpha\aspnum\faauto\adjustright\rin0\lin0\itap0\pararsid4982602 \rtlch\fcs1 \af0\afs20\alang1025 \ltrch\fcs0 \fs24\lang2057\langfe2057\cgrid\langnp2057\langfenp2057 {\rtlch\fcs1 \af0 \ltrch\fcs0 _x000d__x000a_\cs15\v\f1\fs20\cf9\insrsid4982602\charrsid4593153 &lt;/Amend&gt;}{\rtlch\fcs1 \af0 \ltrch\fcs0 \insrsid498260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c_x000d__x000a_6889439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SubDir" w:val="627"/>
    <w:docVar w:name="TVTAMPART" w:val="1"/>
    <w:docVar w:name="TXTAUTHOR" w:val="Andrejs Mamikins"/>
    <w:docVar w:name="TXTLANGUE" w:val="EN"/>
    <w:docVar w:name="TXTLANGUEMIN" w:val="en"/>
    <w:docVar w:name="TXTNRC" w:val="0151/2018"/>
    <w:docVar w:name="TXTNRCOD" w:val="2018/0103"/>
    <w:docVar w:name="TXTNRCOM" w:val="(2018)0209"/>
    <w:docVar w:name="TXTNRFIRSTAM" w:val="1"/>
    <w:docVar w:name="TXTNRLASTAM" w:val="41"/>
    <w:docVar w:name="TXTNRPE" w:val="627.056"/>
    <w:docVar w:name="TXTPEorAP" w:val="PE"/>
    <w:docVar w:name="TXTROUTE" w:val="RR\627056EN.docx"/>
    <w:docVar w:name="TXTTITLE" w:val="on the proposal for a regulation of the European Parliament and of the Council on the marketing and use of explosives precursors, amending Annex XVIII to Regulation (EC) No 1907/2006 and repealing Regulation (EU) No 98/2013 on the marketing and use of explosives precursors"/>
    <w:docVar w:name="TXTVERSION" w:val="02-00"/>
  </w:docVars>
  <w:rsids>
    <w:rsidRoot w:val="00701A0F"/>
    <w:rsid w:val="00002AD2"/>
    <w:rsid w:val="00011AAB"/>
    <w:rsid w:val="00012351"/>
    <w:rsid w:val="00030031"/>
    <w:rsid w:val="000440FA"/>
    <w:rsid w:val="00075C71"/>
    <w:rsid w:val="00084E89"/>
    <w:rsid w:val="000979A3"/>
    <w:rsid w:val="000F1096"/>
    <w:rsid w:val="00111BF5"/>
    <w:rsid w:val="00123DD5"/>
    <w:rsid w:val="00142215"/>
    <w:rsid w:val="00155015"/>
    <w:rsid w:val="001566F4"/>
    <w:rsid w:val="001767E2"/>
    <w:rsid w:val="00187008"/>
    <w:rsid w:val="001A5E33"/>
    <w:rsid w:val="001B4600"/>
    <w:rsid w:val="001C0995"/>
    <w:rsid w:val="001C5592"/>
    <w:rsid w:val="001C5B44"/>
    <w:rsid w:val="001C5F5D"/>
    <w:rsid w:val="001C6FFC"/>
    <w:rsid w:val="001D4670"/>
    <w:rsid w:val="001E4029"/>
    <w:rsid w:val="00212B84"/>
    <w:rsid w:val="00212E6E"/>
    <w:rsid w:val="00232304"/>
    <w:rsid w:val="00233438"/>
    <w:rsid w:val="002346B0"/>
    <w:rsid w:val="00260895"/>
    <w:rsid w:val="002667C3"/>
    <w:rsid w:val="002669B6"/>
    <w:rsid w:val="00271294"/>
    <w:rsid w:val="00281D6C"/>
    <w:rsid w:val="00290BED"/>
    <w:rsid w:val="0029145C"/>
    <w:rsid w:val="002B4C7C"/>
    <w:rsid w:val="002B5F7E"/>
    <w:rsid w:val="002E077E"/>
    <w:rsid w:val="002F40BB"/>
    <w:rsid w:val="002F4B02"/>
    <w:rsid w:val="002F5BC5"/>
    <w:rsid w:val="002F7E55"/>
    <w:rsid w:val="00303EC6"/>
    <w:rsid w:val="00323EF8"/>
    <w:rsid w:val="0033629E"/>
    <w:rsid w:val="003508A4"/>
    <w:rsid w:val="00357FEE"/>
    <w:rsid w:val="00370AC3"/>
    <w:rsid w:val="00376A7E"/>
    <w:rsid w:val="003C2068"/>
    <w:rsid w:val="003C37CF"/>
    <w:rsid w:val="003E34F7"/>
    <w:rsid w:val="004024E5"/>
    <w:rsid w:val="004100B1"/>
    <w:rsid w:val="00410AB6"/>
    <w:rsid w:val="0045029A"/>
    <w:rsid w:val="00455AEB"/>
    <w:rsid w:val="00461601"/>
    <w:rsid w:val="00463548"/>
    <w:rsid w:val="00492158"/>
    <w:rsid w:val="004B68B4"/>
    <w:rsid w:val="004C0915"/>
    <w:rsid w:val="004C43FA"/>
    <w:rsid w:val="004D424E"/>
    <w:rsid w:val="004D7014"/>
    <w:rsid w:val="004E42C8"/>
    <w:rsid w:val="004E4BC4"/>
    <w:rsid w:val="0051271F"/>
    <w:rsid w:val="00521F46"/>
    <w:rsid w:val="005237B1"/>
    <w:rsid w:val="00551123"/>
    <w:rsid w:val="00553015"/>
    <w:rsid w:val="00556158"/>
    <w:rsid w:val="0056754C"/>
    <w:rsid w:val="00570A6A"/>
    <w:rsid w:val="00586E50"/>
    <w:rsid w:val="005D1A99"/>
    <w:rsid w:val="005D7609"/>
    <w:rsid w:val="005D7EE8"/>
    <w:rsid w:val="005F2806"/>
    <w:rsid w:val="006234B9"/>
    <w:rsid w:val="0063487A"/>
    <w:rsid w:val="006904E5"/>
    <w:rsid w:val="006C2BDC"/>
    <w:rsid w:val="006F6BB7"/>
    <w:rsid w:val="006F7907"/>
    <w:rsid w:val="00701A0F"/>
    <w:rsid w:val="00743189"/>
    <w:rsid w:val="00750B2A"/>
    <w:rsid w:val="0075118C"/>
    <w:rsid w:val="0078142B"/>
    <w:rsid w:val="007932B3"/>
    <w:rsid w:val="00793EA9"/>
    <w:rsid w:val="007D6F68"/>
    <w:rsid w:val="00823E7A"/>
    <w:rsid w:val="00842B22"/>
    <w:rsid w:val="008619B8"/>
    <w:rsid w:val="008633CC"/>
    <w:rsid w:val="00865190"/>
    <w:rsid w:val="008719B9"/>
    <w:rsid w:val="00894ECE"/>
    <w:rsid w:val="00896BB4"/>
    <w:rsid w:val="008A7FB8"/>
    <w:rsid w:val="008B3F1B"/>
    <w:rsid w:val="008E1FB7"/>
    <w:rsid w:val="009022B8"/>
    <w:rsid w:val="00917CC4"/>
    <w:rsid w:val="00930F78"/>
    <w:rsid w:val="00957B78"/>
    <w:rsid w:val="009763DA"/>
    <w:rsid w:val="009B4B93"/>
    <w:rsid w:val="009C3754"/>
    <w:rsid w:val="009E01CB"/>
    <w:rsid w:val="009E7D36"/>
    <w:rsid w:val="009F1A66"/>
    <w:rsid w:val="009F24BE"/>
    <w:rsid w:val="009F6C2F"/>
    <w:rsid w:val="00A13C92"/>
    <w:rsid w:val="00A22533"/>
    <w:rsid w:val="00A25082"/>
    <w:rsid w:val="00A26F46"/>
    <w:rsid w:val="00A34FD3"/>
    <w:rsid w:val="00A353E8"/>
    <w:rsid w:val="00A36929"/>
    <w:rsid w:val="00A42BD8"/>
    <w:rsid w:val="00A53BA3"/>
    <w:rsid w:val="00A54FC4"/>
    <w:rsid w:val="00A63F8D"/>
    <w:rsid w:val="00AA35B0"/>
    <w:rsid w:val="00AA5F11"/>
    <w:rsid w:val="00AD18C8"/>
    <w:rsid w:val="00AD7FA6"/>
    <w:rsid w:val="00AE4643"/>
    <w:rsid w:val="00AF0416"/>
    <w:rsid w:val="00AF30F6"/>
    <w:rsid w:val="00B0186B"/>
    <w:rsid w:val="00B10CB4"/>
    <w:rsid w:val="00B23B72"/>
    <w:rsid w:val="00B40C60"/>
    <w:rsid w:val="00B42702"/>
    <w:rsid w:val="00B46F8B"/>
    <w:rsid w:val="00B62148"/>
    <w:rsid w:val="00B85407"/>
    <w:rsid w:val="00B95702"/>
    <w:rsid w:val="00BC1135"/>
    <w:rsid w:val="00BC6489"/>
    <w:rsid w:val="00BD480C"/>
    <w:rsid w:val="00BD534D"/>
    <w:rsid w:val="00C13F35"/>
    <w:rsid w:val="00C171D8"/>
    <w:rsid w:val="00C73602"/>
    <w:rsid w:val="00C92B29"/>
    <w:rsid w:val="00CF60C8"/>
    <w:rsid w:val="00D32924"/>
    <w:rsid w:val="00D503A3"/>
    <w:rsid w:val="00D82A40"/>
    <w:rsid w:val="00DA6ED0"/>
    <w:rsid w:val="00DB55E3"/>
    <w:rsid w:val="00DC5011"/>
    <w:rsid w:val="00DD0190"/>
    <w:rsid w:val="00E02805"/>
    <w:rsid w:val="00E171B6"/>
    <w:rsid w:val="00E44A5C"/>
    <w:rsid w:val="00E958C2"/>
    <w:rsid w:val="00EA2017"/>
    <w:rsid w:val="00EB1753"/>
    <w:rsid w:val="00EB6CFF"/>
    <w:rsid w:val="00ED0B2C"/>
    <w:rsid w:val="00ED53D1"/>
    <w:rsid w:val="00EE3996"/>
    <w:rsid w:val="00EF6091"/>
    <w:rsid w:val="00F0365E"/>
    <w:rsid w:val="00F05A7A"/>
    <w:rsid w:val="00F129F6"/>
    <w:rsid w:val="00F20209"/>
    <w:rsid w:val="00F411D4"/>
    <w:rsid w:val="00F44080"/>
    <w:rsid w:val="00F4413A"/>
    <w:rsid w:val="00F56CF4"/>
    <w:rsid w:val="00F904AE"/>
    <w:rsid w:val="00F934F8"/>
    <w:rsid w:val="00FA4BE3"/>
    <w:rsid w:val="00FB52FE"/>
    <w:rsid w:val="00FB6766"/>
    <w:rsid w:val="00FC0A34"/>
    <w:rsid w:val="00FC4204"/>
    <w:rsid w:val="00FD1508"/>
    <w:rsid w:val="00FD1DEF"/>
    <w:rsid w:val="00FE0101"/>
    <w:rsid w:val="00FE3310"/>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A805B6"/>
  <w15:chartTrackingRefBased/>
  <w15:docId w15:val="{A0904558-F20B-4DCD-A39C-C25124AB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6B"/>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k-SK"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k-SK"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9F1A66"/>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uiPriority w:val="59"/>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9F1A66"/>
    <w:pPr>
      <w:spacing w:before="240" w:after="240"/>
    </w:pPr>
    <w:rPr>
      <w:b/>
      <w:i/>
      <w:snapToGrid w:val="0"/>
      <w:lang w:eastAsia="en-US"/>
    </w:rPr>
  </w:style>
  <w:style w:type="paragraph" w:customStyle="1" w:styleId="Lgendestandard">
    <w:name w:val="Légende standard"/>
    <w:basedOn w:val="Lgendesigne"/>
    <w:rsid w:val="009F1A66"/>
    <w:pPr>
      <w:ind w:left="0" w:firstLine="0"/>
    </w:pPr>
  </w:style>
  <w:style w:type="character" w:customStyle="1" w:styleId="Normal12Char">
    <w:name w:val="Normal12 Char"/>
    <w:link w:val="Normal12"/>
    <w:locked/>
    <w:rsid w:val="009F1A66"/>
    <w:rPr>
      <w:sz w:val="24"/>
    </w:rPr>
  </w:style>
  <w:style w:type="paragraph" w:customStyle="1" w:styleId="Default">
    <w:name w:val="Default"/>
    <w:link w:val="DefaultChar"/>
    <w:rsid w:val="000440FA"/>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0440FA"/>
    <w:rPr>
      <w:rFonts w:eastAsia="Calibri"/>
      <w:color w:val="000000"/>
      <w:sz w:val="24"/>
      <w:szCs w:val="24"/>
      <w:lang w:eastAsia="en-US"/>
    </w:rPr>
  </w:style>
  <w:style w:type="paragraph" w:styleId="BalloonText">
    <w:name w:val="Balloon Text"/>
    <w:basedOn w:val="Normal"/>
    <w:link w:val="BalloonTextChar"/>
    <w:rsid w:val="00B40C60"/>
    <w:rPr>
      <w:rFonts w:ascii="Segoe UI" w:hAnsi="Segoe UI" w:cs="Segoe UI"/>
      <w:sz w:val="18"/>
      <w:szCs w:val="18"/>
    </w:rPr>
  </w:style>
  <w:style w:type="character" w:customStyle="1" w:styleId="BalloonTextChar">
    <w:name w:val="Balloon Text Char"/>
    <w:basedOn w:val="DefaultParagraphFont"/>
    <w:link w:val="BalloonText"/>
    <w:rsid w:val="00B40C60"/>
    <w:rPr>
      <w:rFonts w:ascii="Segoe UI" w:hAnsi="Segoe UI" w:cs="Segoe UI"/>
      <w:sz w:val="18"/>
      <w:szCs w:val="18"/>
    </w:rPr>
  </w:style>
  <w:style w:type="paragraph" w:styleId="FootnoteText">
    <w:name w:val="footnote text"/>
    <w:basedOn w:val="Normal"/>
    <w:link w:val="FootnoteTextChar"/>
    <w:rsid w:val="00B40C60"/>
    <w:rPr>
      <w:sz w:val="20"/>
    </w:rPr>
  </w:style>
  <w:style w:type="character" w:customStyle="1" w:styleId="FootnoteTextChar">
    <w:name w:val="Footnote Text Char"/>
    <w:basedOn w:val="DefaultParagraphFont"/>
    <w:link w:val="FootnoteText"/>
    <w:rsid w:val="00B40C60"/>
  </w:style>
  <w:style w:type="character" w:styleId="FootnoteReference">
    <w:name w:val="footnote reference"/>
    <w:basedOn w:val="DefaultParagraphFont"/>
    <w:rsid w:val="00B40C60"/>
    <w:rPr>
      <w:vertAlign w:val="superscript"/>
    </w:rPr>
  </w:style>
  <w:style w:type="character" w:styleId="CommentReference">
    <w:name w:val="annotation reference"/>
    <w:basedOn w:val="DefaultParagraphFont"/>
    <w:rsid w:val="00376A7E"/>
    <w:rPr>
      <w:sz w:val="16"/>
      <w:szCs w:val="16"/>
    </w:rPr>
  </w:style>
  <w:style w:type="paragraph" w:styleId="CommentText">
    <w:name w:val="annotation text"/>
    <w:basedOn w:val="Normal"/>
    <w:link w:val="CommentTextChar"/>
    <w:rsid w:val="00376A7E"/>
    <w:rPr>
      <w:sz w:val="20"/>
    </w:rPr>
  </w:style>
  <w:style w:type="character" w:customStyle="1" w:styleId="CommentTextChar">
    <w:name w:val="Comment Text Char"/>
    <w:basedOn w:val="DefaultParagraphFont"/>
    <w:link w:val="CommentText"/>
    <w:rsid w:val="00376A7E"/>
  </w:style>
  <w:style w:type="paragraph" w:styleId="CommentSubject">
    <w:name w:val="annotation subject"/>
    <w:basedOn w:val="CommentText"/>
    <w:next w:val="CommentText"/>
    <w:link w:val="CommentSubjectChar"/>
    <w:rsid w:val="00376A7E"/>
    <w:rPr>
      <w:b/>
      <w:bCs/>
    </w:rPr>
  </w:style>
  <w:style w:type="character" w:customStyle="1" w:styleId="CommentSubjectChar">
    <w:name w:val="Comment Subject Char"/>
    <w:basedOn w:val="CommentTextChar"/>
    <w:link w:val="CommentSubject"/>
    <w:rsid w:val="00376A7E"/>
    <w:rPr>
      <w:b/>
      <w:bCs/>
    </w:rPr>
  </w:style>
  <w:style w:type="character" w:customStyle="1" w:styleId="Sup">
    <w:name w:val="Sup"/>
    <w:rsid w:val="00A25082"/>
    <w:rPr>
      <w:color w:val="000000"/>
      <w:vertAlign w:val="superscript"/>
    </w:rPr>
  </w:style>
  <w:style w:type="character" w:styleId="Hyperlink">
    <w:name w:val="Hyperlink"/>
    <w:basedOn w:val="DefaultParagraphFont"/>
    <w:rsid w:val="009E7D36"/>
    <w:rPr>
      <w:color w:val="0563C1" w:themeColor="hyperlink"/>
      <w:u w:val="single"/>
    </w:rPr>
  </w:style>
  <w:style w:type="paragraph" w:styleId="Revision">
    <w:name w:val="Revision"/>
    <w:hidden/>
    <w:uiPriority w:val="99"/>
    <w:semiHidden/>
    <w:rsid w:val="009E7D36"/>
    <w:rPr>
      <w:sz w:val="24"/>
    </w:rPr>
  </w:style>
  <w:style w:type="paragraph" w:customStyle="1" w:styleId="NormalTabs">
    <w:name w:val="NormalTabs"/>
    <w:basedOn w:val="Normal"/>
    <w:qFormat/>
    <w:rsid w:val="00F4413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8C78-89D1-4F37-89A2-ADE22C99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6089</Words>
  <Characters>38855</Characters>
  <Application>Microsoft Office Word</Application>
  <DocSecurity>0</DocSecurity>
  <Lines>1494</Lines>
  <Paragraphs>561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BERNIQUET Catherine</dc:creator>
  <cp:keywords/>
  <dc:description/>
  <cp:lastModifiedBy>KNOLLOVA Maria</cp:lastModifiedBy>
  <cp:revision>2</cp:revision>
  <cp:lastPrinted>2018-12-18T14:03:00Z</cp:lastPrinted>
  <dcterms:created xsi:type="dcterms:W3CDTF">2019-01-22T08:22:00Z</dcterms:created>
  <dcterms:modified xsi:type="dcterms:W3CDTF">2019-01-22T08:22:00Z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[20181201]</vt:lpwstr>
  </property>
  <property fmtid="{D5CDD505-2E9C-101B-9397-08002B2CF9AE}" pid="4" name="&lt;FdR&gt;">
    <vt:lpwstr>1172672</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RR\1172672SK.docx</vt:lpwstr>
  </property>
  <property fmtid="{D5CDD505-2E9C-101B-9397-08002B2CF9AE}" pid="10" name="PE number">
    <vt:lpwstr>627.056</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SK</vt:lpwstr>
  </property>
  <property fmtid="{D5CDD505-2E9C-101B-9397-08002B2CF9AE}" pid="15" name="Bookout">
    <vt:lpwstr>OK - 2019/01/22 09:22</vt:lpwstr>
  </property>
</Properties>
</file>