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53B97" w:rsidRPr="00766033" w:rsidTr="003A53CE">
        <w:trPr>
          <w:trHeight w:hRule="exact" w:val="1418"/>
        </w:trPr>
        <w:tc>
          <w:tcPr>
            <w:tcW w:w="6804" w:type="dxa"/>
            <w:shd w:val="clear" w:color="auto" w:fill="auto"/>
            <w:vAlign w:val="center"/>
          </w:tcPr>
          <w:p w:rsidR="00053B97" w:rsidRPr="00766033" w:rsidRDefault="005707E3" w:rsidP="003A53CE">
            <w:pPr>
              <w:pStyle w:val="EPName"/>
              <w:rPr>
                <w:noProof/>
                <w:color w:val="auto"/>
              </w:rPr>
            </w:pPr>
            <w:r w:rsidRPr="00766033">
              <w:rPr>
                <w:color w:val="auto"/>
              </w:rPr>
              <w:t>Parlamento Europeu</w:t>
            </w:r>
          </w:p>
          <w:p w:rsidR="00053B97" w:rsidRPr="00766033" w:rsidRDefault="001966A6" w:rsidP="001966A6">
            <w:pPr>
              <w:pStyle w:val="EPTerm"/>
              <w:rPr>
                <w:rStyle w:val="HideTWBExt"/>
              </w:rPr>
            </w:pPr>
            <w:r w:rsidRPr="00766033">
              <w:t>2014-2019</w:t>
            </w:r>
          </w:p>
        </w:tc>
        <w:tc>
          <w:tcPr>
            <w:tcW w:w="2268" w:type="dxa"/>
            <w:shd w:val="clear" w:color="auto" w:fill="auto"/>
          </w:tcPr>
          <w:p w:rsidR="00053B97" w:rsidRPr="00766033" w:rsidRDefault="00766033" w:rsidP="003A53CE">
            <w:pPr>
              <w:pStyle w:val="EPLogo"/>
              <w:rPr>
                <w:noProof/>
              </w:rPr>
            </w:pPr>
            <w:r w:rsidRPr="007660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C71A3C" w:rsidRPr="00766033" w:rsidRDefault="00C71A3C" w:rsidP="00C71A3C">
      <w:pPr>
        <w:pStyle w:val="LineTop"/>
        <w:rPr>
          <w:noProof/>
        </w:rPr>
      </w:pPr>
    </w:p>
    <w:p w:rsidR="00C71A3C" w:rsidRPr="00766033" w:rsidRDefault="004C41F9" w:rsidP="00C71A3C">
      <w:pPr>
        <w:pStyle w:val="ZCommittee"/>
        <w:rPr>
          <w:noProof/>
        </w:rPr>
      </w:pPr>
      <w:r w:rsidRPr="00766033">
        <w:t>Documento de sessão</w:t>
      </w:r>
    </w:p>
    <w:p w:rsidR="00C71A3C" w:rsidRPr="00766033" w:rsidRDefault="00C71A3C" w:rsidP="00C71A3C">
      <w:pPr>
        <w:pStyle w:val="LineBottom"/>
        <w:rPr>
          <w:noProof/>
        </w:rPr>
      </w:pPr>
    </w:p>
    <w:p w:rsidR="00ED0821" w:rsidRPr="00766033" w:rsidRDefault="004C41F9">
      <w:pPr>
        <w:pStyle w:val="RefProc"/>
        <w:rPr>
          <w:noProof/>
        </w:rPr>
      </w:pPr>
      <w:r w:rsidRPr="00766033">
        <w:rPr>
          <w:rStyle w:val="HideTWBExt"/>
          <w:b w:val="0"/>
          <w:caps w:val="0"/>
        </w:rPr>
        <w:t>&lt;NoDocSe&gt;</w:t>
      </w:r>
      <w:r w:rsidRPr="00766033">
        <w:t>A8-0004/2019</w:t>
      </w:r>
      <w:r w:rsidRPr="00766033">
        <w:rPr>
          <w:rStyle w:val="HideTWBExt"/>
          <w:b w:val="0"/>
          <w:caps w:val="0"/>
        </w:rPr>
        <w:t>&lt;/NoDocSe&gt;</w:t>
      </w:r>
    </w:p>
    <w:p w:rsidR="00ED0821" w:rsidRPr="00766033" w:rsidRDefault="00ED0821">
      <w:pPr>
        <w:pStyle w:val="ZDate"/>
        <w:rPr>
          <w:noProof/>
        </w:rPr>
      </w:pPr>
      <w:r w:rsidRPr="00766033">
        <w:rPr>
          <w:rStyle w:val="HideTWBExt"/>
        </w:rPr>
        <w:t>&lt;Date&gt;</w:t>
      </w:r>
      <w:r w:rsidRPr="00766033">
        <w:rPr>
          <w:rStyle w:val="HideTWBInt"/>
        </w:rPr>
        <w:t>{10/01/2019}</w:t>
      </w:r>
      <w:r w:rsidRPr="00766033">
        <w:t>10.1.2019</w:t>
      </w:r>
      <w:r w:rsidRPr="00766033">
        <w:rPr>
          <w:rStyle w:val="HideTWBExt"/>
        </w:rPr>
        <w:t>&lt;/Date&gt;</w:t>
      </w:r>
    </w:p>
    <w:p w:rsidR="00ED0821" w:rsidRPr="00766033" w:rsidRDefault="00ED0821">
      <w:pPr>
        <w:pStyle w:val="StarsAndIs"/>
        <w:rPr>
          <w:noProof/>
        </w:rPr>
      </w:pPr>
      <w:r w:rsidRPr="00766033">
        <w:rPr>
          <w:rStyle w:val="HideTWBExt"/>
          <w:b w:val="0"/>
        </w:rPr>
        <w:t>&lt;RefProcLect&gt;</w:t>
      </w:r>
      <w:r w:rsidRPr="00766033">
        <w:t>***I</w:t>
      </w:r>
      <w:r w:rsidRPr="00766033">
        <w:rPr>
          <w:rStyle w:val="HideTWBExt"/>
          <w:b w:val="0"/>
        </w:rPr>
        <w:t>&lt;/RefProcLect&gt;</w:t>
      </w:r>
    </w:p>
    <w:p w:rsidR="00ED0821" w:rsidRPr="00766033" w:rsidRDefault="00ED0821">
      <w:pPr>
        <w:pStyle w:val="TypeDoc"/>
        <w:rPr>
          <w:noProof/>
        </w:rPr>
      </w:pPr>
      <w:r w:rsidRPr="00766033">
        <w:rPr>
          <w:rStyle w:val="HideTWBExt"/>
          <w:b w:val="0"/>
        </w:rPr>
        <w:t>&lt;TitreType&gt;</w:t>
      </w:r>
      <w:r w:rsidRPr="00766033">
        <w:t>RELATÓRIO</w:t>
      </w:r>
      <w:r w:rsidRPr="00766033">
        <w:rPr>
          <w:rStyle w:val="HideTWBExt"/>
          <w:b w:val="0"/>
        </w:rPr>
        <w:t>&lt;/TitreType&gt;</w:t>
      </w:r>
    </w:p>
    <w:p w:rsidR="00ED0821" w:rsidRPr="00766033" w:rsidRDefault="00ED0821">
      <w:pPr>
        <w:pStyle w:val="CoverNormal"/>
        <w:rPr>
          <w:noProof/>
        </w:rPr>
      </w:pPr>
      <w:r w:rsidRPr="00766033">
        <w:rPr>
          <w:rStyle w:val="HideTWBExt"/>
        </w:rPr>
        <w:t>&lt;Titre&gt;</w:t>
      </w:r>
      <w:r w:rsidRPr="00766033">
        <w:t xml:space="preserve">sobre a proposta de regulamento do Parlamento Europeu e do Conselho que altera o Regulamento (CE) n.º 391/2009 no que respeita à saída do Reino Unido da União Europeia </w:t>
      </w:r>
      <w:r w:rsidRPr="00766033">
        <w:rPr>
          <w:rStyle w:val="HideTWBExt"/>
        </w:rPr>
        <w:t>&lt;/Titre&gt;</w:t>
      </w:r>
    </w:p>
    <w:p w:rsidR="00ED0821" w:rsidRPr="00766033" w:rsidRDefault="00ED0821">
      <w:pPr>
        <w:pStyle w:val="Cover24"/>
        <w:rPr>
          <w:noProof/>
        </w:rPr>
      </w:pPr>
      <w:r w:rsidRPr="00766033">
        <w:rPr>
          <w:rStyle w:val="HideTWBExt"/>
        </w:rPr>
        <w:t>&lt;DocRef&gt;</w:t>
      </w:r>
      <w:r w:rsidRPr="00766033">
        <w:t>(COM(2018)0567 – C8-0384/2018 – 2018/0298(COD))</w:t>
      </w:r>
      <w:r w:rsidRPr="00766033">
        <w:rPr>
          <w:rStyle w:val="HideTWBExt"/>
        </w:rPr>
        <w:t>&lt;/DocRef&gt;</w:t>
      </w:r>
    </w:p>
    <w:p w:rsidR="00ED0821" w:rsidRPr="00766033" w:rsidRDefault="00ED0821">
      <w:pPr>
        <w:pStyle w:val="Cover24"/>
        <w:rPr>
          <w:noProof/>
        </w:rPr>
      </w:pPr>
      <w:r w:rsidRPr="00766033">
        <w:rPr>
          <w:rStyle w:val="HideTWBExt"/>
        </w:rPr>
        <w:t>&lt;Commission&gt;</w:t>
      </w:r>
      <w:r w:rsidRPr="00766033">
        <w:rPr>
          <w:rStyle w:val="HideTWBInt"/>
        </w:rPr>
        <w:t>{TRAN}</w:t>
      </w:r>
      <w:r w:rsidRPr="00766033">
        <w:t>Comissão dos Transportes e do Turismo</w:t>
      </w:r>
      <w:r w:rsidRPr="00766033">
        <w:rPr>
          <w:rStyle w:val="HideTWBExt"/>
        </w:rPr>
        <w:t>&lt;/Commission&gt;</w:t>
      </w:r>
    </w:p>
    <w:p w:rsidR="00ED0821" w:rsidRPr="00766033" w:rsidRDefault="005707E3">
      <w:pPr>
        <w:pStyle w:val="Cover24"/>
        <w:rPr>
          <w:noProof/>
        </w:rPr>
      </w:pPr>
      <w:r w:rsidRPr="00766033">
        <w:t xml:space="preserve">Relatora: </w:t>
      </w:r>
      <w:r w:rsidRPr="00766033">
        <w:rPr>
          <w:rStyle w:val="HideTWBExt"/>
        </w:rPr>
        <w:t>&lt;Depute&gt;</w:t>
      </w:r>
      <w:r w:rsidRPr="00766033">
        <w:t>Isabella De Monte</w:t>
      </w:r>
      <w:r w:rsidRPr="00766033">
        <w:rPr>
          <w:rStyle w:val="HideTWBExt"/>
        </w:rPr>
        <w:t>&lt;/Depute&gt;</w:t>
      </w:r>
    </w:p>
    <w:p w:rsidR="00BE4EC7" w:rsidRPr="00766033" w:rsidRDefault="00BE4EC7" w:rsidP="00BE4EC7">
      <w:pPr>
        <w:pStyle w:val="CoverNormal"/>
        <w:rPr>
          <w:noProof/>
        </w:rPr>
      </w:pPr>
    </w:p>
    <w:p w:rsidR="00ED0821" w:rsidRPr="00766033" w:rsidRDefault="00ED0821" w:rsidP="00053B97">
      <w:pPr>
        <w:widowControl/>
        <w:tabs>
          <w:tab w:val="center" w:pos="4677"/>
        </w:tabs>
        <w:rPr>
          <w:noProof/>
        </w:rPr>
      </w:pPr>
      <w:r w:rsidRPr="00766033">
        <w:br w:type="page"/>
      </w:r>
    </w:p>
    <w:p w:rsidR="001966A6" w:rsidRPr="00766033" w:rsidRDefault="00143D55">
      <w:pPr>
        <w:rPr>
          <w:noProof/>
        </w:rPr>
      </w:pPr>
      <w:r w:rsidRPr="00766033">
        <w:rPr>
          <w:noProof/>
        </w:rPr>
        <w:fldChar w:fldCharType="begin"/>
      </w:r>
      <w:r w:rsidRPr="00766033">
        <w:rPr>
          <w:noProof/>
        </w:rPr>
        <w:instrText xml:space="preserve"> TITLE  \* MERGEFORMAT </w:instrText>
      </w:r>
      <w:r w:rsidRPr="00766033">
        <w:rPr>
          <w:noProof/>
        </w:rPr>
        <w:fldChar w:fldCharType="separate"/>
      </w:r>
      <w:r>
        <w:rPr>
          <w:noProof/>
        </w:rPr>
        <w:t>PR_COD_1app</w:t>
      </w:r>
      <w:r w:rsidRPr="00766033">
        <w:rPr>
          <w:noProof/>
        </w:rPr>
        <w:fldChar w:fldCharType="end"/>
      </w:r>
    </w:p>
    <w:p w:rsidR="001966A6" w:rsidRPr="00766033" w:rsidRDefault="001966A6">
      <w:pPr>
        <w:rPr>
          <w:noProof/>
        </w:rPr>
      </w:pPr>
    </w:p>
    <w:p w:rsidR="001966A6" w:rsidRPr="00766033" w:rsidRDefault="001966A6">
      <w:pPr>
        <w:rPr>
          <w:noProof/>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66033" w:rsidRPr="00766033">
        <w:tc>
          <w:tcPr>
            <w:tcW w:w="5811" w:type="dxa"/>
          </w:tcPr>
          <w:p w:rsidR="001966A6" w:rsidRPr="00766033" w:rsidRDefault="001966A6">
            <w:pPr>
              <w:pStyle w:val="Lgendetitre"/>
              <w:rPr>
                <w:noProof/>
              </w:rPr>
            </w:pPr>
            <w:r w:rsidRPr="00766033">
              <w:t>Legenda dos símbolos utilizados</w:t>
            </w:r>
          </w:p>
        </w:tc>
      </w:tr>
      <w:tr w:rsidR="001966A6" w:rsidRPr="00766033" w:rsidTr="00C50C36">
        <w:trPr>
          <w:cantSplit/>
          <w:trHeight w:val="1944"/>
        </w:trPr>
        <w:tc>
          <w:tcPr>
            <w:tcW w:w="5811" w:type="dxa"/>
            <w:tcBorders>
              <w:bottom w:val="single" w:sz="4" w:space="0" w:color="auto"/>
            </w:tcBorders>
          </w:tcPr>
          <w:p w:rsidR="001966A6" w:rsidRPr="00766033" w:rsidRDefault="001966A6">
            <w:pPr>
              <w:pStyle w:val="Lgendesigne"/>
              <w:rPr>
                <w:noProof/>
              </w:rPr>
            </w:pPr>
            <w:r w:rsidRPr="00766033">
              <w:tab/>
              <w:t>*</w:t>
            </w:r>
            <w:r w:rsidRPr="00766033">
              <w:tab/>
              <w:t>Processo de consulta</w:t>
            </w:r>
          </w:p>
          <w:p w:rsidR="001966A6" w:rsidRPr="00766033" w:rsidRDefault="001966A6">
            <w:pPr>
              <w:pStyle w:val="Lgendesigne"/>
              <w:rPr>
                <w:noProof/>
              </w:rPr>
            </w:pPr>
            <w:r w:rsidRPr="00766033">
              <w:tab/>
              <w:t>***</w:t>
            </w:r>
            <w:r w:rsidRPr="00766033">
              <w:tab/>
              <w:t>Processo de aprovação</w:t>
            </w:r>
          </w:p>
          <w:p w:rsidR="001966A6" w:rsidRPr="00766033" w:rsidRDefault="001966A6">
            <w:pPr>
              <w:pStyle w:val="Lgendesigne"/>
              <w:rPr>
                <w:noProof/>
              </w:rPr>
            </w:pPr>
            <w:r w:rsidRPr="00766033">
              <w:tab/>
              <w:t>***I</w:t>
            </w:r>
            <w:r w:rsidRPr="00766033">
              <w:tab/>
              <w:t>Processo legislativo ordinário (primeira leitura)</w:t>
            </w:r>
          </w:p>
          <w:p w:rsidR="001966A6" w:rsidRPr="00766033" w:rsidRDefault="001966A6">
            <w:pPr>
              <w:pStyle w:val="Lgendesigne"/>
              <w:rPr>
                <w:noProof/>
              </w:rPr>
            </w:pPr>
            <w:r w:rsidRPr="00766033">
              <w:tab/>
              <w:t>***II</w:t>
            </w:r>
            <w:r w:rsidRPr="00766033">
              <w:tab/>
              <w:t>Processo legislativo ordinário (segunda leitura)</w:t>
            </w:r>
          </w:p>
          <w:p w:rsidR="001966A6" w:rsidRPr="00766033" w:rsidRDefault="001966A6">
            <w:pPr>
              <w:pStyle w:val="Lgendesigne"/>
              <w:rPr>
                <w:noProof/>
              </w:rPr>
            </w:pPr>
            <w:r w:rsidRPr="00766033">
              <w:tab/>
              <w:t>***III</w:t>
            </w:r>
            <w:r w:rsidRPr="00766033">
              <w:tab/>
              <w:t>Processo legislativo ordinário (terceira leitura)</w:t>
            </w:r>
          </w:p>
          <w:p w:rsidR="001966A6" w:rsidRPr="00766033" w:rsidRDefault="001966A6">
            <w:pPr>
              <w:pStyle w:val="Lgendesigne"/>
              <w:ind w:left="0" w:firstLine="0"/>
              <w:rPr>
                <w:noProof/>
              </w:rPr>
            </w:pPr>
          </w:p>
          <w:p w:rsidR="001966A6" w:rsidRPr="00766033" w:rsidRDefault="001966A6">
            <w:pPr>
              <w:pStyle w:val="Lgendestandard"/>
              <w:rPr>
                <w:noProof/>
              </w:rPr>
            </w:pPr>
            <w:r w:rsidRPr="00766033">
              <w:t>(O processo indicado tem por fundamento a base jurídica proposta no projeto de ato.)</w:t>
            </w:r>
          </w:p>
          <w:p w:rsidR="001966A6" w:rsidRPr="00766033" w:rsidRDefault="001966A6">
            <w:pPr>
              <w:pStyle w:val="Lgendesigne"/>
              <w:ind w:left="0" w:firstLine="0"/>
              <w:rPr>
                <w:noProof/>
              </w:rPr>
            </w:pPr>
          </w:p>
        </w:tc>
      </w:tr>
    </w:tbl>
    <w:p w:rsidR="001966A6" w:rsidRPr="00766033" w:rsidRDefault="001966A6">
      <w:pPr>
        <w:rPr>
          <w:noProof/>
        </w:rPr>
      </w:pPr>
    </w:p>
    <w:p w:rsidR="001966A6" w:rsidRPr="00766033" w:rsidRDefault="001966A6">
      <w:pPr>
        <w:rPr>
          <w:noProof/>
        </w:rPr>
      </w:pPr>
    </w:p>
    <w:p w:rsidR="001966A6" w:rsidRPr="00766033" w:rsidRDefault="001966A6">
      <w:pPr>
        <w:rPr>
          <w:noProof/>
        </w:rPr>
      </w:pPr>
    </w:p>
    <w:p w:rsidR="001966A6" w:rsidRPr="00766033" w:rsidRDefault="001966A6">
      <w:pPr>
        <w:rPr>
          <w:noProof/>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766033" w:rsidRPr="00766033">
        <w:tc>
          <w:tcPr>
            <w:tcW w:w="5811" w:type="dxa"/>
          </w:tcPr>
          <w:p w:rsidR="001966A6" w:rsidRPr="00766033" w:rsidRDefault="001966A6">
            <w:pPr>
              <w:pStyle w:val="Lgendetitre"/>
              <w:rPr>
                <w:noProof/>
              </w:rPr>
            </w:pPr>
            <w:r w:rsidRPr="00766033">
              <w:t>Alterações a um projeto de ato</w:t>
            </w:r>
          </w:p>
        </w:tc>
      </w:tr>
      <w:tr w:rsidR="001966A6" w:rsidRPr="00766033">
        <w:tc>
          <w:tcPr>
            <w:tcW w:w="5811" w:type="dxa"/>
          </w:tcPr>
          <w:p w:rsidR="001966A6" w:rsidRPr="00766033" w:rsidRDefault="001966A6" w:rsidP="00A55AC8">
            <w:pPr>
              <w:pStyle w:val="Lgendestandard"/>
              <w:rPr>
                <w:noProof/>
                <w:szCs w:val="24"/>
              </w:rPr>
            </w:pPr>
            <w:r w:rsidRPr="00766033">
              <w:rPr>
                <w:b/>
                <w:szCs w:val="24"/>
              </w:rPr>
              <w:t>Alterações do Parlamento apresentadas em duas colunas</w:t>
            </w:r>
          </w:p>
          <w:p w:rsidR="001966A6" w:rsidRPr="00766033" w:rsidRDefault="001966A6" w:rsidP="00A55AC8">
            <w:pPr>
              <w:pStyle w:val="Lgendestandard"/>
              <w:rPr>
                <w:noProof/>
                <w:szCs w:val="24"/>
              </w:rPr>
            </w:pPr>
          </w:p>
          <w:p w:rsidR="001966A6" w:rsidRPr="00766033" w:rsidRDefault="001966A6" w:rsidP="00A55AC8">
            <w:pPr>
              <w:pStyle w:val="Lgendestandard"/>
              <w:rPr>
                <w:noProof/>
                <w:szCs w:val="24"/>
              </w:rPr>
            </w:pPr>
            <w:r w:rsidRPr="00766033">
              <w:t xml:space="preserve">As supressões são assinaladas em </w:t>
            </w:r>
            <w:r w:rsidRPr="00766033">
              <w:rPr>
                <w:b/>
                <w:i/>
              </w:rPr>
              <w:t>itálico</w:t>
            </w:r>
            <w:r w:rsidRPr="00766033">
              <w:t xml:space="preserve"> e a </w:t>
            </w:r>
            <w:r w:rsidRPr="00766033">
              <w:rPr>
                <w:b/>
                <w:i/>
              </w:rPr>
              <w:t>negrito</w:t>
            </w:r>
            <w:r w:rsidRPr="00766033">
              <w:t xml:space="preserve"> na coluna da esquerda. As substituições são assinaladas em </w:t>
            </w:r>
            <w:r w:rsidRPr="00766033">
              <w:rPr>
                <w:b/>
                <w:i/>
              </w:rPr>
              <w:t>itálico</w:t>
            </w:r>
            <w:r w:rsidRPr="00766033">
              <w:t xml:space="preserve"> e a </w:t>
            </w:r>
            <w:r w:rsidRPr="00766033">
              <w:rPr>
                <w:b/>
                <w:i/>
              </w:rPr>
              <w:t>negrito</w:t>
            </w:r>
            <w:r w:rsidRPr="00766033">
              <w:t xml:space="preserve"> na coluna da esquerda e na coluna da direita. O texto novo é assinalado em </w:t>
            </w:r>
            <w:r w:rsidRPr="00766033">
              <w:rPr>
                <w:b/>
                <w:i/>
              </w:rPr>
              <w:t>itálico</w:t>
            </w:r>
            <w:r w:rsidRPr="00766033">
              <w:t xml:space="preserve"> e a </w:t>
            </w:r>
            <w:r w:rsidRPr="00766033">
              <w:rPr>
                <w:b/>
                <w:i/>
              </w:rPr>
              <w:t>negrito</w:t>
            </w:r>
            <w:r w:rsidRPr="00766033">
              <w:t xml:space="preserve"> na coluna da direita.</w:t>
            </w:r>
          </w:p>
          <w:p w:rsidR="001966A6" w:rsidRPr="00766033" w:rsidRDefault="001966A6" w:rsidP="00A55AC8">
            <w:pPr>
              <w:pStyle w:val="Lgendestandard"/>
              <w:rPr>
                <w:noProof/>
                <w:szCs w:val="24"/>
              </w:rPr>
            </w:pPr>
          </w:p>
          <w:p w:rsidR="001966A6" w:rsidRPr="00766033" w:rsidRDefault="001966A6" w:rsidP="00A55AC8">
            <w:pPr>
              <w:pStyle w:val="Lgendestandard"/>
              <w:rPr>
                <w:noProof/>
                <w:szCs w:val="24"/>
              </w:rPr>
            </w:pPr>
            <w:r w:rsidRPr="00766033">
              <w:t>A primeira e a segunda linhas do cabeçalho de cada alteração identificam o passo relevante do projeto de ato em apreço. Se uma alteração disser respeito a um ato já existente, que o projeto de ato pretenda modificar, o cabeçalho comporta ainda uma terceira e uma quarta linhas, que identificam, respetivamente, o ato existente e a disposição visada do ato em causa.</w:t>
            </w:r>
          </w:p>
          <w:p w:rsidR="001966A6" w:rsidRPr="00766033" w:rsidRDefault="001966A6" w:rsidP="00A55AC8">
            <w:pPr>
              <w:pStyle w:val="Lgendestandard"/>
              <w:rPr>
                <w:noProof/>
                <w:szCs w:val="24"/>
              </w:rPr>
            </w:pPr>
          </w:p>
          <w:p w:rsidR="001966A6" w:rsidRPr="00766033" w:rsidRDefault="001966A6" w:rsidP="00A55AC8">
            <w:pPr>
              <w:pStyle w:val="Lgendestandard"/>
              <w:rPr>
                <w:b/>
                <w:noProof/>
                <w:szCs w:val="24"/>
              </w:rPr>
            </w:pPr>
            <w:r w:rsidRPr="00766033">
              <w:rPr>
                <w:b/>
                <w:szCs w:val="24"/>
              </w:rPr>
              <w:t>Alterações do Parlamento apresentadas sob a forma de texto consolidado</w:t>
            </w:r>
          </w:p>
          <w:p w:rsidR="001966A6" w:rsidRPr="00766033" w:rsidRDefault="001966A6" w:rsidP="00A55AC8">
            <w:pPr>
              <w:pStyle w:val="Lgendestandard"/>
              <w:rPr>
                <w:noProof/>
                <w:szCs w:val="24"/>
              </w:rPr>
            </w:pPr>
          </w:p>
          <w:p w:rsidR="001966A6" w:rsidRPr="00766033" w:rsidRDefault="001966A6" w:rsidP="00A55AC8">
            <w:pPr>
              <w:pStyle w:val="Lgendestandard"/>
              <w:rPr>
                <w:noProof/>
                <w:szCs w:val="24"/>
              </w:rPr>
            </w:pPr>
            <w:r w:rsidRPr="00766033">
              <w:t xml:space="preserve">Os trechos novos são assinalados em </w:t>
            </w:r>
            <w:r w:rsidRPr="00766033">
              <w:rPr>
                <w:b/>
                <w:i/>
              </w:rPr>
              <w:t>itálico</w:t>
            </w:r>
            <w:r w:rsidRPr="00766033">
              <w:t xml:space="preserve"> e a </w:t>
            </w:r>
            <w:r w:rsidRPr="00766033">
              <w:rPr>
                <w:b/>
                <w:i/>
              </w:rPr>
              <w:t>negrito</w:t>
            </w:r>
            <w:r w:rsidRPr="00766033">
              <w:t xml:space="preserve">. Os trechos suprimidos são assinalados pelo símbolo ▌ou rasurados. As substituições são assinaladas formatando o texto novo em </w:t>
            </w:r>
            <w:r w:rsidRPr="00766033">
              <w:rPr>
                <w:b/>
                <w:i/>
              </w:rPr>
              <w:t>itálico</w:t>
            </w:r>
            <w:r w:rsidRPr="00766033">
              <w:t xml:space="preserve"> e a </w:t>
            </w:r>
            <w:r w:rsidRPr="00766033">
              <w:rPr>
                <w:b/>
                <w:i/>
              </w:rPr>
              <w:t>negrito</w:t>
            </w:r>
            <w:r w:rsidRPr="00766033">
              <w:t xml:space="preserve"> e suprimindo, ou rasurando, o texto substituído. </w:t>
            </w:r>
          </w:p>
          <w:p w:rsidR="001966A6" w:rsidRPr="00766033" w:rsidRDefault="001966A6" w:rsidP="00A55AC8">
            <w:pPr>
              <w:pStyle w:val="Lgendestandard"/>
              <w:rPr>
                <w:noProof/>
                <w:szCs w:val="24"/>
              </w:rPr>
            </w:pPr>
            <w:r w:rsidRPr="00766033">
              <w:t>Exceção: as modificações de natureza estritamente técnica introduzidas pelos serviços com vista à elaboração do texto final não são assinaladas.</w:t>
            </w:r>
          </w:p>
          <w:p w:rsidR="001966A6" w:rsidRPr="00766033" w:rsidRDefault="001966A6">
            <w:pPr>
              <w:pStyle w:val="Lgendestandard"/>
              <w:rPr>
                <w:noProof/>
              </w:rPr>
            </w:pPr>
          </w:p>
        </w:tc>
      </w:tr>
    </w:tbl>
    <w:p w:rsidR="001966A6" w:rsidRPr="00766033" w:rsidRDefault="001966A6">
      <w:pPr>
        <w:rPr>
          <w:noProof/>
        </w:rPr>
      </w:pPr>
    </w:p>
    <w:p w:rsidR="00ED0821" w:rsidRPr="00766033" w:rsidRDefault="00ED0821" w:rsidP="00053B97">
      <w:pPr>
        <w:widowControl/>
        <w:tabs>
          <w:tab w:val="center" w:pos="4677"/>
        </w:tabs>
        <w:rPr>
          <w:noProof/>
        </w:rPr>
      </w:pPr>
    </w:p>
    <w:p w:rsidR="00ED0821" w:rsidRPr="00766033" w:rsidRDefault="00ED0821">
      <w:pPr>
        <w:pStyle w:val="TOCHeading"/>
        <w:rPr>
          <w:noProof/>
        </w:rPr>
      </w:pPr>
      <w:r w:rsidRPr="00766033">
        <w:br w:type="page"/>
        <w:t>ÍNDICE</w:t>
      </w:r>
    </w:p>
    <w:p w:rsidR="00ED0821" w:rsidRPr="00766033" w:rsidRDefault="005707E3">
      <w:pPr>
        <w:pStyle w:val="TOCPage"/>
        <w:rPr>
          <w:noProof/>
        </w:rPr>
      </w:pPr>
      <w:r w:rsidRPr="00766033">
        <w:t>Página</w:t>
      </w:r>
    </w:p>
    <w:p w:rsidR="00143D55" w:rsidRDefault="00053B97">
      <w:pPr>
        <w:pStyle w:val="TOC1"/>
        <w:tabs>
          <w:tab w:val="right" w:leader="dot" w:pos="9060"/>
        </w:tabs>
        <w:rPr>
          <w:rFonts w:asciiTheme="minorHAnsi" w:eastAsiaTheme="minorEastAsia" w:hAnsiTheme="minorHAnsi" w:cstheme="minorBidi"/>
          <w:noProof/>
          <w:sz w:val="22"/>
          <w:szCs w:val="22"/>
          <w:lang w:val="en-GB"/>
        </w:rPr>
      </w:pPr>
      <w:r w:rsidRPr="00766033">
        <w:rPr>
          <w:b/>
        </w:rPr>
        <w:fldChar w:fldCharType="begin"/>
      </w:r>
      <w:r w:rsidRPr="00766033">
        <w:rPr>
          <w:b/>
        </w:rPr>
        <w:instrText xml:space="preserve"> TOC \t "PageHeading</w:instrText>
      </w:r>
      <w:r w:rsidR="004C41F9" w:rsidRPr="00766033">
        <w:rPr>
          <w:b/>
        </w:rPr>
        <w:instrText>;</w:instrText>
      </w:r>
      <w:r w:rsidRPr="00766033">
        <w:rPr>
          <w:b/>
        </w:rPr>
        <w:instrText xml:space="preserve">1" </w:instrText>
      </w:r>
      <w:r w:rsidRPr="00766033">
        <w:rPr>
          <w:b/>
        </w:rPr>
        <w:fldChar w:fldCharType="separate"/>
      </w:r>
      <w:r w:rsidR="00143D55">
        <w:rPr>
          <w:noProof/>
        </w:rPr>
        <w:t>PROJETO DE RESOLUÇÃO LEGISLATIVA DO PARLAMENTO EUROPEU</w:t>
      </w:r>
      <w:r w:rsidR="00143D55">
        <w:rPr>
          <w:noProof/>
        </w:rPr>
        <w:tab/>
      </w:r>
      <w:r w:rsidR="00143D55">
        <w:rPr>
          <w:noProof/>
        </w:rPr>
        <w:fldChar w:fldCharType="begin"/>
      </w:r>
      <w:r w:rsidR="00143D55">
        <w:rPr>
          <w:noProof/>
        </w:rPr>
        <w:instrText xml:space="preserve"> PAGEREF _Toc536172441 \h </w:instrText>
      </w:r>
      <w:r w:rsidR="00143D55">
        <w:rPr>
          <w:noProof/>
        </w:rPr>
      </w:r>
      <w:r w:rsidR="00143D55">
        <w:rPr>
          <w:noProof/>
        </w:rPr>
        <w:fldChar w:fldCharType="separate"/>
      </w:r>
      <w:r w:rsidR="00143D55">
        <w:rPr>
          <w:noProof/>
        </w:rPr>
        <w:t>5</w:t>
      </w:r>
      <w:r w:rsidR="00143D55">
        <w:rPr>
          <w:noProof/>
        </w:rPr>
        <w:fldChar w:fldCharType="end"/>
      </w:r>
    </w:p>
    <w:p w:rsidR="00143D55" w:rsidRDefault="00143D55">
      <w:pPr>
        <w:pStyle w:val="TOC1"/>
        <w:tabs>
          <w:tab w:val="right" w:leader="dot" w:pos="9060"/>
        </w:tabs>
        <w:rPr>
          <w:rFonts w:asciiTheme="minorHAnsi" w:eastAsiaTheme="minorEastAsia" w:hAnsiTheme="minorHAnsi" w:cstheme="minorBidi"/>
          <w:noProof/>
          <w:sz w:val="22"/>
          <w:szCs w:val="22"/>
          <w:lang w:val="en-GB"/>
        </w:rPr>
      </w:pPr>
      <w:r>
        <w:rPr>
          <w:noProof/>
        </w:rPr>
        <w:t>EXPOSIÇÃO DE MOTIVOS</w:t>
      </w:r>
      <w:r>
        <w:rPr>
          <w:noProof/>
        </w:rPr>
        <w:tab/>
      </w:r>
      <w:r>
        <w:rPr>
          <w:noProof/>
        </w:rPr>
        <w:fldChar w:fldCharType="begin"/>
      </w:r>
      <w:r>
        <w:rPr>
          <w:noProof/>
        </w:rPr>
        <w:instrText xml:space="preserve"> PAGEREF _Toc536172442 \h </w:instrText>
      </w:r>
      <w:r>
        <w:rPr>
          <w:noProof/>
        </w:rPr>
      </w:r>
      <w:r>
        <w:rPr>
          <w:noProof/>
        </w:rPr>
        <w:fldChar w:fldCharType="separate"/>
      </w:r>
      <w:r>
        <w:rPr>
          <w:noProof/>
        </w:rPr>
        <w:t>7</w:t>
      </w:r>
      <w:r>
        <w:rPr>
          <w:noProof/>
        </w:rPr>
        <w:fldChar w:fldCharType="end"/>
      </w:r>
    </w:p>
    <w:p w:rsidR="00143D55" w:rsidRDefault="00143D55">
      <w:pPr>
        <w:pStyle w:val="TOC1"/>
        <w:tabs>
          <w:tab w:val="right" w:leader="dot" w:pos="9060"/>
        </w:tabs>
        <w:rPr>
          <w:rFonts w:asciiTheme="minorHAnsi" w:eastAsiaTheme="minorEastAsia" w:hAnsiTheme="minorHAnsi" w:cstheme="minorBidi"/>
          <w:noProof/>
          <w:sz w:val="22"/>
          <w:szCs w:val="22"/>
          <w:lang w:val="en-GB"/>
        </w:rPr>
      </w:pPr>
      <w:r>
        <w:rPr>
          <w:noProof/>
        </w:rPr>
        <w:t>PROCESSO DA COMISSÃO COMPETENTE QUANTO À MATÉRIA DE FUNDO</w:t>
      </w:r>
      <w:r>
        <w:rPr>
          <w:noProof/>
        </w:rPr>
        <w:tab/>
      </w:r>
      <w:r>
        <w:rPr>
          <w:noProof/>
        </w:rPr>
        <w:fldChar w:fldCharType="begin"/>
      </w:r>
      <w:r>
        <w:rPr>
          <w:noProof/>
        </w:rPr>
        <w:instrText xml:space="preserve"> PAGEREF _Toc536172443 \h </w:instrText>
      </w:r>
      <w:r>
        <w:rPr>
          <w:noProof/>
        </w:rPr>
      </w:r>
      <w:r>
        <w:rPr>
          <w:noProof/>
        </w:rPr>
        <w:fldChar w:fldCharType="separate"/>
      </w:r>
      <w:r>
        <w:rPr>
          <w:noProof/>
        </w:rPr>
        <w:t>9</w:t>
      </w:r>
      <w:r>
        <w:rPr>
          <w:noProof/>
        </w:rPr>
        <w:fldChar w:fldCharType="end"/>
      </w:r>
    </w:p>
    <w:p w:rsidR="00143D55" w:rsidRDefault="00143D55">
      <w:pPr>
        <w:pStyle w:val="TOC1"/>
        <w:tabs>
          <w:tab w:val="right" w:leader="dot" w:pos="9060"/>
        </w:tabs>
        <w:rPr>
          <w:rFonts w:asciiTheme="minorHAnsi" w:eastAsiaTheme="minorEastAsia" w:hAnsiTheme="minorHAnsi" w:cstheme="minorBidi"/>
          <w:noProof/>
          <w:sz w:val="22"/>
          <w:szCs w:val="22"/>
          <w:lang w:val="en-GB"/>
        </w:rPr>
      </w:pPr>
      <w:r>
        <w:rPr>
          <w:noProof/>
        </w:rPr>
        <w:t>VOTAÇÃO NOMINAL FINAL NA COMISSÃO COMPETENTE QUANTO À MATÉRIA DE FUNDO</w:t>
      </w:r>
      <w:r>
        <w:rPr>
          <w:noProof/>
        </w:rPr>
        <w:tab/>
      </w:r>
      <w:r>
        <w:rPr>
          <w:noProof/>
        </w:rPr>
        <w:fldChar w:fldCharType="begin"/>
      </w:r>
      <w:r>
        <w:rPr>
          <w:noProof/>
        </w:rPr>
        <w:instrText xml:space="preserve"> PAGEREF _Toc536172444 \h </w:instrText>
      </w:r>
      <w:r>
        <w:rPr>
          <w:noProof/>
        </w:rPr>
      </w:r>
      <w:r>
        <w:rPr>
          <w:noProof/>
        </w:rPr>
        <w:fldChar w:fldCharType="separate"/>
      </w:r>
      <w:r>
        <w:rPr>
          <w:noProof/>
        </w:rPr>
        <w:t>10</w:t>
      </w:r>
      <w:r>
        <w:rPr>
          <w:noProof/>
        </w:rPr>
        <w:fldChar w:fldCharType="end"/>
      </w:r>
    </w:p>
    <w:p w:rsidR="00ED0821" w:rsidRPr="00766033" w:rsidRDefault="00053B97" w:rsidP="001A06D8">
      <w:r w:rsidRPr="00766033">
        <w:rPr>
          <w:b/>
        </w:rPr>
        <w:fldChar w:fldCharType="end"/>
      </w:r>
    </w:p>
    <w:p w:rsidR="001A06D8" w:rsidRPr="00766033" w:rsidRDefault="001A06D8" w:rsidP="001A06D8">
      <w:pPr>
        <w:rPr>
          <w:noProof/>
        </w:rPr>
      </w:pPr>
    </w:p>
    <w:p w:rsidR="001A06D8" w:rsidRPr="00766033" w:rsidRDefault="001A06D8">
      <w:pPr>
        <w:pStyle w:val="PageHeading"/>
        <w:rPr>
          <w:noProof/>
        </w:rPr>
      </w:pPr>
    </w:p>
    <w:p w:rsidR="003C4554" w:rsidRPr="00766033" w:rsidRDefault="00ED0821">
      <w:pPr>
        <w:pStyle w:val="PageHeading"/>
        <w:rPr>
          <w:noProof/>
        </w:rPr>
      </w:pPr>
      <w:r w:rsidRPr="00766033">
        <w:br w:type="page"/>
      </w:r>
    </w:p>
    <w:p w:rsidR="00ED0821" w:rsidRPr="00766033" w:rsidRDefault="003C4554">
      <w:pPr>
        <w:pStyle w:val="PageHeading"/>
        <w:rPr>
          <w:noProof/>
        </w:rPr>
      </w:pPr>
      <w:r w:rsidRPr="00766033">
        <w:br w:type="page"/>
      </w:r>
      <w:bookmarkStart w:id="0" w:name="_Toc536172441"/>
      <w:r w:rsidRPr="00766033">
        <w:t>PROJETO DE RESOLUÇÃO LEGISLATIVA DO PARLAMENTO EUROPEU</w:t>
      </w:r>
      <w:bookmarkEnd w:id="0"/>
    </w:p>
    <w:p w:rsidR="00ED0821" w:rsidRPr="00766033" w:rsidRDefault="005707E3">
      <w:pPr>
        <w:pStyle w:val="NormalBold"/>
        <w:rPr>
          <w:noProof/>
        </w:rPr>
      </w:pPr>
      <w:r w:rsidRPr="00766033">
        <w:t xml:space="preserve">sobre a proposta de regulamento do Parlamento Europeu e do Conselho que altera o Regulamento (CE) n.º 391/2009 no que respeita à saída do Reino Unido da União Europeia </w:t>
      </w:r>
    </w:p>
    <w:p w:rsidR="00ED0821" w:rsidRPr="00766033" w:rsidRDefault="005707E3">
      <w:pPr>
        <w:pStyle w:val="Normal12Bold"/>
        <w:rPr>
          <w:noProof/>
        </w:rPr>
      </w:pPr>
      <w:r w:rsidRPr="00766033">
        <w:t>(COM(2018)0567 – C8-0384/2018 – 2018/0298(COD))</w:t>
      </w:r>
    </w:p>
    <w:p w:rsidR="00ED0821" w:rsidRPr="00766033" w:rsidRDefault="005707E3">
      <w:pPr>
        <w:pStyle w:val="Normal12Bold"/>
        <w:rPr>
          <w:noProof/>
        </w:rPr>
      </w:pPr>
      <w:r w:rsidRPr="00766033">
        <w:t>(Processo legislativo ordinário: primeira leitura)</w:t>
      </w:r>
    </w:p>
    <w:p w:rsidR="00ED0821" w:rsidRPr="00766033" w:rsidRDefault="005707E3">
      <w:pPr>
        <w:pStyle w:val="Normal12"/>
        <w:rPr>
          <w:noProof/>
        </w:rPr>
      </w:pPr>
      <w:r w:rsidRPr="00766033">
        <w:rPr>
          <w:i/>
        </w:rPr>
        <w:t>O Parlamento Europeu</w:t>
      </w:r>
      <w:r w:rsidRPr="00766033">
        <w:t>,</w:t>
      </w:r>
    </w:p>
    <w:p w:rsidR="00ED0821" w:rsidRPr="00766033" w:rsidRDefault="00ED0821">
      <w:pPr>
        <w:pStyle w:val="Normal12Hanging"/>
        <w:rPr>
          <w:noProof/>
        </w:rPr>
      </w:pPr>
      <w:r w:rsidRPr="00766033">
        <w:t>–</w:t>
      </w:r>
      <w:r w:rsidRPr="00766033">
        <w:tab/>
        <w:t>Tendo em conta a proposta da Comissão ao Parlamento Europeu e ao Conselho (COM(2018)0567),</w:t>
      </w:r>
    </w:p>
    <w:p w:rsidR="00ED0821" w:rsidRPr="00766033" w:rsidRDefault="00ED0821">
      <w:pPr>
        <w:pStyle w:val="Normal12Hanging"/>
        <w:rPr>
          <w:noProof/>
        </w:rPr>
      </w:pPr>
      <w:r w:rsidRPr="00766033">
        <w:t>–</w:t>
      </w:r>
      <w:r w:rsidRPr="00766033">
        <w:tab/>
        <w:t>Tendo em conta o artigo 294.º, n.º 2, e o artigo 100.º, n.º 2, do Tratado sobre o Funcionamento da União Europeia, nos termos dos quais a proposta lhe foi apresentada pela Comissão (C8-0384/2018),</w:t>
      </w:r>
    </w:p>
    <w:p w:rsidR="00ED0609" w:rsidRPr="00766033" w:rsidRDefault="00ED0609" w:rsidP="00ED0609">
      <w:pPr>
        <w:pStyle w:val="Normal12Hanging"/>
        <w:rPr>
          <w:noProof/>
        </w:rPr>
      </w:pPr>
      <w:r w:rsidRPr="00766033">
        <w:t>–</w:t>
      </w:r>
      <w:r w:rsidRPr="00766033">
        <w:tab/>
        <w:t>Tendo em conta o artigo 294.º, n.º 3, do Tratado sobre o Funcionamento da União Europeia,</w:t>
      </w:r>
    </w:p>
    <w:p w:rsidR="001966A6" w:rsidRPr="00766033" w:rsidRDefault="001966A6" w:rsidP="008663F8">
      <w:pPr>
        <w:pStyle w:val="Normal12Hanging"/>
        <w:rPr>
          <w:noProof/>
        </w:rPr>
      </w:pPr>
      <w:r w:rsidRPr="00766033">
        <w:t>–</w:t>
      </w:r>
      <w:r w:rsidRPr="00766033">
        <w:tab/>
        <w:t>Tendo em conta o parecer do Comité Económico e Social Europeu de 17 de outubro de 2018</w:t>
      </w:r>
      <w:r w:rsidRPr="00766033">
        <w:rPr>
          <w:rStyle w:val="FootnoteReference"/>
          <w:noProof/>
        </w:rPr>
        <w:footnoteReference w:id="1"/>
      </w:r>
      <w:r w:rsidRPr="00766033">
        <w:t>,</w:t>
      </w:r>
    </w:p>
    <w:p w:rsidR="004C2158" w:rsidRPr="00766033" w:rsidRDefault="004C2158" w:rsidP="004C2158">
      <w:pPr>
        <w:pStyle w:val="Normal12Hanging"/>
        <w:rPr>
          <w:noProof/>
        </w:rPr>
      </w:pPr>
      <w:r w:rsidRPr="00766033">
        <w:t>–</w:t>
      </w:r>
      <w:r w:rsidRPr="00766033">
        <w:tab/>
        <w:t>Após consulta ao Comité das Regiões,</w:t>
      </w:r>
    </w:p>
    <w:p w:rsidR="00ED0821" w:rsidRPr="00766033" w:rsidRDefault="00ED0821">
      <w:pPr>
        <w:pStyle w:val="Normal12Hanging"/>
        <w:rPr>
          <w:noProof/>
        </w:rPr>
      </w:pPr>
      <w:r w:rsidRPr="00766033">
        <w:t>–</w:t>
      </w:r>
      <w:r w:rsidRPr="00766033">
        <w:tab/>
        <w:t>Tendo em conta o artigo 59.º do seu Regimento,</w:t>
      </w:r>
    </w:p>
    <w:p w:rsidR="00ED0821" w:rsidRPr="00766033" w:rsidRDefault="00ED0821">
      <w:pPr>
        <w:pStyle w:val="Normal12Hanging"/>
        <w:rPr>
          <w:noProof/>
        </w:rPr>
      </w:pPr>
      <w:r w:rsidRPr="00766033">
        <w:t>–</w:t>
      </w:r>
      <w:r w:rsidRPr="00766033">
        <w:tab/>
        <w:t>Tendo em conta o relatório da Comissão dos Transportes e do Turismo (A8-0004/2019),</w:t>
      </w:r>
    </w:p>
    <w:p w:rsidR="00ED0821" w:rsidRPr="00766033" w:rsidRDefault="00ED0821">
      <w:pPr>
        <w:pStyle w:val="Normal12Hanging"/>
        <w:rPr>
          <w:noProof/>
        </w:rPr>
      </w:pPr>
      <w:r w:rsidRPr="00766033">
        <w:t>1.</w:t>
      </w:r>
      <w:r w:rsidRPr="00766033">
        <w:tab/>
        <w:t>Aprova a sua posição em primeira leitura, fazendo sua a proposta da Comissão;</w:t>
      </w:r>
    </w:p>
    <w:p w:rsidR="00ED0821" w:rsidRPr="00766033" w:rsidRDefault="00ED0821">
      <w:pPr>
        <w:pStyle w:val="Normal12Hanging"/>
        <w:rPr>
          <w:noProof/>
        </w:rPr>
      </w:pPr>
      <w:r w:rsidRPr="00766033">
        <w:t>2.</w:t>
      </w:r>
      <w:r w:rsidRPr="00766033">
        <w:tab/>
        <w:t>Requer à Comissão que lhe submeta de novo a sua proposta se a substituir, se a alterar substancialmente ou se pretender alterá-la substancialmente;</w:t>
      </w:r>
    </w:p>
    <w:p w:rsidR="00ED0821" w:rsidRPr="00766033" w:rsidRDefault="00ED0821">
      <w:pPr>
        <w:pStyle w:val="Normal12Hanging"/>
        <w:rPr>
          <w:noProof/>
        </w:rPr>
      </w:pPr>
      <w:r w:rsidRPr="00766033">
        <w:t>3.</w:t>
      </w:r>
      <w:r w:rsidRPr="00766033">
        <w:tab/>
        <w:t>Encarrega o seu Presidente de transmitir a posição do Parlamento ao Conselho, à Comissão e aos parlamentos nacionais.</w:t>
      </w:r>
    </w:p>
    <w:p w:rsidR="004C2158" w:rsidRPr="00766033" w:rsidRDefault="004C2158" w:rsidP="004C2158">
      <w:pPr>
        <w:pStyle w:val="AMNumberTabs"/>
        <w:keepNext/>
        <w:rPr>
          <w:noProof/>
        </w:rPr>
      </w:pPr>
      <w:r w:rsidRPr="00766033">
        <w:br w:type="page"/>
      </w:r>
      <w:r w:rsidR="00766033" w:rsidRPr="006F0E85">
        <w:rPr>
          <w:rStyle w:val="HideTWBExt"/>
          <w:b w:val="0"/>
          <w:noProof w:val="0"/>
        </w:rPr>
        <w:t>&lt;RepeatBlock-Amend&gt;</w:t>
      </w:r>
      <w:r w:rsidRPr="00766033">
        <w:rPr>
          <w:rStyle w:val="HideTWBExt"/>
          <w:b w:val="0"/>
        </w:rPr>
        <w:t>&lt;Amend&gt;</w:t>
      </w:r>
      <w:r w:rsidRPr="00766033">
        <w:t>Alteração</w:t>
      </w:r>
      <w:r w:rsidRPr="00766033">
        <w:tab/>
      </w:r>
      <w:r w:rsidRPr="00766033">
        <w:tab/>
      </w:r>
      <w:r w:rsidRPr="00766033">
        <w:rPr>
          <w:rStyle w:val="HideTWBExt"/>
          <w:b w:val="0"/>
        </w:rPr>
        <w:t>&lt;NumAm&gt;</w:t>
      </w:r>
      <w:r w:rsidRPr="00766033">
        <w:t>1</w:t>
      </w:r>
      <w:r w:rsidRPr="00766033">
        <w:rPr>
          <w:rStyle w:val="HideTWBExt"/>
          <w:b w:val="0"/>
        </w:rPr>
        <w:t>&lt;/NumAm&gt;</w:t>
      </w:r>
    </w:p>
    <w:p w:rsidR="004C2158" w:rsidRPr="00766033" w:rsidRDefault="004C2158" w:rsidP="004C2158">
      <w:pPr>
        <w:pStyle w:val="NormalBold12b"/>
        <w:rPr>
          <w:noProof/>
        </w:rPr>
      </w:pPr>
      <w:r w:rsidRPr="00766033">
        <w:rPr>
          <w:rStyle w:val="HideTWBExt"/>
          <w:b w:val="0"/>
        </w:rPr>
        <w:t>&lt;DocAmend&gt;</w:t>
      </w:r>
      <w:r w:rsidRPr="00766033">
        <w:t>Proposta de regulamento</w:t>
      </w:r>
      <w:r w:rsidRPr="00766033">
        <w:rPr>
          <w:rStyle w:val="HideTWBExt"/>
          <w:b w:val="0"/>
        </w:rPr>
        <w:t>&lt;/DocAmend&gt;</w:t>
      </w:r>
    </w:p>
    <w:p w:rsidR="004C2158" w:rsidRPr="00766033" w:rsidRDefault="004C2158" w:rsidP="004C2158">
      <w:pPr>
        <w:pStyle w:val="NormalBold"/>
        <w:rPr>
          <w:noProof/>
        </w:rPr>
      </w:pPr>
      <w:r w:rsidRPr="00766033">
        <w:rPr>
          <w:rStyle w:val="HideTWBExt"/>
          <w:b w:val="0"/>
        </w:rPr>
        <w:t>&lt;Article&gt;</w:t>
      </w:r>
      <w:r w:rsidRPr="00766033">
        <w:t xml:space="preserve">Artigo 1 – </w:t>
      </w:r>
      <w:r w:rsidR="00766033" w:rsidRPr="00766033">
        <w:t>n.º</w:t>
      </w:r>
      <w:r w:rsidRPr="00766033">
        <w:t xml:space="preserve"> 1</w:t>
      </w:r>
      <w:r w:rsidRPr="00766033">
        <w:rPr>
          <w:rStyle w:val="HideTWBExt"/>
          <w:b w:val="0"/>
        </w:rPr>
        <w:t>&lt;/Article&gt;</w:t>
      </w:r>
    </w:p>
    <w:p w:rsidR="004C2158" w:rsidRPr="00766033" w:rsidRDefault="004C2158" w:rsidP="004C2158">
      <w:pPr>
        <w:keepNext/>
        <w:rPr>
          <w:noProof/>
        </w:rPr>
      </w:pPr>
      <w:r w:rsidRPr="00766033">
        <w:rPr>
          <w:rStyle w:val="HideTWBExt"/>
        </w:rPr>
        <w:t>&lt;DocAmend2&gt;</w:t>
      </w:r>
      <w:r w:rsidRPr="00766033">
        <w:t xml:space="preserve">Regulamento (CE) </w:t>
      </w:r>
      <w:r w:rsidR="00766033">
        <w:t>n.º</w:t>
      </w:r>
      <w:r w:rsidRPr="00766033">
        <w:t xml:space="preserve"> 391/2009</w:t>
      </w:r>
      <w:r w:rsidRPr="00766033">
        <w:rPr>
          <w:rStyle w:val="HideTWBExt"/>
        </w:rPr>
        <w:t>&lt;/DocAmend2&gt;</w:t>
      </w:r>
    </w:p>
    <w:p w:rsidR="004C2158" w:rsidRPr="00766033" w:rsidRDefault="004C2158" w:rsidP="004C2158">
      <w:pPr>
        <w:rPr>
          <w:noProof/>
        </w:rPr>
      </w:pPr>
      <w:r w:rsidRPr="00766033">
        <w:rPr>
          <w:rStyle w:val="HideTWBExt"/>
        </w:rPr>
        <w:t>&lt;Article2&gt;</w:t>
      </w:r>
      <w:r w:rsidRPr="00766033">
        <w:t>Artigo 8 – n.º 1</w:t>
      </w:r>
      <w:r w:rsidRPr="00766033">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6033" w:rsidRPr="00766033" w:rsidTr="002506FE">
        <w:trPr>
          <w:jc w:val="center"/>
        </w:trPr>
        <w:tc>
          <w:tcPr>
            <w:tcW w:w="9752" w:type="dxa"/>
            <w:gridSpan w:val="2"/>
          </w:tcPr>
          <w:p w:rsidR="004C2158" w:rsidRPr="00766033" w:rsidRDefault="004C2158" w:rsidP="002506FE">
            <w:pPr>
              <w:keepNext/>
              <w:rPr>
                <w:noProof/>
              </w:rPr>
            </w:pPr>
          </w:p>
        </w:tc>
      </w:tr>
      <w:tr w:rsidR="00766033" w:rsidRPr="00766033" w:rsidTr="002506FE">
        <w:trPr>
          <w:jc w:val="center"/>
        </w:trPr>
        <w:tc>
          <w:tcPr>
            <w:tcW w:w="4876" w:type="dxa"/>
            <w:hideMark/>
          </w:tcPr>
          <w:p w:rsidR="004C2158" w:rsidRPr="00766033" w:rsidRDefault="004C2158" w:rsidP="002506FE">
            <w:pPr>
              <w:pStyle w:val="ColumnHeading"/>
              <w:keepNext/>
              <w:rPr>
                <w:noProof/>
              </w:rPr>
            </w:pPr>
            <w:r w:rsidRPr="00766033">
              <w:t>Texto da Comissão</w:t>
            </w:r>
          </w:p>
        </w:tc>
        <w:tc>
          <w:tcPr>
            <w:tcW w:w="4876" w:type="dxa"/>
            <w:hideMark/>
          </w:tcPr>
          <w:p w:rsidR="004C2158" w:rsidRPr="00766033" w:rsidRDefault="004C2158" w:rsidP="002506FE">
            <w:pPr>
              <w:pStyle w:val="ColumnHeading"/>
              <w:keepNext/>
              <w:rPr>
                <w:noProof/>
              </w:rPr>
            </w:pPr>
            <w:r w:rsidRPr="00766033">
              <w:t>Alteração</w:t>
            </w:r>
          </w:p>
        </w:tc>
      </w:tr>
      <w:tr w:rsidR="00766033" w:rsidRPr="00766033" w:rsidTr="002506FE">
        <w:trPr>
          <w:jc w:val="center"/>
        </w:trPr>
        <w:tc>
          <w:tcPr>
            <w:tcW w:w="4876" w:type="dxa"/>
            <w:hideMark/>
          </w:tcPr>
          <w:p w:rsidR="004C2158" w:rsidRPr="00766033" w:rsidRDefault="004C2158" w:rsidP="002506FE">
            <w:pPr>
              <w:pStyle w:val="Normal6"/>
              <w:rPr>
                <w:noProof/>
              </w:rPr>
            </w:pPr>
            <w:r w:rsidRPr="00766033">
              <w:t>1.</w:t>
            </w:r>
            <w:r w:rsidRPr="00766033">
              <w:tab/>
              <w:t>Todas as organizações reconhecidas são objeto de avaliação pela Comissão, feita em conjunto com o(s) Estado(s)-Membro(s) que as tiver(em) autorizado em conformidade com o artigo 3.º, n.º 2, da Diretiva 2009/15/CE, numa base regular e pelo menos de dois em dois anos, a fim de verificar se cumprem as suas obrigações nos termos do presente regulamento e satisfazem os critérios mínimos estabelecidos no anexo I. A avaliação deve restringir-se às atividades das organizações reconhecidas abrangidas pelo âmbito de aplicação do presente regulamento.</w:t>
            </w:r>
          </w:p>
        </w:tc>
        <w:tc>
          <w:tcPr>
            <w:tcW w:w="4876" w:type="dxa"/>
            <w:hideMark/>
          </w:tcPr>
          <w:p w:rsidR="004C2158" w:rsidRPr="00766033" w:rsidRDefault="004C2158" w:rsidP="00143D55">
            <w:pPr>
              <w:pStyle w:val="Normal6"/>
              <w:rPr>
                <w:noProof/>
                <w:szCs w:val="24"/>
              </w:rPr>
            </w:pPr>
            <w:r w:rsidRPr="00766033">
              <w:t>1.</w:t>
            </w:r>
            <w:r w:rsidRPr="00766033">
              <w:tab/>
              <w:t>Todas as organizações reconhecidas são objeto de avaliação pela Comissão, feita em conjunto com o(s) Estado(s)</w:t>
            </w:r>
            <w:r w:rsidR="00143D55">
              <w:noBreakHyphen/>
            </w:r>
            <w:r w:rsidRPr="00766033">
              <w:t>Membro(s) que as tiver(em) autorizado em conformidade com o artigo 3.º, n.º 2, da Diretiva 2009/15/CE, numa base regular e pelo menos de dois em dois anos, a fim de verific</w:t>
            </w:r>
            <w:bookmarkStart w:id="1" w:name="_GoBack"/>
            <w:bookmarkEnd w:id="1"/>
            <w:r w:rsidRPr="00766033">
              <w:t xml:space="preserve">ar se cumprem as suas obrigações nos termos do presente regulamento e satisfazem os critérios mínimos estabelecidos no anexo I. A avaliação deve restringir-se às atividades das organizações reconhecidas abrangidas pelo âmbito de aplicação do presente regulamento. </w:t>
            </w:r>
            <w:r w:rsidRPr="00766033">
              <w:rPr>
                <w:b/>
                <w:i/>
              </w:rPr>
              <w:t>A Comissão facilita a participação dos Estados-Membros na avaliação através da criação de um programa de supervisão que pode ser utilizado pelos Estados-Membros no cumprimento das obrigações que lhes incumbem por força da Resolução A.1070 (28) da OMI e do artigo 9.º da Diretiva 2009/15/CE.»</w:t>
            </w:r>
          </w:p>
        </w:tc>
      </w:tr>
    </w:tbl>
    <w:p w:rsidR="00766033" w:rsidRPr="006F0E85" w:rsidRDefault="004C2158" w:rsidP="00766033">
      <w:pPr>
        <w:rPr>
          <w:szCs w:val="24"/>
        </w:rPr>
      </w:pPr>
      <w:r w:rsidRPr="00766033">
        <w:rPr>
          <w:rStyle w:val="HideTWBExt"/>
        </w:rPr>
        <w:t>&lt;/Amend&gt;</w:t>
      </w:r>
      <w:r w:rsidR="00766033" w:rsidRPr="006F0E85">
        <w:rPr>
          <w:rStyle w:val="HideTWBExt"/>
          <w:noProof w:val="0"/>
        </w:rPr>
        <w:t>&lt;/RepeatBlock-Amend&gt;</w:t>
      </w:r>
    </w:p>
    <w:p w:rsidR="004C2158" w:rsidRPr="00766033" w:rsidRDefault="004C2158" w:rsidP="004C2158">
      <w:pPr>
        <w:rPr>
          <w:rStyle w:val="HideTWBExt"/>
        </w:rPr>
      </w:pPr>
    </w:p>
    <w:p w:rsidR="004C2158" w:rsidRPr="00766033" w:rsidRDefault="004C2158" w:rsidP="004C2158">
      <w:pPr>
        <w:rPr>
          <w:noProof/>
          <w:szCs w:val="24"/>
        </w:rPr>
      </w:pPr>
    </w:p>
    <w:p w:rsidR="004C2158" w:rsidRPr="00766033" w:rsidRDefault="004C2158" w:rsidP="004C2158">
      <w:pPr>
        <w:rPr>
          <w:noProof/>
        </w:rPr>
      </w:pPr>
    </w:p>
    <w:p w:rsidR="004C2158" w:rsidRPr="00766033" w:rsidRDefault="004C2158" w:rsidP="004C2158">
      <w:pPr>
        <w:pStyle w:val="AMNumberTabs"/>
        <w:keepNext/>
        <w:rPr>
          <w:noProof/>
        </w:rPr>
      </w:pPr>
    </w:p>
    <w:p w:rsidR="00105176" w:rsidRPr="00766033" w:rsidRDefault="00105176" w:rsidP="00105176">
      <w:pPr>
        <w:pStyle w:val="PageHeading"/>
        <w:rPr>
          <w:noProof/>
        </w:rPr>
      </w:pPr>
      <w:r w:rsidRPr="00766033">
        <w:br w:type="page"/>
      </w:r>
      <w:bookmarkStart w:id="2" w:name="_Toc536172442"/>
      <w:r w:rsidRPr="00766033">
        <w:t>EXPOSIÇÃO DE MOTIVOS</w:t>
      </w:r>
      <w:bookmarkEnd w:id="2"/>
    </w:p>
    <w:p w:rsidR="00105176" w:rsidRPr="00766033" w:rsidRDefault="00A7568C" w:rsidP="00A7568C">
      <w:pPr>
        <w:ind w:left="284" w:hanging="284"/>
        <w:jc w:val="both"/>
        <w:rPr>
          <w:b/>
          <w:i/>
          <w:noProof/>
        </w:rPr>
      </w:pPr>
      <w:r w:rsidRPr="00766033">
        <w:rPr>
          <w:b/>
          <w:i/>
        </w:rPr>
        <w:t>1.</w:t>
      </w:r>
      <w:r w:rsidRPr="00766033">
        <w:rPr>
          <w:b/>
          <w:i/>
        </w:rPr>
        <w:tab/>
        <w:t>Situação atual</w:t>
      </w:r>
    </w:p>
    <w:p w:rsidR="00105176" w:rsidRPr="00766033" w:rsidRDefault="00105176" w:rsidP="00105176">
      <w:pPr>
        <w:ind w:left="720"/>
        <w:jc w:val="both"/>
        <w:rPr>
          <w:noProof/>
        </w:rPr>
      </w:pPr>
    </w:p>
    <w:p w:rsidR="00105176" w:rsidRPr="00766033" w:rsidRDefault="00105176" w:rsidP="00192385">
      <w:pPr>
        <w:jc w:val="both"/>
        <w:rPr>
          <w:noProof/>
          <w:szCs w:val="24"/>
        </w:rPr>
      </w:pPr>
      <w:r w:rsidRPr="00766033">
        <w:t>Em 29 de março de 2017, o Reino Unido notificou a sua intenção de sair da União, nos termos do artigo 50.º do Tratado da União Europeia. Quer isto dizer que todo o Direito primário e derivado da União deixará de se aplicar ao Reino Unido a partir de 30 de março de 2019. O Reino Unido passará então a ser um país terceiro.</w:t>
      </w:r>
    </w:p>
    <w:p w:rsidR="00105176" w:rsidRPr="00766033" w:rsidRDefault="00105176" w:rsidP="00192385">
      <w:pPr>
        <w:jc w:val="both"/>
        <w:rPr>
          <w:noProof/>
          <w:szCs w:val="24"/>
        </w:rPr>
      </w:pPr>
    </w:p>
    <w:p w:rsidR="00105176" w:rsidRPr="00766033" w:rsidRDefault="00105176" w:rsidP="00192385">
      <w:pPr>
        <w:jc w:val="both"/>
        <w:rPr>
          <w:noProof/>
          <w:szCs w:val="24"/>
        </w:rPr>
      </w:pPr>
      <w:r w:rsidRPr="00766033">
        <w:t>Por conseguinte, a legislação da UE em matéria de transporte marítimo deixará de se aplicar ao Reino Unido. Um dos domínios do Direito da União que afetados é o reconhecimento, a nível da União, das organizações que prestam serviços de inspeção e vistoria de navios que arvoram pavilhão dos Estados-Membros («organizações reconhecidas»).</w:t>
      </w:r>
    </w:p>
    <w:p w:rsidR="00105176" w:rsidRPr="00766033" w:rsidRDefault="00105176" w:rsidP="00192385">
      <w:pPr>
        <w:jc w:val="both"/>
        <w:rPr>
          <w:noProof/>
          <w:szCs w:val="24"/>
        </w:rPr>
      </w:pPr>
    </w:p>
    <w:p w:rsidR="00105176" w:rsidRPr="00766033" w:rsidRDefault="00105176" w:rsidP="00192385">
      <w:pPr>
        <w:jc w:val="both"/>
        <w:rPr>
          <w:noProof/>
          <w:szCs w:val="24"/>
        </w:rPr>
      </w:pPr>
      <w:r w:rsidRPr="00766033">
        <w:t>O artigo 8.º, n.º 1, do Regulamento (CE) n.º 391/2009 exige que as organizações de inspeção e vistoria de navios reconhecidas a nível da UE pela Comissão sejam objeto de avaliação, pelo menos de dois em dois anos, pela Comissão em conjunto com o Estado-Membro que tiver apresentado o pedido inicial de reconhecimento da organização (Estado-Membro «patrocinador»).</w:t>
      </w:r>
    </w:p>
    <w:p w:rsidR="00105176" w:rsidRPr="00766033" w:rsidRDefault="00105176" w:rsidP="00192385">
      <w:pPr>
        <w:jc w:val="both"/>
        <w:rPr>
          <w:noProof/>
          <w:szCs w:val="24"/>
        </w:rPr>
      </w:pPr>
    </w:p>
    <w:p w:rsidR="00105176" w:rsidRPr="00766033" w:rsidRDefault="00105176" w:rsidP="00192385">
      <w:pPr>
        <w:jc w:val="both"/>
        <w:rPr>
          <w:noProof/>
          <w:szCs w:val="24"/>
        </w:rPr>
      </w:pPr>
      <w:r w:rsidRPr="00766033">
        <w:t>Decorre dos artigos 7.º e 8.º do regulamento que, para continuarem a beneficiar do reconhecimento da UE, as organizações reconhecidas devem continuar a cumprir os requisitos e critérios mínimos estabelecidos no anexo I do regulamento. O respeito desta obrigação é verificado através da reavaliação contínua efetuada pela Comissão e pelo Estado-Membro «patrocinador» em conformidade com o artigo 8.º, n.º 1.</w:t>
      </w:r>
      <w:r w:rsidR="00766033">
        <w:t xml:space="preserve"> </w:t>
      </w:r>
      <w:r w:rsidRPr="00766033">
        <w:t>Após a sua saída, o Reino Unido deixará de estar em condições de participar nas avaliações realizadas nos termos do artigo 8.º, n.º 1, do regulamento no que respeita às organizações para as quais o Reino Unido atue como Estado-Membro «patrocinador». Por conseguinte, a manutenção da validade do reconhecimento destas organizações a nível da UE poderá ser posta em causa e não poderá ser estabelecida com segurança jurídica suficiente ao abrigo das atuais disposições do regulamento.</w:t>
      </w:r>
    </w:p>
    <w:p w:rsidR="00105176" w:rsidRPr="00766033" w:rsidRDefault="00105176" w:rsidP="00192385">
      <w:pPr>
        <w:jc w:val="both"/>
        <w:rPr>
          <w:noProof/>
          <w:szCs w:val="24"/>
        </w:rPr>
      </w:pPr>
    </w:p>
    <w:p w:rsidR="00105176" w:rsidRPr="00766033" w:rsidRDefault="00105176" w:rsidP="00192385">
      <w:pPr>
        <w:jc w:val="both"/>
        <w:rPr>
          <w:noProof/>
          <w:szCs w:val="24"/>
        </w:rPr>
      </w:pPr>
      <w:r w:rsidRPr="00766033">
        <w:t>A eventual perda do reconhecimento da UE pelas organizações devido à saída do Reino Unido poderia ter consequências adversas para a competitividade e para a atratividade dos pavilhões dos Estados-Membros da UE-27 que autorizaram essas organizações reconhecidas a atuar em seu nome para efeitos da realização das inspeções, vistorias e certificação obrigatórias dos navios. As organizações reconhecidas em causa dispõem atualmente de acordos de autorização com a maioria dos Estados-Membros da UE-27 e, após a saída do Reino Unido da UE, estes não poderiam recorrer a essas organizações reconhecidas em relação aos navios que arvorem o seu pavilhão. Ao mesmo tempo, os armadores que recorrem a essas organizações também para efeitos de classificação enfrentariam o dilema de mudar o pavilhão dos seus navios para um pavilhão não pertencente à UE ou correr o risco de infringir os seus atuais contratos de direito privado para a classificação dos seus navios com as organizações em causa.</w:t>
      </w:r>
    </w:p>
    <w:p w:rsidR="00105176" w:rsidRPr="00766033" w:rsidRDefault="00105176" w:rsidP="00192385">
      <w:pPr>
        <w:jc w:val="both"/>
        <w:rPr>
          <w:noProof/>
          <w:szCs w:val="24"/>
        </w:rPr>
      </w:pPr>
    </w:p>
    <w:p w:rsidR="00105176" w:rsidRPr="00766033" w:rsidRDefault="009A0DC4" w:rsidP="00A7568C">
      <w:pPr>
        <w:ind w:left="284" w:hanging="284"/>
        <w:jc w:val="both"/>
        <w:rPr>
          <w:b/>
          <w:i/>
          <w:noProof/>
        </w:rPr>
      </w:pPr>
      <w:r w:rsidRPr="00766033">
        <w:br w:type="page"/>
      </w:r>
      <w:r w:rsidRPr="00766033">
        <w:rPr>
          <w:b/>
          <w:i/>
        </w:rPr>
        <w:t>2.</w:t>
      </w:r>
      <w:r w:rsidRPr="00766033">
        <w:rPr>
          <w:b/>
          <w:i/>
        </w:rPr>
        <w:tab/>
        <w:t>Proposta da Comissão</w:t>
      </w:r>
    </w:p>
    <w:p w:rsidR="00105176" w:rsidRPr="00766033" w:rsidRDefault="00105176" w:rsidP="00105176">
      <w:pPr>
        <w:ind w:left="720"/>
        <w:jc w:val="both"/>
        <w:rPr>
          <w:b/>
          <w:i/>
          <w:noProof/>
        </w:rPr>
      </w:pPr>
    </w:p>
    <w:p w:rsidR="00105176" w:rsidRPr="00766033" w:rsidRDefault="00105176" w:rsidP="00192385">
      <w:pPr>
        <w:jc w:val="both"/>
        <w:rPr>
          <w:noProof/>
          <w:szCs w:val="24"/>
        </w:rPr>
      </w:pPr>
      <w:r w:rsidRPr="00766033">
        <w:t>A proposta da Comissão alteraria o artigo 8.º, n.º 1, do regulamento, substituindo o atual requisito, segundo o qual só o Estado-Membro «patrocinador» deve participar no processo regular de avaliação conduzido pela Comissão, pela possibilidade de participação de qualquer Estado-Membro que tenha autorizado uma das organizações reconhecidas. Deste modo, permitiria que a avaliação fosse efetuada pela Comissão em conjunto com qualquer Estado-Membro que tenha autorizado a organização reconhecida em causa a atuar em seu nome para efeitos do disposto no artigo 3.º, n.º 2, da Diretiva 2009/15/CE</w:t>
      </w:r>
      <w:r w:rsidRPr="00766033">
        <w:rPr>
          <w:vertAlign w:val="superscript"/>
        </w:rPr>
        <w:t>3</w:t>
      </w:r>
      <w:r w:rsidRPr="00766033">
        <w:t>, e não apenas com o Estado-Membro «patrocinador».</w:t>
      </w:r>
    </w:p>
    <w:p w:rsidR="00105176" w:rsidRPr="00766033" w:rsidRDefault="00105176" w:rsidP="00192385">
      <w:pPr>
        <w:jc w:val="both"/>
        <w:rPr>
          <w:noProof/>
          <w:szCs w:val="24"/>
        </w:rPr>
      </w:pPr>
    </w:p>
    <w:p w:rsidR="00105176" w:rsidRPr="00766033" w:rsidRDefault="00A7568C" w:rsidP="00A7568C">
      <w:pPr>
        <w:ind w:left="284" w:hanging="284"/>
        <w:jc w:val="both"/>
        <w:rPr>
          <w:b/>
          <w:i/>
          <w:noProof/>
        </w:rPr>
      </w:pPr>
      <w:r w:rsidRPr="00766033">
        <w:rPr>
          <w:b/>
          <w:i/>
        </w:rPr>
        <w:t>3.</w:t>
      </w:r>
      <w:r w:rsidRPr="00766033">
        <w:rPr>
          <w:b/>
          <w:i/>
        </w:rPr>
        <w:tab/>
        <w:t>Proposta da relatora</w:t>
      </w:r>
    </w:p>
    <w:p w:rsidR="00105176" w:rsidRPr="00766033" w:rsidRDefault="00105176" w:rsidP="00105176">
      <w:pPr>
        <w:ind w:left="720"/>
        <w:jc w:val="both"/>
        <w:rPr>
          <w:b/>
          <w:i/>
          <w:noProof/>
        </w:rPr>
      </w:pPr>
    </w:p>
    <w:p w:rsidR="00105176" w:rsidRPr="00766033" w:rsidRDefault="00105176" w:rsidP="00192385">
      <w:pPr>
        <w:jc w:val="both"/>
        <w:rPr>
          <w:noProof/>
          <w:szCs w:val="24"/>
        </w:rPr>
      </w:pPr>
      <w:r w:rsidRPr="00766033">
        <w:t>A relatora congratula-se com a proposta da Comissão e considera que esta resolveria o problema da insegurança jurídica no domínio das organizações reconhecidas criada pela saída do Reino Unido e salvaguardaria a continuidade das atividades dos armadores afetados, bem como a competitividade dos pavilhões dos Estados-Membros da UE-27 que trabalham com as organizações afetadas.</w:t>
      </w:r>
    </w:p>
    <w:p w:rsidR="00105176" w:rsidRPr="00766033" w:rsidRDefault="00105176" w:rsidP="00192385">
      <w:pPr>
        <w:jc w:val="both"/>
        <w:rPr>
          <w:noProof/>
          <w:szCs w:val="24"/>
        </w:rPr>
      </w:pPr>
    </w:p>
    <w:p w:rsidR="00105176" w:rsidRPr="00766033" w:rsidRDefault="00105176" w:rsidP="004C41F9">
      <w:pPr>
        <w:rPr>
          <w:noProof/>
        </w:rPr>
      </w:pPr>
      <w:r w:rsidRPr="00766033">
        <w:t>Por conseguinte, a relatora propõe a aprovação da proposta da Comissão, sem alterações.</w:t>
      </w:r>
    </w:p>
    <w:p w:rsidR="004C41F9" w:rsidRPr="00766033" w:rsidRDefault="004C41F9" w:rsidP="004C41F9">
      <w:pPr>
        <w:pStyle w:val="PageHeading"/>
        <w:rPr>
          <w:noProof/>
        </w:rPr>
      </w:pPr>
      <w:r w:rsidRPr="00766033">
        <w:br w:type="page"/>
      </w:r>
      <w:bookmarkStart w:id="3" w:name="ProcPageRR"/>
      <w:bookmarkStart w:id="4" w:name="_Toc536172443"/>
      <w:r w:rsidRPr="00766033">
        <w:t>PROCESSO DA COMISSÃO COMPETENTE QUANTO À MATÉRIA DE FUNDO</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66033" w:rsidRPr="0076603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b/>
                <w:bCs/>
                <w:noProof/>
                <w:sz w:val="20"/>
              </w:rPr>
            </w:pPr>
            <w:r w:rsidRPr="00766033">
              <w:rPr>
                <w:b/>
                <w:bCs/>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noProof/>
                <w:sz w:val="20"/>
              </w:rPr>
            </w:pPr>
            <w:r w:rsidRPr="00766033">
              <w:rPr>
                <w:sz w:val="20"/>
              </w:rPr>
              <w:t>Proposta de regulamento do Parlamento Europeu e do Conselho que altera o Regulamento (CE) n.º 391/2009 no que respeita à saída do Reino Unido da União Europeia</w:t>
            </w:r>
          </w:p>
        </w:tc>
      </w:tr>
      <w:tr w:rsidR="00766033" w:rsidRPr="0076603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b/>
                <w:bCs/>
                <w:noProof/>
                <w:sz w:val="20"/>
              </w:rPr>
            </w:pPr>
            <w:r w:rsidRPr="00766033">
              <w:rPr>
                <w:b/>
                <w:bCs/>
                <w:sz w:val="20"/>
              </w:rPr>
              <w:t>Referências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noProof/>
                <w:sz w:val="20"/>
              </w:rPr>
            </w:pPr>
            <w:r w:rsidRPr="00766033">
              <w:rPr>
                <w:sz w:val="20"/>
              </w:rPr>
              <w:t>COM(2018)0567 – C8-0384/2018 – 2018/0298(COD)</w:t>
            </w:r>
          </w:p>
        </w:tc>
      </w:tr>
      <w:tr w:rsidR="00766033" w:rsidRPr="0076603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b/>
                <w:bCs/>
                <w:noProof/>
                <w:sz w:val="20"/>
              </w:rPr>
            </w:pPr>
            <w:r w:rsidRPr="00766033">
              <w:rPr>
                <w:b/>
                <w:bCs/>
                <w:sz w:val="20"/>
              </w:rPr>
              <w:t>Data de apresentação ao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C41F9" w:rsidRPr="00766033" w:rsidRDefault="004C41F9">
            <w:pPr>
              <w:autoSpaceDE w:val="0"/>
              <w:autoSpaceDN w:val="0"/>
              <w:adjustRightInd w:val="0"/>
              <w:rPr>
                <w:noProof/>
                <w:sz w:val="20"/>
              </w:rPr>
            </w:pPr>
            <w:r w:rsidRPr="00766033">
              <w:rPr>
                <w:sz w:val="20"/>
              </w:rPr>
              <w:t>1.8.2018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C41F9" w:rsidRPr="00766033" w:rsidRDefault="004C41F9">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C41F9" w:rsidRPr="00766033" w:rsidRDefault="004C41F9">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rFonts w:ascii="sans-serif" w:hAnsi="sans-serif" w:cs="sans-serif"/>
                <w:noProof/>
                <w:szCs w:val="24"/>
              </w:rPr>
            </w:pPr>
          </w:p>
        </w:tc>
      </w:tr>
      <w:tr w:rsidR="00766033" w:rsidRPr="0076603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b/>
                <w:bCs/>
                <w:noProof/>
                <w:sz w:val="20"/>
              </w:rPr>
            </w:pPr>
            <w:r w:rsidRPr="00766033">
              <w:rPr>
                <w:b/>
                <w:bCs/>
                <w:sz w:val="20"/>
              </w:rPr>
              <w:t>Comissão competente quanto ao fundo</w:t>
            </w:r>
          </w:p>
          <w:p w:rsidR="004C41F9" w:rsidRPr="00766033" w:rsidRDefault="004C41F9">
            <w:pPr>
              <w:autoSpaceDE w:val="0"/>
              <w:autoSpaceDN w:val="0"/>
              <w:adjustRightInd w:val="0"/>
              <w:rPr>
                <w:noProof/>
                <w:sz w:val="20"/>
              </w:rPr>
            </w:pPr>
            <w:r w:rsidRPr="00766033">
              <w:rPr>
                <w:sz w:val="20"/>
              </w:rPr>
              <w:t>       Data de comunicação em sessão</w:t>
            </w:r>
          </w:p>
        </w:tc>
        <w:tc>
          <w:tcPr>
            <w:tcW w:w="1530" w:type="dxa"/>
            <w:tcBorders>
              <w:top w:val="nil"/>
              <w:left w:val="nil"/>
              <w:bottom w:val="single" w:sz="8" w:space="0" w:color="000000"/>
              <w:right w:val="nil"/>
            </w:tcBorders>
            <w:tcMar>
              <w:top w:w="79" w:type="dxa"/>
              <w:left w:w="79" w:type="dxa"/>
              <w:bottom w:w="79" w:type="dxa"/>
              <w:right w:w="79" w:type="dxa"/>
            </w:tcMar>
          </w:tcPr>
          <w:p w:rsidR="004C41F9" w:rsidRPr="00766033" w:rsidRDefault="004C41F9">
            <w:pPr>
              <w:autoSpaceDE w:val="0"/>
              <w:autoSpaceDN w:val="0"/>
              <w:adjustRightInd w:val="0"/>
              <w:rPr>
                <w:noProof/>
                <w:sz w:val="20"/>
              </w:rPr>
            </w:pPr>
            <w:r w:rsidRPr="00766033">
              <w:rPr>
                <w:sz w:val="20"/>
              </w:rPr>
              <w:t>TRAN</w:t>
            </w:r>
          </w:p>
          <w:p w:rsidR="004C41F9" w:rsidRPr="00766033" w:rsidRDefault="004C41F9">
            <w:pPr>
              <w:autoSpaceDE w:val="0"/>
              <w:autoSpaceDN w:val="0"/>
              <w:adjustRightInd w:val="0"/>
              <w:rPr>
                <w:noProof/>
                <w:sz w:val="20"/>
              </w:rPr>
            </w:pPr>
            <w:r w:rsidRPr="00766033">
              <w:rPr>
                <w:sz w:val="20"/>
              </w:rPr>
              <w:t>10.9.2018</w:t>
            </w:r>
          </w:p>
        </w:tc>
        <w:tc>
          <w:tcPr>
            <w:tcW w:w="1474" w:type="dxa"/>
            <w:tcBorders>
              <w:top w:val="nil"/>
              <w:left w:val="nil"/>
              <w:bottom w:val="single" w:sz="8" w:space="0" w:color="000000"/>
              <w:right w:val="nil"/>
            </w:tcBorders>
            <w:tcMar>
              <w:top w:w="79" w:type="dxa"/>
              <w:left w:w="79" w:type="dxa"/>
              <w:bottom w:w="79" w:type="dxa"/>
              <w:right w:w="79" w:type="dxa"/>
            </w:tcMar>
          </w:tcPr>
          <w:p w:rsidR="004C41F9" w:rsidRPr="00766033" w:rsidRDefault="004C41F9">
            <w:pPr>
              <w:autoSpaceDE w:val="0"/>
              <w:autoSpaceDN w:val="0"/>
              <w:adjustRightInd w:val="0"/>
              <w:rPr>
                <w:rFonts w:ascii="sans-serif" w:hAnsi="sans-serif" w:cs="sans-serif"/>
                <w:noProo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C41F9" w:rsidRPr="00766033" w:rsidRDefault="004C41F9">
            <w:pPr>
              <w:autoSpaceDE w:val="0"/>
              <w:autoSpaceDN w:val="0"/>
              <w:adjustRightInd w:val="0"/>
              <w:rPr>
                <w:rFonts w:ascii="sans-serif" w:hAnsi="sans-serif" w:cs="sans-serif"/>
                <w:noProo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rFonts w:ascii="sans-serif" w:hAnsi="sans-serif" w:cs="sans-serif"/>
                <w:noProof/>
                <w:szCs w:val="24"/>
              </w:rPr>
            </w:pPr>
          </w:p>
        </w:tc>
      </w:tr>
      <w:tr w:rsidR="00766033" w:rsidRPr="0076603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b/>
                <w:bCs/>
                <w:noProof/>
                <w:sz w:val="20"/>
              </w:rPr>
            </w:pPr>
            <w:r w:rsidRPr="00766033">
              <w:rPr>
                <w:b/>
                <w:bCs/>
                <w:sz w:val="20"/>
              </w:rPr>
              <w:t>Relatores</w:t>
            </w:r>
          </w:p>
          <w:p w:rsidR="004C41F9" w:rsidRPr="00766033" w:rsidRDefault="004C41F9">
            <w:pPr>
              <w:autoSpaceDE w:val="0"/>
              <w:autoSpaceDN w:val="0"/>
              <w:adjustRightInd w:val="0"/>
              <w:rPr>
                <w:noProof/>
                <w:sz w:val="20"/>
              </w:rPr>
            </w:pPr>
            <w:r w:rsidRPr="00766033">
              <w:rPr>
                <w:sz w:val="20"/>
              </w:rPr>
              <w:t>       Data de designação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C41F9" w:rsidRPr="00766033" w:rsidRDefault="004C41F9">
            <w:pPr>
              <w:autoSpaceDE w:val="0"/>
              <w:autoSpaceDN w:val="0"/>
              <w:adjustRightInd w:val="0"/>
              <w:rPr>
                <w:noProof/>
                <w:sz w:val="20"/>
              </w:rPr>
            </w:pPr>
            <w:r w:rsidRPr="00766033">
              <w:rPr>
                <w:sz w:val="20"/>
              </w:rPr>
              <w:t>Isabella De Monte</w:t>
            </w:r>
          </w:p>
          <w:p w:rsidR="004C41F9" w:rsidRPr="00766033" w:rsidRDefault="004C41F9">
            <w:pPr>
              <w:autoSpaceDE w:val="0"/>
              <w:autoSpaceDN w:val="0"/>
              <w:adjustRightInd w:val="0"/>
              <w:rPr>
                <w:noProof/>
                <w:sz w:val="20"/>
              </w:rPr>
            </w:pPr>
            <w:r w:rsidRPr="00766033">
              <w:rPr>
                <w:sz w:val="20"/>
              </w:rPr>
              <w:t>23.10.2018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C41F9" w:rsidRPr="00766033" w:rsidRDefault="004C41F9">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C41F9" w:rsidRPr="00766033" w:rsidRDefault="004C41F9">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rFonts w:ascii="sans-serif" w:hAnsi="sans-serif" w:cs="sans-serif"/>
                <w:noProof/>
                <w:szCs w:val="24"/>
              </w:rPr>
            </w:pPr>
          </w:p>
        </w:tc>
      </w:tr>
      <w:tr w:rsidR="00766033" w:rsidRPr="0076603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b/>
                <w:bCs/>
                <w:noProof/>
                <w:sz w:val="20"/>
              </w:rPr>
            </w:pPr>
            <w:r w:rsidRPr="00766033">
              <w:rPr>
                <w:b/>
                <w:bCs/>
                <w:sz w:val="20"/>
              </w:rPr>
              <w:t>Exame em comissão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C41F9" w:rsidRPr="00766033" w:rsidRDefault="004C41F9">
            <w:pPr>
              <w:autoSpaceDE w:val="0"/>
              <w:autoSpaceDN w:val="0"/>
              <w:adjustRightInd w:val="0"/>
              <w:rPr>
                <w:noProof/>
                <w:sz w:val="20"/>
              </w:rPr>
            </w:pPr>
            <w:r w:rsidRPr="00766033">
              <w:rPr>
                <w:sz w:val="20"/>
              </w:rPr>
              <w:t>3.12.2018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C41F9" w:rsidRPr="00766033" w:rsidRDefault="004C41F9">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C41F9" w:rsidRPr="00766033" w:rsidRDefault="004C41F9">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rFonts w:ascii="sans-serif" w:hAnsi="sans-serif" w:cs="sans-serif"/>
                <w:noProof/>
                <w:szCs w:val="24"/>
              </w:rPr>
            </w:pPr>
          </w:p>
        </w:tc>
      </w:tr>
      <w:tr w:rsidR="00766033" w:rsidRPr="0076603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b/>
                <w:bCs/>
                <w:noProof/>
                <w:sz w:val="20"/>
              </w:rPr>
            </w:pPr>
            <w:r w:rsidRPr="00766033">
              <w:rPr>
                <w:b/>
                <w:bCs/>
                <w:sz w:val="20"/>
              </w:rPr>
              <w:t>Data de aprovação</w:t>
            </w:r>
          </w:p>
        </w:tc>
        <w:tc>
          <w:tcPr>
            <w:tcW w:w="1530" w:type="dxa"/>
            <w:tcBorders>
              <w:top w:val="nil"/>
              <w:left w:val="nil"/>
              <w:bottom w:val="single" w:sz="8" w:space="0" w:color="000000"/>
              <w:right w:val="nil"/>
            </w:tcBorders>
            <w:tcMar>
              <w:top w:w="79" w:type="dxa"/>
              <w:left w:w="79" w:type="dxa"/>
              <w:bottom w:w="79" w:type="dxa"/>
              <w:right w:w="79" w:type="dxa"/>
            </w:tcMar>
          </w:tcPr>
          <w:p w:rsidR="004C41F9" w:rsidRPr="00766033" w:rsidRDefault="004C41F9">
            <w:pPr>
              <w:autoSpaceDE w:val="0"/>
              <w:autoSpaceDN w:val="0"/>
              <w:adjustRightInd w:val="0"/>
              <w:rPr>
                <w:noProof/>
                <w:sz w:val="20"/>
              </w:rPr>
            </w:pPr>
            <w:r w:rsidRPr="00766033">
              <w:rPr>
                <w:sz w:val="20"/>
              </w:rPr>
              <w:t>10.1.2019</w:t>
            </w:r>
          </w:p>
        </w:tc>
        <w:tc>
          <w:tcPr>
            <w:tcW w:w="1474" w:type="dxa"/>
            <w:tcBorders>
              <w:top w:val="nil"/>
              <w:left w:val="nil"/>
              <w:bottom w:val="single" w:sz="8" w:space="0" w:color="000000"/>
              <w:right w:val="nil"/>
            </w:tcBorders>
            <w:tcMar>
              <w:top w:w="79" w:type="dxa"/>
              <w:left w:w="79" w:type="dxa"/>
              <w:bottom w:w="79" w:type="dxa"/>
              <w:right w:w="79" w:type="dxa"/>
            </w:tcMar>
          </w:tcPr>
          <w:p w:rsidR="004C41F9" w:rsidRPr="00766033" w:rsidRDefault="004C41F9">
            <w:pPr>
              <w:autoSpaceDE w:val="0"/>
              <w:autoSpaceDN w:val="0"/>
              <w:adjustRightInd w:val="0"/>
              <w:rPr>
                <w:rFonts w:ascii="sans-serif" w:hAnsi="sans-serif" w:cs="sans-serif"/>
                <w:noProo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C41F9" w:rsidRPr="00766033" w:rsidRDefault="004C41F9">
            <w:pPr>
              <w:autoSpaceDE w:val="0"/>
              <w:autoSpaceDN w:val="0"/>
              <w:adjustRightInd w:val="0"/>
              <w:rPr>
                <w:rFonts w:ascii="sans-serif" w:hAnsi="sans-serif" w:cs="sans-serif"/>
                <w:noProo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rFonts w:ascii="sans-serif" w:hAnsi="sans-serif" w:cs="sans-serif"/>
                <w:noProof/>
                <w:szCs w:val="24"/>
              </w:rPr>
            </w:pPr>
          </w:p>
        </w:tc>
      </w:tr>
      <w:tr w:rsidR="00766033" w:rsidRPr="0076603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b/>
                <w:bCs/>
                <w:noProof/>
                <w:sz w:val="20"/>
              </w:rPr>
            </w:pPr>
            <w:r w:rsidRPr="00766033">
              <w:rPr>
                <w:b/>
                <w:bCs/>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C41F9" w:rsidRPr="00766033" w:rsidRDefault="004C41F9">
            <w:pPr>
              <w:autoSpaceDE w:val="0"/>
              <w:autoSpaceDN w:val="0"/>
              <w:adjustRightInd w:val="0"/>
              <w:rPr>
                <w:noProof/>
                <w:sz w:val="20"/>
              </w:rPr>
            </w:pPr>
            <w:r w:rsidRPr="00766033">
              <w:rPr>
                <w:sz w:val="20"/>
              </w:rPr>
              <w:t>+:</w:t>
            </w:r>
          </w:p>
          <w:p w:rsidR="004C41F9" w:rsidRPr="00766033" w:rsidRDefault="004C41F9">
            <w:pPr>
              <w:autoSpaceDE w:val="0"/>
              <w:autoSpaceDN w:val="0"/>
              <w:adjustRightInd w:val="0"/>
              <w:rPr>
                <w:noProof/>
                <w:sz w:val="20"/>
              </w:rPr>
            </w:pPr>
            <w:r w:rsidRPr="00766033">
              <w:rPr>
                <w:sz w:val="20"/>
              </w:rPr>
              <w:t>–:</w:t>
            </w:r>
          </w:p>
          <w:p w:rsidR="004C41F9" w:rsidRPr="00766033" w:rsidRDefault="004C41F9">
            <w:pPr>
              <w:autoSpaceDE w:val="0"/>
              <w:autoSpaceDN w:val="0"/>
              <w:adjustRightInd w:val="0"/>
              <w:rPr>
                <w:noProof/>
                <w:sz w:val="20"/>
              </w:rPr>
            </w:pPr>
            <w:r w:rsidRPr="00766033">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noProof/>
                <w:sz w:val="20"/>
              </w:rPr>
            </w:pPr>
            <w:r w:rsidRPr="00766033">
              <w:rPr>
                <w:sz w:val="20"/>
              </w:rPr>
              <w:t>46</w:t>
            </w:r>
          </w:p>
          <w:p w:rsidR="004C41F9" w:rsidRPr="00766033" w:rsidRDefault="004C41F9">
            <w:pPr>
              <w:autoSpaceDE w:val="0"/>
              <w:autoSpaceDN w:val="0"/>
              <w:adjustRightInd w:val="0"/>
              <w:rPr>
                <w:noProof/>
                <w:sz w:val="20"/>
              </w:rPr>
            </w:pPr>
            <w:r w:rsidRPr="00766033">
              <w:rPr>
                <w:sz w:val="20"/>
              </w:rPr>
              <w:t>0</w:t>
            </w:r>
          </w:p>
          <w:p w:rsidR="004C41F9" w:rsidRPr="00766033" w:rsidRDefault="004C41F9">
            <w:pPr>
              <w:autoSpaceDE w:val="0"/>
              <w:autoSpaceDN w:val="0"/>
              <w:adjustRightInd w:val="0"/>
              <w:rPr>
                <w:noProof/>
                <w:sz w:val="20"/>
              </w:rPr>
            </w:pPr>
            <w:r w:rsidRPr="00766033">
              <w:rPr>
                <w:sz w:val="20"/>
              </w:rPr>
              <w:t>2</w:t>
            </w:r>
          </w:p>
        </w:tc>
      </w:tr>
      <w:tr w:rsidR="00766033" w:rsidRPr="0076603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b/>
                <w:bCs/>
                <w:noProof/>
                <w:sz w:val="20"/>
              </w:rPr>
            </w:pPr>
            <w:r w:rsidRPr="00766033">
              <w:rPr>
                <w:b/>
                <w:bCs/>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noProof/>
                <w:sz w:val="20"/>
              </w:rPr>
            </w:pPr>
            <w:r w:rsidRPr="00766033">
              <w:rPr>
                <w:sz w:val="20"/>
              </w:rPr>
              <w:t>Daniela Aiuto, Lucy Anderson, Inés Ayala Sender, Georges Bach, Izaskun Bilbao Barandica, Deirdre Clune, Michael Cramer, Luis de Grandes Pascual, Karima Delli, Isabella De Monte, Ismail Ertug, Jacqueline Foster, Tania González Peñas, Dieter-Lebrecht Koch, Merja Kyllönen, Innocenzo Leontini, Peter Lundgren, Marian-Jean Marinescu, Georg Mayer, Gesine Meissner, Cláudia Monteiro de Aguiar, Renaud Muselier, Markus Pieper, Tomasz Piotr Poręba, Gabriele Preuß, Christine Revault d’Allonnes Bonnefoy, Dominique Riquet, Massimiliano Salini, David-Maria Sassoli, Claudia Țapardel, Keith Taylor, Pavel Telička, Marita Ulvskog, Wim van de Camp, Marie-Pierre Vieu, Roberts Zīle, Kosma Złotowski</w:t>
            </w:r>
          </w:p>
        </w:tc>
      </w:tr>
      <w:tr w:rsidR="00766033" w:rsidRPr="0076603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b/>
                <w:bCs/>
                <w:noProof/>
                <w:sz w:val="20"/>
              </w:rPr>
            </w:pPr>
            <w:r w:rsidRPr="00766033">
              <w:rPr>
                <w:b/>
                <w:bCs/>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noProof/>
                <w:sz w:val="20"/>
              </w:rPr>
            </w:pPr>
            <w:r w:rsidRPr="00766033">
              <w:rPr>
                <w:sz w:val="20"/>
              </w:rPr>
              <w:t>Rosa D’Amato, Michael Gahler, Maria Grapini, Karoline Graswander-Hainz, Peter Kouroumbashev, Marek Plura, Evžen Tošenovský</w:t>
            </w:r>
          </w:p>
        </w:tc>
      </w:tr>
      <w:tr w:rsidR="00766033" w:rsidRPr="0076603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b/>
                <w:bCs/>
                <w:noProof/>
                <w:sz w:val="20"/>
              </w:rPr>
            </w:pPr>
            <w:r w:rsidRPr="00766033">
              <w:rPr>
                <w:b/>
                <w:bCs/>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noProof/>
                <w:sz w:val="20"/>
              </w:rPr>
            </w:pPr>
            <w:r w:rsidRPr="00766033">
              <w:rPr>
                <w:sz w:val="20"/>
              </w:rPr>
              <w:t>Pascal Durand, Andrey Novakov, Sergei Stanishev, Mylène Troszczynski</w:t>
            </w:r>
          </w:p>
        </w:tc>
      </w:tr>
      <w:tr w:rsidR="004C41F9" w:rsidRPr="0076603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b/>
                <w:bCs/>
                <w:noProof/>
                <w:sz w:val="20"/>
              </w:rPr>
            </w:pPr>
            <w:r w:rsidRPr="00766033">
              <w:rPr>
                <w:b/>
                <w:bCs/>
                <w:sz w:val="20"/>
              </w:rPr>
              <w:t>Data de entrega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C41F9" w:rsidRPr="00766033" w:rsidRDefault="004C41F9">
            <w:pPr>
              <w:autoSpaceDE w:val="0"/>
              <w:autoSpaceDN w:val="0"/>
              <w:adjustRightInd w:val="0"/>
              <w:rPr>
                <w:noProof/>
                <w:sz w:val="20"/>
              </w:rPr>
            </w:pPr>
            <w:r w:rsidRPr="00766033">
              <w:rPr>
                <w:sz w:val="20"/>
              </w:rPr>
              <w:t>10.1.2019</w:t>
            </w:r>
          </w:p>
        </w:tc>
      </w:tr>
    </w:tbl>
    <w:p w:rsidR="004C41F9" w:rsidRPr="00766033" w:rsidRDefault="004C41F9">
      <w:pPr>
        <w:autoSpaceDE w:val="0"/>
        <w:autoSpaceDN w:val="0"/>
        <w:adjustRightInd w:val="0"/>
        <w:rPr>
          <w:rFonts w:ascii="Arial" w:hAnsi="Arial" w:cs="Arial"/>
          <w:noProof/>
          <w:szCs w:val="24"/>
        </w:rPr>
      </w:pPr>
    </w:p>
    <w:bookmarkEnd w:id="3"/>
    <w:p w:rsidR="004C2158" w:rsidRPr="00766033" w:rsidRDefault="004C2158" w:rsidP="00766033">
      <w:pPr>
        <w:pStyle w:val="PageHeading"/>
        <w:rPr>
          <w:noProof/>
        </w:rPr>
      </w:pPr>
      <w:r w:rsidRPr="00766033">
        <w:br w:type="page"/>
      </w:r>
      <w:bookmarkStart w:id="5" w:name="_Toc534901417"/>
      <w:bookmarkStart w:id="6" w:name="RollCallPageRR"/>
      <w:bookmarkStart w:id="7" w:name="_Toc536172444"/>
      <w:r w:rsidR="00766033" w:rsidRPr="009C3EB8">
        <w:t>VOTAÇÃO NOMINAL FINAL</w:t>
      </w:r>
      <w:r w:rsidR="00766033">
        <w:t xml:space="preserve"> </w:t>
      </w:r>
      <w:r w:rsidR="00766033" w:rsidRPr="009C3EB8">
        <w:t>NA COMISSÃO COMPETENTE QUANTO À MATÉRIA DE FUNDO</w:t>
      </w:r>
      <w:bookmarkEnd w:id="5"/>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6033" w:rsidRPr="00766033" w:rsidTr="002506FE">
        <w:trPr>
          <w:cantSplit/>
        </w:trPr>
        <w:tc>
          <w:tcPr>
            <w:tcW w:w="1701" w:type="dxa"/>
            <w:shd w:val="pct10" w:color="000000" w:fill="FFFFFF"/>
            <w:vAlign w:val="center"/>
          </w:tcPr>
          <w:p w:rsidR="004C2158" w:rsidRPr="00766033" w:rsidRDefault="004C2158" w:rsidP="002506FE">
            <w:pPr>
              <w:spacing w:before="120" w:after="120"/>
              <w:jc w:val="center"/>
              <w:rPr>
                <w:b/>
                <w:noProof/>
                <w:sz w:val="20"/>
              </w:rPr>
            </w:pPr>
            <w:r w:rsidRPr="00766033">
              <w:rPr>
                <w:b/>
                <w:sz w:val="20"/>
              </w:rPr>
              <w:t>46</w:t>
            </w:r>
          </w:p>
        </w:tc>
        <w:tc>
          <w:tcPr>
            <w:tcW w:w="7371" w:type="dxa"/>
            <w:shd w:val="pct10" w:color="000000" w:fill="FFFFFF"/>
          </w:tcPr>
          <w:p w:rsidR="004C2158" w:rsidRPr="00766033" w:rsidRDefault="004C2158" w:rsidP="002506FE">
            <w:pPr>
              <w:spacing w:before="120" w:after="120"/>
              <w:jc w:val="center"/>
              <w:rPr>
                <w:rFonts w:ascii="Arial" w:hAnsi="Arial" w:cs="Arial"/>
                <w:b/>
                <w:noProof/>
                <w:sz w:val="28"/>
                <w:szCs w:val="28"/>
              </w:rPr>
            </w:pPr>
            <w:r w:rsidRPr="00766033">
              <w:rPr>
                <w:rFonts w:ascii="Arial" w:hAnsi="Arial"/>
                <w:b/>
                <w:sz w:val="28"/>
                <w:szCs w:val="28"/>
              </w:rPr>
              <w:t>+</w:t>
            </w:r>
          </w:p>
        </w:tc>
      </w:tr>
      <w:tr w:rsidR="00766033" w:rsidRPr="00766033" w:rsidTr="002506FE">
        <w:trPr>
          <w:cantSplit/>
        </w:trPr>
        <w:tc>
          <w:tcPr>
            <w:tcW w:w="1701" w:type="dxa"/>
            <w:shd w:val="clear" w:color="auto" w:fill="FFFFFF"/>
          </w:tcPr>
          <w:p w:rsidR="004C2158" w:rsidRPr="00766033" w:rsidRDefault="004C2158" w:rsidP="002506FE">
            <w:pPr>
              <w:spacing w:before="120" w:after="120"/>
              <w:rPr>
                <w:noProof/>
                <w:sz w:val="20"/>
              </w:rPr>
            </w:pPr>
            <w:r w:rsidRPr="00766033">
              <w:rPr>
                <w:sz w:val="20"/>
              </w:rPr>
              <w:t>ALDE</w:t>
            </w:r>
          </w:p>
        </w:tc>
        <w:tc>
          <w:tcPr>
            <w:tcW w:w="7371" w:type="dxa"/>
            <w:shd w:val="clear" w:color="auto" w:fill="FFFFFF"/>
          </w:tcPr>
          <w:p w:rsidR="004C2158" w:rsidRPr="00766033" w:rsidRDefault="004C2158" w:rsidP="002506FE">
            <w:pPr>
              <w:spacing w:before="120" w:after="120"/>
              <w:rPr>
                <w:noProof/>
                <w:sz w:val="20"/>
              </w:rPr>
            </w:pPr>
            <w:r w:rsidRPr="00766033">
              <w:rPr>
                <w:sz w:val="20"/>
              </w:rPr>
              <w:t>Izaskun Bilbao Barandica, Gesine Meissner, Dominique Riquet, Pavel Telička</w:t>
            </w:r>
          </w:p>
        </w:tc>
      </w:tr>
      <w:tr w:rsidR="00766033" w:rsidRPr="00766033" w:rsidTr="002506FE">
        <w:trPr>
          <w:cantSplit/>
        </w:trPr>
        <w:tc>
          <w:tcPr>
            <w:tcW w:w="1701" w:type="dxa"/>
            <w:shd w:val="clear" w:color="auto" w:fill="FFFFFF"/>
          </w:tcPr>
          <w:p w:rsidR="004C2158" w:rsidRPr="00766033" w:rsidRDefault="004C2158" w:rsidP="002506FE">
            <w:pPr>
              <w:spacing w:before="120" w:after="120"/>
              <w:rPr>
                <w:noProof/>
                <w:sz w:val="20"/>
              </w:rPr>
            </w:pPr>
            <w:r w:rsidRPr="00766033">
              <w:rPr>
                <w:sz w:val="20"/>
              </w:rPr>
              <w:t>ECR</w:t>
            </w:r>
          </w:p>
        </w:tc>
        <w:tc>
          <w:tcPr>
            <w:tcW w:w="7371" w:type="dxa"/>
            <w:shd w:val="clear" w:color="auto" w:fill="FFFFFF"/>
          </w:tcPr>
          <w:p w:rsidR="004C2158" w:rsidRPr="00766033" w:rsidRDefault="004C2158" w:rsidP="002506FE">
            <w:pPr>
              <w:spacing w:before="120" w:after="120"/>
              <w:rPr>
                <w:noProof/>
                <w:sz w:val="20"/>
              </w:rPr>
            </w:pPr>
            <w:r w:rsidRPr="00766033">
              <w:rPr>
                <w:sz w:val="20"/>
              </w:rPr>
              <w:t>Tomasz Piotr Poręba, Evžen Tošenovský, Roberts Zīle, Kosma Złotowski</w:t>
            </w:r>
          </w:p>
        </w:tc>
      </w:tr>
      <w:tr w:rsidR="00766033" w:rsidRPr="00766033" w:rsidTr="002506FE">
        <w:trPr>
          <w:cantSplit/>
        </w:trPr>
        <w:tc>
          <w:tcPr>
            <w:tcW w:w="1701" w:type="dxa"/>
            <w:shd w:val="clear" w:color="auto" w:fill="FFFFFF"/>
          </w:tcPr>
          <w:p w:rsidR="004C2158" w:rsidRPr="00766033" w:rsidRDefault="004C2158" w:rsidP="002506FE">
            <w:pPr>
              <w:spacing w:before="120" w:after="120"/>
              <w:rPr>
                <w:noProof/>
                <w:sz w:val="20"/>
              </w:rPr>
            </w:pPr>
            <w:r w:rsidRPr="00766033">
              <w:rPr>
                <w:sz w:val="20"/>
              </w:rPr>
              <w:t>EFDD</w:t>
            </w:r>
          </w:p>
        </w:tc>
        <w:tc>
          <w:tcPr>
            <w:tcW w:w="7371" w:type="dxa"/>
            <w:shd w:val="clear" w:color="auto" w:fill="FFFFFF"/>
          </w:tcPr>
          <w:p w:rsidR="004C2158" w:rsidRPr="00766033" w:rsidRDefault="004C2158" w:rsidP="002506FE">
            <w:pPr>
              <w:spacing w:before="120" w:after="120"/>
              <w:rPr>
                <w:noProof/>
                <w:sz w:val="20"/>
              </w:rPr>
            </w:pPr>
            <w:r w:rsidRPr="00766033">
              <w:rPr>
                <w:sz w:val="20"/>
              </w:rPr>
              <w:t>Daniela Aiuto, Rosa D'Amato</w:t>
            </w:r>
          </w:p>
        </w:tc>
      </w:tr>
      <w:tr w:rsidR="00766033" w:rsidRPr="00766033" w:rsidTr="002506FE">
        <w:trPr>
          <w:cantSplit/>
        </w:trPr>
        <w:tc>
          <w:tcPr>
            <w:tcW w:w="1701" w:type="dxa"/>
            <w:shd w:val="clear" w:color="auto" w:fill="FFFFFF"/>
          </w:tcPr>
          <w:p w:rsidR="004C2158" w:rsidRPr="00766033" w:rsidRDefault="004C2158" w:rsidP="002506FE">
            <w:pPr>
              <w:spacing w:before="120" w:after="120"/>
              <w:rPr>
                <w:noProof/>
                <w:sz w:val="20"/>
              </w:rPr>
            </w:pPr>
            <w:r w:rsidRPr="00766033">
              <w:rPr>
                <w:sz w:val="20"/>
              </w:rPr>
              <w:t>ENF</w:t>
            </w:r>
          </w:p>
        </w:tc>
        <w:tc>
          <w:tcPr>
            <w:tcW w:w="7371" w:type="dxa"/>
            <w:shd w:val="clear" w:color="auto" w:fill="FFFFFF"/>
          </w:tcPr>
          <w:p w:rsidR="004C2158" w:rsidRPr="00766033" w:rsidRDefault="004C2158" w:rsidP="002506FE">
            <w:pPr>
              <w:spacing w:before="120" w:after="120"/>
              <w:rPr>
                <w:noProof/>
                <w:sz w:val="20"/>
              </w:rPr>
            </w:pPr>
            <w:r w:rsidRPr="00766033">
              <w:rPr>
                <w:sz w:val="20"/>
              </w:rPr>
              <w:t>Georg Mayer, Mylène Troszczynski</w:t>
            </w:r>
          </w:p>
        </w:tc>
      </w:tr>
      <w:tr w:rsidR="00766033" w:rsidRPr="00766033" w:rsidTr="002506FE">
        <w:trPr>
          <w:cantSplit/>
        </w:trPr>
        <w:tc>
          <w:tcPr>
            <w:tcW w:w="1701" w:type="dxa"/>
            <w:shd w:val="clear" w:color="auto" w:fill="FFFFFF"/>
          </w:tcPr>
          <w:p w:rsidR="004C2158" w:rsidRPr="00766033" w:rsidRDefault="004C2158" w:rsidP="002506FE">
            <w:pPr>
              <w:spacing w:before="120" w:after="120"/>
              <w:rPr>
                <w:noProof/>
                <w:sz w:val="20"/>
              </w:rPr>
            </w:pPr>
            <w:r w:rsidRPr="00766033">
              <w:rPr>
                <w:sz w:val="20"/>
              </w:rPr>
              <w:t>GUE/NGL</w:t>
            </w:r>
          </w:p>
        </w:tc>
        <w:tc>
          <w:tcPr>
            <w:tcW w:w="7371" w:type="dxa"/>
            <w:shd w:val="clear" w:color="auto" w:fill="FFFFFF"/>
          </w:tcPr>
          <w:p w:rsidR="004C2158" w:rsidRPr="00766033" w:rsidRDefault="004C2158" w:rsidP="002506FE">
            <w:pPr>
              <w:spacing w:before="120" w:after="120"/>
              <w:rPr>
                <w:noProof/>
                <w:sz w:val="20"/>
                <w:lang w:val="es-ES"/>
              </w:rPr>
            </w:pPr>
            <w:r w:rsidRPr="00766033">
              <w:rPr>
                <w:sz w:val="20"/>
                <w:lang w:val="es-ES"/>
              </w:rPr>
              <w:t>Tania González Peñas, Merja Kyllönen, Marie-Pierre Vieu</w:t>
            </w:r>
          </w:p>
        </w:tc>
      </w:tr>
      <w:tr w:rsidR="00766033" w:rsidRPr="00766033" w:rsidTr="002506FE">
        <w:trPr>
          <w:cantSplit/>
        </w:trPr>
        <w:tc>
          <w:tcPr>
            <w:tcW w:w="1701" w:type="dxa"/>
            <w:shd w:val="clear" w:color="auto" w:fill="FFFFFF"/>
          </w:tcPr>
          <w:p w:rsidR="004C2158" w:rsidRPr="00766033" w:rsidRDefault="004C2158" w:rsidP="002506FE">
            <w:pPr>
              <w:spacing w:before="120" w:after="120"/>
              <w:rPr>
                <w:noProof/>
                <w:sz w:val="20"/>
              </w:rPr>
            </w:pPr>
            <w:r w:rsidRPr="00766033">
              <w:rPr>
                <w:sz w:val="20"/>
              </w:rPr>
              <w:t>PPE</w:t>
            </w:r>
          </w:p>
        </w:tc>
        <w:tc>
          <w:tcPr>
            <w:tcW w:w="7371" w:type="dxa"/>
            <w:shd w:val="clear" w:color="auto" w:fill="FFFFFF"/>
          </w:tcPr>
          <w:p w:rsidR="004C2158" w:rsidRPr="00766033" w:rsidRDefault="004C2158" w:rsidP="002506FE">
            <w:pPr>
              <w:spacing w:before="120" w:after="120"/>
              <w:rPr>
                <w:noProof/>
                <w:sz w:val="20"/>
              </w:rPr>
            </w:pPr>
            <w:r w:rsidRPr="00766033">
              <w:rPr>
                <w:sz w:val="20"/>
              </w:rPr>
              <w:t>Georges Bach, Wim van de Camp, Deirdre Clune, Andor Deli, Michael Gahler, Luis de Grandes Pascual, Dieter-Lebrecht Koch, Innocenzo Leontini, Marian-Jean Marinescu, Cláudia Monteiro de Aguiar, Renaud Muselier, Andrey Novakov, Markus Pieper, Marek Plura, Massimiliano Salini</w:t>
            </w:r>
          </w:p>
        </w:tc>
      </w:tr>
      <w:tr w:rsidR="00766033" w:rsidRPr="00766033" w:rsidTr="002506FE">
        <w:trPr>
          <w:cantSplit/>
        </w:trPr>
        <w:tc>
          <w:tcPr>
            <w:tcW w:w="1701" w:type="dxa"/>
            <w:shd w:val="clear" w:color="auto" w:fill="FFFFFF"/>
          </w:tcPr>
          <w:p w:rsidR="004C2158" w:rsidRPr="00766033" w:rsidRDefault="004C2158" w:rsidP="002506FE">
            <w:pPr>
              <w:spacing w:before="120" w:after="120"/>
              <w:rPr>
                <w:noProof/>
                <w:sz w:val="20"/>
              </w:rPr>
            </w:pPr>
            <w:r w:rsidRPr="00766033">
              <w:rPr>
                <w:sz w:val="20"/>
              </w:rPr>
              <w:t>S&amp;D</w:t>
            </w:r>
          </w:p>
        </w:tc>
        <w:tc>
          <w:tcPr>
            <w:tcW w:w="7371" w:type="dxa"/>
            <w:shd w:val="clear" w:color="auto" w:fill="FFFFFF"/>
          </w:tcPr>
          <w:p w:rsidR="004C2158" w:rsidRPr="00766033" w:rsidRDefault="004C2158" w:rsidP="002506FE">
            <w:pPr>
              <w:spacing w:before="120" w:after="120"/>
              <w:rPr>
                <w:noProof/>
                <w:sz w:val="20"/>
              </w:rPr>
            </w:pPr>
            <w:r w:rsidRPr="00766033">
              <w:rPr>
                <w:sz w:val="20"/>
              </w:rPr>
              <w:t>Lucy Anderson, Inés Ayala Sender, Isabella De Monte, Ismail Ertug, Maria Grapini, Karoline Graswander-Hainz, Peter Kouroumbashev, Gabriele Preuß, Christine Revault d'Allonnes Bonnefoy, David-Maria Sassoli, Sergei Stanishev, Claudia Țapardel, Marita Ulvskog</w:t>
            </w:r>
          </w:p>
        </w:tc>
      </w:tr>
      <w:tr w:rsidR="00766033" w:rsidRPr="00766033" w:rsidTr="002506FE">
        <w:trPr>
          <w:cantSplit/>
        </w:trPr>
        <w:tc>
          <w:tcPr>
            <w:tcW w:w="1701" w:type="dxa"/>
            <w:shd w:val="clear" w:color="auto" w:fill="FFFFFF"/>
          </w:tcPr>
          <w:p w:rsidR="004C2158" w:rsidRPr="00766033" w:rsidRDefault="004C2158" w:rsidP="002506FE">
            <w:pPr>
              <w:spacing w:before="120" w:after="120"/>
              <w:rPr>
                <w:noProof/>
                <w:sz w:val="20"/>
              </w:rPr>
            </w:pPr>
            <w:r w:rsidRPr="00766033">
              <w:rPr>
                <w:sz w:val="20"/>
              </w:rPr>
              <w:t>VERTS/ALE</w:t>
            </w:r>
          </w:p>
        </w:tc>
        <w:tc>
          <w:tcPr>
            <w:tcW w:w="7371" w:type="dxa"/>
            <w:shd w:val="clear" w:color="auto" w:fill="FFFFFF"/>
          </w:tcPr>
          <w:p w:rsidR="004C2158" w:rsidRPr="00766033" w:rsidRDefault="004C2158" w:rsidP="002506FE">
            <w:pPr>
              <w:spacing w:before="120" w:after="120"/>
              <w:rPr>
                <w:noProof/>
                <w:sz w:val="20"/>
                <w:lang w:val="en-GB"/>
              </w:rPr>
            </w:pPr>
            <w:r w:rsidRPr="00766033">
              <w:rPr>
                <w:sz w:val="20"/>
                <w:lang w:val="en-GB"/>
              </w:rPr>
              <w:t>Michael Cramer, Pascal Durand, Keith Taylor</w:t>
            </w:r>
          </w:p>
        </w:tc>
      </w:tr>
    </w:tbl>
    <w:p w:rsidR="004C2158" w:rsidRPr="00766033" w:rsidRDefault="004C2158" w:rsidP="004C2158">
      <w:pPr>
        <w:rPr>
          <w:noProof/>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6033" w:rsidRPr="00766033" w:rsidTr="002506FE">
        <w:trPr>
          <w:cantSplit/>
        </w:trPr>
        <w:tc>
          <w:tcPr>
            <w:tcW w:w="1701" w:type="dxa"/>
            <w:shd w:val="pct10" w:color="000000" w:fill="FFFFFF"/>
            <w:vAlign w:val="center"/>
          </w:tcPr>
          <w:p w:rsidR="004C2158" w:rsidRPr="00766033" w:rsidRDefault="004C2158" w:rsidP="002506FE">
            <w:pPr>
              <w:spacing w:before="120" w:after="120"/>
              <w:jc w:val="center"/>
              <w:rPr>
                <w:b/>
                <w:noProof/>
                <w:sz w:val="20"/>
              </w:rPr>
            </w:pPr>
            <w:r w:rsidRPr="00766033">
              <w:rPr>
                <w:b/>
                <w:sz w:val="20"/>
              </w:rPr>
              <w:t>0</w:t>
            </w:r>
          </w:p>
        </w:tc>
        <w:tc>
          <w:tcPr>
            <w:tcW w:w="7371" w:type="dxa"/>
            <w:shd w:val="pct10" w:color="000000" w:fill="FFFFFF"/>
          </w:tcPr>
          <w:p w:rsidR="004C2158" w:rsidRPr="00766033" w:rsidRDefault="004C2158" w:rsidP="002506FE">
            <w:pPr>
              <w:spacing w:before="120" w:after="120"/>
              <w:jc w:val="center"/>
              <w:rPr>
                <w:noProof/>
                <w:sz w:val="28"/>
                <w:szCs w:val="28"/>
              </w:rPr>
            </w:pPr>
            <w:r w:rsidRPr="00766033">
              <w:rPr>
                <w:rFonts w:ascii="Arial" w:hAnsi="Arial"/>
                <w:b/>
                <w:sz w:val="28"/>
                <w:szCs w:val="28"/>
              </w:rPr>
              <w:t>-</w:t>
            </w:r>
          </w:p>
        </w:tc>
      </w:tr>
      <w:tr w:rsidR="00766033" w:rsidRPr="00766033" w:rsidTr="002506FE">
        <w:trPr>
          <w:cantSplit/>
        </w:trPr>
        <w:tc>
          <w:tcPr>
            <w:tcW w:w="1701" w:type="dxa"/>
            <w:shd w:val="clear" w:color="auto" w:fill="FFFFFF"/>
          </w:tcPr>
          <w:p w:rsidR="004C2158" w:rsidRPr="00766033" w:rsidRDefault="004C2158" w:rsidP="002506FE">
            <w:pPr>
              <w:spacing w:before="120" w:after="120"/>
              <w:rPr>
                <w:noProof/>
                <w:sz w:val="20"/>
              </w:rPr>
            </w:pPr>
          </w:p>
        </w:tc>
        <w:tc>
          <w:tcPr>
            <w:tcW w:w="7371" w:type="dxa"/>
            <w:shd w:val="clear" w:color="auto" w:fill="FFFFFF"/>
          </w:tcPr>
          <w:p w:rsidR="004C2158" w:rsidRPr="00766033" w:rsidRDefault="004C2158" w:rsidP="002506FE">
            <w:pPr>
              <w:spacing w:before="120" w:after="120"/>
              <w:rPr>
                <w:noProof/>
                <w:sz w:val="20"/>
              </w:rPr>
            </w:pPr>
          </w:p>
        </w:tc>
      </w:tr>
    </w:tbl>
    <w:p w:rsidR="004C2158" w:rsidRPr="00766033" w:rsidRDefault="004C2158" w:rsidP="004C2158">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6033" w:rsidRPr="00766033" w:rsidTr="002506FE">
        <w:trPr>
          <w:cantSplit/>
        </w:trPr>
        <w:tc>
          <w:tcPr>
            <w:tcW w:w="1701" w:type="dxa"/>
            <w:shd w:val="pct10" w:color="000000" w:fill="FFFFFF"/>
            <w:vAlign w:val="center"/>
          </w:tcPr>
          <w:p w:rsidR="004C2158" w:rsidRPr="00766033" w:rsidRDefault="004C2158" w:rsidP="002506FE">
            <w:pPr>
              <w:spacing w:before="120" w:after="120"/>
              <w:jc w:val="center"/>
              <w:rPr>
                <w:b/>
                <w:noProof/>
                <w:sz w:val="20"/>
              </w:rPr>
            </w:pPr>
            <w:r w:rsidRPr="00766033">
              <w:rPr>
                <w:b/>
                <w:sz w:val="20"/>
              </w:rPr>
              <w:t>2</w:t>
            </w:r>
          </w:p>
        </w:tc>
        <w:tc>
          <w:tcPr>
            <w:tcW w:w="7371" w:type="dxa"/>
            <w:shd w:val="pct10" w:color="000000" w:fill="FFFFFF"/>
          </w:tcPr>
          <w:p w:rsidR="004C2158" w:rsidRPr="00766033" w:rsidRDefault="004C2158" w:rsidP="002506FE">
            <w:pPr>
              <w:spacing w:before="120" w:after="120"/>
              <w:jc w:val="center"/>
              <w:rPr>
                <w:noProof/>
                <w:sz w:val="28"/>
                <w:szCs w:val="28"/>
              </w:rPr>
            </w:pPr>
            <w:r w:rsidRPr="00766033">
              <w:rPr>
                <w:rFonts w:ascii="Arial" w:hAnsi="Arial"/>
                <w:b/>
                <w:sz w:val="28"/>
                <w:szCs w:val="28"/>
              </w:rPr>
              <w:t>0</w:t>
            </w:r>
          </w:p>
        </w:tc>
      </w:tr>
      <w:tr w:rsidR="00766033" w:rsidRPr="00766033" w:rsidTr="002506FE">
        <w:trPr>
          <w:cantSplit/>
        </w:trPr>
        <w:tc>
          <w:tcPr>
            <w:tcW w:w="1701" w:type="dxa"/>
            <w:shd w:val="clear" w:color="auto" w:fill="FFFFFF"/>
          </w:tcPr>
          <w:p w:rsidR="004C2158" w:rsidRPr="00766033" w:rsidRDefault="004C2158" w:rsidP="002506FE">
            <w:pPr>
              <w:spacing w:before="120" w:after="120"/>
              <w:rPr>
                <w:noProof/>
                <w:sz w:val="20"/>
              </w:rPr>
            </w:pPr>
            <w:r w:rsidRPr="00766033">
              <w:rPr>
                <w:sz w:val="20"/>
              </w:rPr>
              <w:t>ECR</w:t>
            </w:r>
          </w:p>
        </w:tc>
        <w:tc>
          <w:tcPr>
            <w:tcW w:w="7371" w:type="dxa"/>
            <w:shd w:val="clear" w:color="auto" w:fill="FFFFFF"/>
          </w:tcPr>
          <w:p w:rsidR="004C2158" w:rsidRPr="00766033" w:rsidRDefault="004C2158" w:rsidP="002506FE">
            <w:pPr>
              <w:spacing w:before="120" w:after="120"/>
              <w:rPr>
                <w:noProof/>
                <w:sz w:val="20"/>
              </w:rPr>
            </w:pPr>
            <w:r w:rsidRPr="00766033">
              <w:rPr>
                <w:sz w:val="20"/>
              </w:rPr>
              <w:t>Jacqueline Foster, Peter Lundgren</w:t>
            </w:r>
          </w:p>
        </w:tc>
      </w:tr>
    </w:tbl>
    <w:p w:rsidR="004C2158" w:rsidRPr="00766033" w:rsidRDefault="004C2158" w:rsidP="004C2158">
      <w:pPr>
        <w:pStyle w:val="Normal12"/>
        <w:rPr>
          <w:noProof/>
        </w:rPr>
      </w:pPr>
    </w:p>
    <w:p w:rsidR="004C2158" w:rsidRPr="00766033" w:rsidRDefault="004C2158" w:rsidP="004C2158">
      <w:pPr>
        <w:rPr>
          <w:noProof/>
        </w:rPr>
      </w:pPr>
      <w:r w:rsidRPr="00766033">
        <w:t>Key to symbols:</w:t>
      </w:r>
    </w:p>
    <w:p w:rsidR="004C2158" w:rsidRPr="00766033" w:rsidRDefault="004C2158" w:rsidP="004C2158">
      <w:pPr>
        <w:pStyle w:val="NormalTabs"/>
        <w:rPr>
          <w:noProof/>
        </w:rPr>
      </w:pPr>
      <w:r w:rsidRPr="00766033">
        <w:t>+</w:t>
      </w:r>
      <w:r w:rsidRPr="00766033">
        <w:tab/>
        <w:t>:</w:t>
      </w:r>
      <w:r w:rsidRPr="00766033">
        <w:tab/>
        <w:t>in favour</w:t>
      </w:r>
    </w:p>
    <w:p w:rsidR="004C2158" w:rsidRPr="00766033" w:rsidRDefault="004C2158" w:rsidP="004C2158">
      <w:pPr>
        <w:pStyle w:val="NormalTabs"/>
        <w:rPr>
          <w:noProof/>
        </w:rPr>
      </w:pPr>
      <w:r w:rsidRPr="00766033">
        <w:t>-</w:t>
      </w:r>
      <w:r w:rsidRPr="00766033">
        <w:tab/>
        <w:t>:</w:t>
      </w:r>
      <w:r w:rsidRPr="00766033">
        <w:tab/>
        <w:t>against</w:t>
      </w:r>
    </w:p>
    <w:p w:rsidR="004C2158" w:rsidRPr="00766033" w:rsidRDefault="004C2158" w:rsidP="004C2158">
      <w:pPr>
        <w:pStyle w:val="NormalTabs"/>
        <w:rPr>
          <w:noProof/>
        </w:rPr>
      </w:pPr>
      <w:r w:rsidRPr="00766033">
        <w:t>0</w:t>
      </w:r>
      <w:r w:rsidRPr="00766033">
        <w:tab/>
        <w:t>:</w:t>
      </w:r>
      <w:r w:rsidRPr="00766033">
        <w:tab/>
        <w:t>abstention</w:t>
      </w:r>
    </w:p>
    <w:p w:rsidR="004C2158" w:rsidRPr="00766033" w:rsidRDefault="004C2158" w:rsidP="004C2158">
      <w:pPr>
        <w:rPr>
          <w:noProof/>
        </w:rPr>
      </w:pPr>
    </w:p>
    <w:bookmarkEnd w:id="6"/>
    <w:p w:rsidR="00105176" w:rsidRPr="00766033" w:rsidRDefault="00105176" w:rsidP="004C41F9">
      <w:pPr>
        <w:rPr>
          <w:noProof/>
        </w:rPr>
      </w:pPr>
    </w:p>
    <w:sectPr w:rsidR="00105176" w:rsidRPr="00766033" w:rsidSect="005B394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7E3" w:rsidRPr="005B394C" w:rsidRDefault="005707E3">
      <w:r w:rsidRPr="005B394C">
        <w:separator/>
      </w:r>
    </w:p>
  </w:endnote>
  <w:endnote w:type="continuationSeparator" w:id="0">
    <w:p w:rsidR="005707E3" w:rsidRPr="005B394C" w:rsidRDefault="005707E3">
      <w:r w:rsidRPr="005B39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F9" w:rsidRDefault="004C41F9" w:rsidP="004C41F9">
    <w:pPr>
      <w:pStyle w:val="Footer"/>
    </w:pPr>
    <w:r>
      <w:t>PE</w:t>
    </w:r>
    <w:r w:rsidRPr="00766033">
      <w:rPr>
        <w:rStyle w:val="HideTWBExt"/>
      </w:rPr>
      <w:t>&lt;NoPE&gt;</w:t>
    </w:r>
    <w:r>
      <w:t>629.544</w:t>
    </w:r>
    <w:r w:rsidRPr="00766033">
      <w:rPr>
        <w:rStyle w:val="HideTWBExt"/>
      </w:rPr>
      <w:t>&lt;/NoPE&gt;&lt;Version&gt;</w:t>
    </w:r>
    <w:r>
      <w:t>v02-00</w:t>
    </w:r>
    <w:r w:rsidRPr="00766033">
      <w:rPr>
        <w:rStyle w:val="HideTWBExt"/>
      </w:rPr>
      <w:t>&lt;/Version&gt;</w:t>
    </w:r>
    <w:r>
      <w:tab/>
    </w:r>
    <w:r>
      <w:fldChar w:fldCharType="begin"/>
    </w:r>
    <w:r>
      <w:instrText xml:space="preserve"> PAGE  \* MERGEFORMAT </w:instrText>
    </w:r>
    <w:r>
      <w:fldChar w:fldCharType="separate"/>
    </w:r>
    <w:r w:rsidR="00143D55">
      <w:rPr>
        <w:noProof/>
      </w:rPr>
      <w:t>6</w:t>
    </w:r>
    <w:r>
      <w:fldChar w:fldCharType="end"/>
    </w:r>
    <w:r>
      <w:t>/</w:t>
    </w:r>
    <w:r w:rsidR="00324CA9">
      <w:rPr>
        <w:noProof/>
      </w:rPr>
      <w:fldChar w:fldCharType="begin"/>
    </w:r>
    <w:r w:rsidR="00324CA9">
      <w:rPr>
        <w:noProof/>
      </w:rPr>
      <w:instrText xml:space="preserve"> NUMPAGES  \* MERGEFORMAT </w:instrText>
    </w:r>
    <w:r w:rsidR="00324CA9">
      <w:rPr>
        <w:noProof/>
      </w:rPr>
      <w:fldChar w:fldCharType="separate"/>
    </w:r>
    <w:r w:rsidR="00143D55">
      <w:rPr>
        <w:noProof/>
      </w:rPr>
      <w:t>10</w:t>
    </w:r>
    <w:r w:rsidR="00324CA9">
      <w:rPr>
        <w:noProof/>
      </w:rPr>
      <w:fldChar w:fldCharType="end"/>
    </w:r>
    <w:r>
      <w:tab/>
    </w:r>
    <w:r w:rsidRPr="00766033">
      <w:rPr>
        <w:rStyle w:val="HideTWBExt"/>
      </w:rPr>
      <w:t>&lt;PathFdR&gt;</w:t>
    </w:r>
    <w:r>
      <w:t>RR\1173677PT.docx</w:t>
    </w:r>
    <w:r w:rsidRPr="00766033">
      <w:rPr>
        <w:rStyle w:val="HideTWBExt"/>
      </w:rPr>
      <w:t>&lt;/PathFdR&gt;</w:t>
    </w:r>
  </w:p>
  <w:p w:rsidR="00302A66" w:rsidRPr="005B394C" w:rsidRDefault="004C41F9" w:rsidP="004C41F9">
    <w:pPr>
      <w:pStyle w:val="Footer2"/>
    </w:pPr>
    <w:r>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F9" w:rsidRDefault="004C41F9" w:rsidP="004C41F9">
    <w:pPr>
      <w:pStyle w:val="Footer"/>
    </w:pPr>
    <w:r w:rsidRPr="00766033">
      <w:rPr>
        <w:rStyle w:val="HideTWBExt"/>
      </w:rPr>
      <w:t>&lt;PathFdR&gt;</w:t>
    </w:r>
    <w:r>
      <w:t>RR\1173677PT.docx</w:t>
    </w:r>
    <w:r w:rsidRPr="00766033">
      <w:rPr>
        <w:rStyle w:val="HideTWBExt"/>
      </w:rPr>
      <w:t>&lt;/PathFdR&gt;</w:t>
    </w:r>
    <w:r>
      <w:tab/>
    </w:r>
    <w:r>
      <w:fldChar w:fldCharType="begin"/>
    </w:r>
    <w:r>
      <w:instrText xml:space="preserve"> PAGE  \* MERGEFORMAT </w:instrText>
    </w:r>
    <w:r>
      <w:fldChar w:fldCharType="separate"/>
    </w:r>
    <w:r w:rsidR="00143D55">
      <w:rPr>
        <w:noProof/>
      </w:rPr>
      <w:t>5</w:t>
    </w:r>
    <w:r>
      <w:fldChar w:fldCharType="end"/>
    </w:r>
    <w:r>
      <w:t>/</w:t>
    </w:r>
    <w:r w:rsidR="00324CA9">
      <w:rPr>
        <w:noProof/>
      </w:rPr>
      <w:fldChar w:fldCharType="begin"/>
    </w:r>
    <w:r w:rsidR="00324CA9">
      <w:rPr>
        <w:noProof/>
      </w:rPr>
      <w:instrText xml:space="preserve"> NUMPAGES  \* MERGEFORMAT </w:instrText>
    </w:r>
    <w:r w:rsidR="00324CA9">
      <w:rPr>
        <w:noProof/>
      </w:rPr>
      <w:fldChar w:fldCharType="separate"/>
    </w:r>
    <w:r w:rsidR="00143D55">
      <w:rPr>
        <w:noProof/>
      </w:rPr>
      <w:t>10</w:t>
    </w:r>
    <w:r w:rsidR="00324CA9">
      <w:rPr>
        <w:noProof/>
      </w:rPr>
      <w:fldChar w:fldCharType="end"/>
    </w:r>
    <w:r>
      <w:tab/>
      <w:t>PE</w:t>
    </w:r>
    <w:r w:rsidRPr="00766033">
      <w:rPr>
        <w:rStyle w:val="HideTWBExt"/>
      </w:rPr>
      <w:t>&lt;NoPE&gt;</w:t>
    </w:r>
    <w:r>
      <w:t>629.544</w:t>
    </w:r>
    <w:r w:rsidRPr="00766033">
      <w:rPr>
        <w:rStyle w:val="HideTWBExt"/>
      </w:rPr>
      <w:t>&lt;/NoPE&gt;&lt;Version&gt;</w:t>
    </w:r>
    <w:r>
      <w:t>v02-00</w:t>
    </w:r>
    <w:r w:rsidRPr="00766033">
      <w:rPr>
        <w:rStyle w:val="HideTWBExt"/>
      </w:rPr>
      <w:t>&lt;/Version&gt;</w:t>
    </w:r>
  </w:p>
  <w:p w:rsidR="00302A66" w:rsidRPr="005B394C" w:rsidRDefault="004C41F9" w:rsidP="004C41F9">
    <w:pPr>
      <w:pStyle w:val="Footer2"/>
    </w:pPr>
    <w:r>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F9" w:rsidRDefault="004C41F9" w:rsidP="004C41F9">
    <w:pPr>
      <w:pStyle w:val="Footer"/>
    </w:pPr>
    <w:r w:rsidRPr="00766033">
      <w:rPr>
        <w:rStyle w:val="HideTWBExt"/>
      </w:rPr>
      <w:t>&lt;PathFdR&gt;</w:t>
    </w:r>
    <w:r>
      <w:t>RR\1173677PT.docx</w:t>
    </w:r>
    <w:r w:rsidRPr="00766033">
      <w:rPr>
        <w:rStyle w:val="HideTWBExt"/>
      </w:rPr>
      <w:t>&lt;/PathFdR&gt;</w:t>
    </w:r>
    <w:r>
      <w:tab/>
    </w:r>
    <w:r>
      <w:tab/>
      <w:t>PE</w:t>
    </w:r>
    <w:r w:rsidRPr="00766033">
      <w:rPr>
        <w:rStyle w:val="HideTWBExt"/>
      </w:rPr>
      <w:t>&lt;NoPE&gt;</w:t>
    </w:r>
    <w:r>
      <w:t>629.544</w:t>
    </w:r>
    <w:r w:rsidRPr="00766033">
      <w:rPr>
        <w:rStyle w:val="HideTWBExt"/>
      </w:rPr>
      <w:t>&lt;/NoPE&gt;&lt;Version&gt;</w:t>
    </w:r>
    <w:r>
      <w:t>v02-00</w:t>
    </w:r>
    <w:r w:rsidRPr="00766033">
      <w:rPr>
        <w:rStyle w:val="HideTWBExt"/>
      </w:rPr>
      <w:t>&lt;/Version&gt;</w:t>
    </w:r>
  </w:p>
  <w:p w:rsidR="00302A66" w:rsidRPr="005B394C" w:rsidRDefault="004C41F9" w:rsidP="004C41F9">
    <w:pPr>
      <w:pStyle w:val="Footer2"/>
      <w:tabs>
        <w:tab w:val="center" w:pos="4535"/>
      </w:tabs>
    </w:pPr>
    <w:r>
      <w:t>PT</w:t>
    </w:r>
    <w:r>
      <w:tab/>
    </w:r>
    <w:r w:rsidRPr="004C41F9">
      <w:rPr>
        <w:b w:val="0"/>
        <w:i/>
        <w:color w:val="C0C0C0"/>
        <w:sz w:val="22"/>
      </w:rPr>
      <w:t>Unida na diversidade</w:t>
    </w:r>
    <w:r>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7E3" w:rsidRPr="005B394C" w:rsidRDefault="005707E3">
      <w:r w:rsidRPr="005B394C">
        <w:separator/>
      </w:r>
    </w:p>
  </w:footnote>
  <w:footnote w:type="continuationSeparator" w:id="0">
    <w:p w:rsidR="005707E3" w:rsidRPr="005B394C" w:rsidRDefault="005707E3">
      <w:r w:rsidRPr="005B394C">
        <w:continuationSeparator/>
      </w:r>
    </w:p>
  </w:footnote>
  <w:footnote w:id="1">
    <w:p w:rsidR="001966A6" w:rsidRPr="005B394C" w:rsidRDefault="001966A6">
      <w:pPr>
        <w:pStyle w:val="FootnoteText"/>
      </w:pPr>
      <w:r>
        <w:rPr>
          <w:rStyle w:val="FootnoteReference"/>
        </w:rPr>
        <w:footnoteRef/>
      </w:r>
      <w:r>
        <w:t xml:space="preserve"> Ainda não publicado no Jornal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33" w:rsidRDefault="00766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33" w:rsidRDefault="00766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33" w:rsidRDefault="00766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E2EBE"/>
    <w:multiLevelType w:val="hybridMultilevel"/>
    <w:tmpl w:val="F93C1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45DC0"/>
    <w:multiLevelType w:val="hybridMultilevel"/>
    <w:tmpl w:val="FA6A6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TRAN"/>
    <w:docVar w:name="CopyToNetwork" w:val="-1"/>
    <w:docVar w:name="DOCMNU" w:val=" 1"/>
    <w:docVar w:name="INSTITUTIONSMNU" w:val=" 1"/>
    <w:docVar w:name="JURI1MNU" w:val=" 2"/>
    <w:docVar w:name="JURI2MNU" w:val=" 2"/>
    <w:docVar w:name="LastEditedSection" w:val=" 1"/>
    <w:docVar w:name="PARLIAMENTSMNU" w:val=" 2"/>
    <w:docVar w:name="strDocTypeID" w:val="CONV"/>
    <w:docVar w:name="strSubDir" w:val="1173"/>
    <w:docVar w:name="TXTLANGUE" w:val="PT"/>
    <w:docVar w:name="TXTLANGUEMIN" w:val="pt"/>
    <w:docVar w:name="TXTNRC" w:val="0384/2018"/>
    <w:docVar w:name="TXTNRCOD" w:val="2018/0298"/>
    <w:docVar w:name="TXTNRCOM" w:val="(2018)0567"/>
    <w:docVar w:name="TXTNRPE" w:val="629.544"/>
    <w:docVar w:name="TXTPEorAP" w:val="PE"/>
    <w:docVar w:name="TXTROUTE" w:val="RR\1173677PT.docx"/>
    <w:docVar w:name="TXTTITLE" w:val=" amending Regulation (EC) No 391/2009 with regard to the withdrawal of the United Kingdom from the Union "/>
    <w:docVar w:name="TXTVERSION" w:val="02-00"/>
  </w:docVars>
  <w:rsids>
    <w:rsidRoot w:val="005707E3"/>
    <w:rsid w:val="00053B97"/>
    <w:rsid w:val="00104AEE"/>
    <w:rsid w:val="00105176"/>
    <w:rsid w:val="0012027F"/>
    <w:rsid w:val="00124352"/>
    <w:rsid w:val="00143D55"/>
    <w:rsid w:val="001907B9"/>
    <w:rsid w:val="001966A6"/>
    <w:rsid w:val="001A06D8"/>
    <w:rsid w:val="00241728"/>
    <w:rsid w:val="00260FAA"/>
    <w:rsid w:val="002B272A"/>
    <w:rsid w:val="002F1B46"/>
    <w:rsid w:val="00302A66"/>
    <w:rsid w:val="0031764E"/>
    <w:rsid w:val="00324CA9"/>
    <w:rsid w:val="003A53CE"/>
    <w:rsid w:val="003C4554"/>
    <w:rsid w:val="0041661E"/>
    <w:rsid w:val="004210B2"/>
    <w:rsid w:val="00466840"/>
    <w:rsid w:val="00494060"/>
    <w:rsid w:val="004C2158"/>
    <w:rsid w:val="004C41F9"/>
    <w:rsid w:val="004D581D"/>
    <w:rsid w:val="004D7B3B"/>
    <w:rsid w:val="00527B71"/>
    <w:rsid w:val="00543B7B"/>
    <w:rsid w:val="005657CF"/>
    <w:rsid w:val="005663F7"/>
    <w:rsid w:val="005707E3"/>
    <w:rsid w:val="005B394C"/>
    <w:rsid w:val="006642C3"/>
    <w:rsid w:val="006E381A"/>
    <w:rsid w:val="00766033"/>
    <w:rsid w:val="007D611D"/>
    <w:rsid w:val="008459FE"/>
    <w:rsid w:val="008663F8"/>
    <w:rsid w:val="008B26BF"/>
    <w:rsid w:val="008E22DF"/>
    <w:rsid w:val="00972ED6"/>
    <w:rsid w:val="009A0DC4"/>
    <w:rsid w:val="00A43E6A"/>
    <w:rsid w:val="00A62C81"/>
    <w:rsid w:val="00A7568C"/>
    <w:rsid w:val="00AD26AD"/>
    <w:rsid w:val="00AE4E74"/>
    <w:rsid w:val="00AF7573"/>
    <w:rsid w:val="00B37926"/>
    <w:rsid w:val="00B52B6C"/>
    <w:rsid w:val="00BB0589"/>
    <w:rsid w:val="00BD28D4"/>
    <w:rsid w:val="00BE4EC7"/>
    <w:rsid w:val="00C54859"/>
    <w:rsid w:val="00C71A3C"/>
    <w:rsid w:val="00C82EBC"/>
    <w:rsid w:val="00DC3DED"/>
    <w:rsid w:val="00E064E6"/>
    <w:rsid w:val="00E86308"/>
    <w:rsid w:val="00ED0609"/>
    <w:rsid w:val="00ED0821"/>
    <w:rsid w:val="00F0202A"/>
    <w:rsid w:val="00F86B7E"/>
    <w:rsid w:val="00FB5C5D"/>
    <w:rsid w:val="00FC479A"/>
    <w:rsid w:val="00FE3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F48F58"/>
  <w15:chartTrackingRefBased/>
  <w15:docId w15:val="{29B63F58-B476-4F02-B4B9-74985D55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053B9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663F7"/>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053B97"/>
    <w:pPr>
      <w:spacing w:after="80"/>
    </w:pPr>
    <w:rPr>
      <w:rFonts w:ascii="Arial" w:hAnsi="Arial" w:cs="Arial"/>
      <w:sz w:val="20"/>
      <w:szCs w:val="22"/>
    </w:rPr>
  </w:style>
  <w:style w:type="paragraph" w:customStyle="1" w:styleId="EPLogo">
    <w:name w:val="EPLogo"/>
    <w:basedOn w:val="Normal"/>
    <w:qFormat/>
    <w:rsid w:val="00053B97"/>
    <w:pPr>
      <w:jc w:val="right"/>
    </w:pPr>
  </w:style>
  <w:style w:type="paragraph" w:customStyle="1" w:styleId="Lgendesigne">
    <w:name w:val="Légende signe"/>
    <w:basedOn w:val="Normal"/>
    <w:rsid w:val="001966A6"/>
    <w:pPr>
      <w:tabs>
        <w:tab w:val="right" w:pos="454"/>
        <w:tab w:val="left" w:pos="737"/>
      </w:tabs>
      <w:ind w:left="737" w:hanging="737"/>
    </w:pPr>
    <w:rPr>
      <w:snapToGrid w:val="0"/>
      <w:sz w:val="18"/>
      <w:lang w:eastAsia="en-US"/>
    </w:rPr>
  </w:style>
  <w:style w:type="paragraph" w:customStyle="1" w:styleId="Lgendetitre">
    <w:name w:val="Légende titre"/>
    <w:basedOn w:val="Normal"/>
    <w:rsid w:val="001966A6"/>
    <w:pPr>
      <w:spacing w:before="240" w:after="240"/>
    </w:pPr>
    <w:rPr>
      <w:b/>
      <w:i/>
      <w:snapToGrid w:val="0"/>
      <w:lang w:eastAsia="en-US"/>
    </w:rPr>
  </w:style>
  <w:style w:type="paragraph" w:customStyle="1" w:styleId="Lgendestandard">
    <w:name w:val="Légende standard"/>
    <w:basedOn w:val="Lgendesigne"/>
    <w:rsid w:val="001966A6"/>
    <w:pPr>
      <w:ind w:left="0" w:firstLine="0"/>
    </w:pPr>
  </w:style>
  <w:style w:type="paragraph" w:styleId="FootnoteText">
    <w:name w:val="footnote text"/>
    <w:basedOn w:val="Normal"/>
    <w:link w:val="FootnoteTextChar"/>
    <w:rsid w:val="001966A6"/>
    <w:rPr>
      <w:sz w:val="20"/>
    </w:rPr>
  </w:style>
  <w:style w:type="character" w:customStyle="1" w:styleId="FootnoteTextChar">
    <w:name w:val="Footnote Text Char"/>
    <w:basedOn w:val="DefaultParagraphFont"/>
    <w:link w:val="FootnoteText"/>
    <w:rsid w:val="001966A6"/>
  </w:style>
  <w:style w:type="character" w:styleId="FootnoteReference">
    <w:name w:val="footnote reference"/>
    <w:basedOn w:val="DefaultParagraphFont"/>
    <w:rsid w:val="001966A6"/>
    <w:rPr>
      <w:vertAlign w:val="superscript"/>
    </w:rPr>
  </w:style>
  <w:style w:type="paragraph" w:customStyle="1" w:styleId="Normal6">
    <w:name w:val="Normal6"/>
    <w:basedOn w:val="Normal"/>
    <w:link w:val="Normal6Char"/>
    <w:rsid w:val="004C2158"/>
    <w:pPr>
      <w:spacing w:after="120"/>
    </w:pPr>
  </w:style>
  <w:style w:type="character" w:customStyle="1" w:styleId="Normal6Char">
    <w:name w:val="Normal6 Char"/>
    <w:link w:val="Normal6"/>
    <w:rsid w:val="004C2158"/>
    <w:rPr>
      <w:sz w:val="24"/>
      <w:lang w:val="pt-PT"/>
    </w:rPr>
  </w:style>
  <w:style w:type="character" w:customStyle="1" w:styleId="NormalBoldChar">
    <w:name w:val="NormalBold Char"/>
    <w:link w:val="NormalBold"/>
    <w:rsid w:val="004C2158"/>
    <w:rPr>
      <w:b/>
      <w:sz w:val="24"/>
    </w:rPr>
  </w:style>
  <w:style w:type="paragraph" w:customStyle="1" w:styleId="ColumnHeading">
    <w:name w:val="ColumnHeading"/>
    <w:basedOn w:val="Normal"/>
    <w:rsid w:val="004C2158"/>
    <w:pPr>
      <w:spacing w:after="240"/>
      <w:jc w:val="center"/>
    </w:pPr>
    <w:rPr>
      <w:i/>
    </w:rPr>
  </w:style>
  <w:style w:type="paragraph" w:customStyle="1" w:styleId="AMNumberTabs">
    <w:name w:val="AMNumberTabs"/>
    <w:basedOn w:val="Normal"/>
    <w:rsid w:val="004C215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2158"/>
    <w:pPr>
      <w:spacing w:before="240"/>
    </w:pPr>
    <w:rPr>
      <w:b/>
    </w:rPr>
  </w:style>
  <w:style w:type="paragraph" w:customStyle="1" w:styleId="NormalTabs">
    <w:name w:val="NormalTabs"/>
    <w:basedOn w:val="Normal"/>
    <w:qFormat/>
    <w:rsid w:val="004C2158"/>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23716">
      <w:bodyDiv w:val="1"/>
      <w:marLeft w:val="0"/>
      <w:marRight w:val="0"/>
      <w:marTop w:val="0"/>
      <w:marBottom w:val="0"/>
      <w:divBdr>
        <w:top w:val="none" w:sz="0" w:space="0" w:color="auto"/>
        <w:left w:val="none" w:sz="0" w:space="0" w:color="auto"/>
        <w:bottom w:val="none" w:sz="0" w:space="0" w:color="auto"/>
        <w:right w:val="none" w:sz="0" w:space="0" w:color="auto"/>
      </w:divBdr>
    </w:div>
    <w:div w:id="19540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ED5B-F02C-40DA-8743-ADFF47CA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1932</Words>
  <Characters>10456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PR_COD_1app</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PR_COD_1app</dc:title>
  <dc:subject/>
  <dc:creator>MIAZGA Ewelina Amelia</dc:creator>
  <cp:keywords/>
  <dc:description/>
  <cp:lastModifiedBy>CARDOSO Isabel</cp:lastModifiedBy>
  <cp:revision>2</cp:revision>
  <cp:lastPrinted>2018-11-09T11:00:00Z</cp:lastPrinted>
  <dcterms:created xsi:type="dcterms:W3CDTF">2019-01-25T08:38:00Z</dcterms:created>
  <dcterms:modified xsi:type="dcterms:W3CDTF">2019-01-25T08:38:00Z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1173677</vt:lpwstr>
  </property>
  <property fmtid="{D5CDD505-2E9C-101B-9397-08002B2CF9AE}" pid="5" name="&lt;Type&gt;">
    <vt:lpwstr>RR</vt:lpwstr>
  </property>
  <property fmtid="{D5CDD505-2E9C-101B-9397-08002B2CF9AE}" pid="6" name="&lt;ModelCod&gt;">
    <vt:lpwstr>\\eiciBRUpr1\pdocep$\DocEP\DOCS\General\PR\PR_Leg\COD\COD_1st\PR_COD_1app.dot(30/06/2017 06:37:06)</vt:lpwstr>
  </property>
  <property fmtid="{D5CDD505-2E9C-101B-9397-08002B2CF9AE}" pid="7" name="&lt;ModelTra&gt;">
    <vt:lpwstr>\\eiciBRUpr1\pdocep$\DocEP\TRANSFIL\EN\PR_COD_1app.EN(30/06/2017 06:41:15)</vt:lpwstr>
  </property>
  <property fmtid="{D5CDD505-2E9C-101B-9397-08002B2CF9AE}" pid="8" name="&lt;Model&gt;">
    <vt:lpwstr>PR_COD_1app</vt:lpwstr>
  </property>
  <property fmtid="{D5CDD505-2E9C-101B-9397-08002B2CF9AE}" pid="9" name="FooterPath">
    <vt:lpwstr>RR\1173677PT.docx</vt:lpwstr>
  </property>
  <property fmtid="{D5CDD505-2E9C-101B-9397-08002B2CF9AE}" pid="10" name="PE number">
    <vt:lpwstr>629.544</vt:lpwstr>
  </property>
  <property fmtid="{D5CDD505-2E9C-101B-9397-08002B2CF9AE}" pid="11" name="SubscribeElise">
    <vt:lpwstr/>
  </property>
  <property fmtid="{D5CDD505-2E9C-101B-9397-08002B2CF9AE}" pid="12" name="SendToEpades">
    <vt:lpwstr>OK - 2018/11/09 13:25</vt:lpwstr>
  </property>
  <property fmtid="{D5CDD505-2E9C-101B-9397-08002B2CF9AE}" pid="13" name="Bookout">
    <vt:lpwstr>OK - 2019/01/25 09:38</vt:lpwstr>
  </property>
  <property fmtid="{D5CDD505-2E9C-101B-9397-08002B2CF9AE}" pid="14" name="SDLStudio">
    <vt:lpwstr/>
  </property>
  <property fmtid="{D5CDD505-2E9C-101B-9397-08002B2CF9AE}" pid="15" name="&lt;Extension&gt;">
    <vt:lpwstr>PT</vt:lpwstr>
  </property>
</Properties>
</file>