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pPr>
      <w:r w:rsidRPr="00B30E13">
        <w:rPr>
          <w:rStyle w:val="HideTWBExt"/>
        </w:rPr>
        <w:t>&lt;Date&gt;</w:t>
      </w:r>
      <w:r>
        <w:t>9.4.2019</w:t>
      </w:r>
      <w:r w:rsidRPr="00B30E13">
        <w:rPr>
          <w:rStyle w:val="HideTWBExt"/>
        </w:rPr>
        <w:t>&lt;/Date&gt;</w:t>
      </w:r>
      <w:r>
        <w:tab/>
        <w:t xml:space="preserve">A8-0040/ </w:t>
      </w:r>
      <w:r w:rsidRPr="00B30E13">
        <w:rPr>
          <w:rStyle w:val="HideTWBExt"/>
        </w:rPr>
        <w:t>&lt;NumOfAM&gt;</w:t>
      </w:r>
      <w:r>
        <w:t>001-068</w:t>
      </w:r>
      <w:bookmarkStart w:id="0" w:name="_GoBack"/>
      <w:bookmarkEnd w:id="0"/>
      <w:r w:rsidRPr="00B30E13">
        <w:rPr>
          <w:rStyle w:val="HideTWBExt"/>
        </w:rPr>
        <w:t>&lt;/NumOfAM&gt;</w:t>
      </w:r>
    </w:p>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pPr>
      <w:r>
        <w:rPr>
          <w:b/>
        </w:rPr>
        <w:t xml:space="preserve">ÄNDERUNGSANTRÄGE 001-068 </w:t>
      </w:r>
    </w:p>
    <w:p w:rsidR="00B30E13" w:rsidRDefault="00B30E13" w:rsidP="00B30E13">
      <w:pPr>
        <w:tabs>
          <w:tab w:val="right" w:pos="9184"/>
        </w:tabs>
      </w:pPr>
      <w:r>
        <w:t xml:space="preserve">vom </w:t>
      </w:r>
      <w:r w:rsidRPr="00B30E13">
        <w:rPr>
          <w:rStyle w:val="HideTWBExt"/>
        </w:rPr>
        <w:t>&lt;Committee&gt;</w:t>
      </w:r>
      <w:r>
        <w:t>Ausschuss für bürgerliche Freiheiten, Justiz und Inneres</w:t>
      </w:r>
      <w:r w:rsidRPr="00B30E13">
        <w:rPr>
          <w:rStyle w:val="HideTWBExt"/>
        </w:rPr>
        <w:t>&lt;/Committee&gt;</w:t>
      </w:r>
    </w:p>
    <w:p w:rsidR="00B30E13" w:rsidRDefault="00B30E13" w:rsidP="00B30E13">
      <w:pPr>
        <w:tabs>
          <w:tab w:val="right" w:pos="9184"/>
        </w:tabs>
      </w:pPr>
    </w:p>
    <w:p w:rsidR="00B30E13" w:rsidRDefault="00B30E13" w:rsidP="00B30E13">
      <w:pPr>
        <w:tabs>
          <w:tab w:val="right" w:pos="9184"/>
        </w:tabs>
        <w:rPr>
          <w:b/>
        </w:rPr>
      </w:pPr>
      <w:r>
        <w:rPr>
          <w:b/>
        </w:rPr>
        <w:t>Bericht</w:t>
      </w:r>
    </w:p>
    <w:p w:rsidR="00B30E13" w:rsidRDefault="00B30E13" w:rsidP="00B30E13">
      <w:pPr>
        <w:tabs>
          <w:tab w:val="right" w:pos="9184"/>
        </w:tabs>
        <w:rPr>
          <w:b/>
        </w:rPr>
      </w:pPr>
      <w:r w:rsidRPr="00B30E13">
        <w:rPr>
          <w:rStyle w:val="HideTWBExt"/>
        </w:rPr>
        <w:t>&lt;Chairman&gt;</w:t>
      </w:r>
      <w:r>
        <w:rPr>
          <w:b/>
        </w:rPr>
        <w:t>Cécile Kashetu Kyenge</w:t>
      </w:r>
      <w:r w:rsidRPr="00B30E13">
        <w:rPr>
          <w:rStyle w:val="HideTWBExt"/>
        </w:rPr>
        <w:t>&lt;/Chairman&gt;</w:t>
      </w:r>
      <w:r>
        <w:rPr>
          <w:b/>
        </w:rPr>
        <w:tab/>
      </w:r>
      <w:r w:rsidRPr="00B30E13">
        <w:rPr>
          <w:rStyle w:val="HideTWBExt"/>
        </w:rPr>
        <w:t>&lt;A5Nr&gt;</w:t>
      </w:r>
      <w:r>
        <w:rPr>
          <w:b/>
        </w:rPr>
        <w:t>A8-0040/2019</w:t>
      </w:r>
      <w:r w:rsidRPr="00B30E13">
        <w:rPr>
          <w:rStyle w:val="HideTWBExt"/>
        </w:rPr>
        <w:t>&lt;/A5Nr&gt;</w:t>
      </w:r>
    </w:p>
    <w:p w:rsidR="00B30E13" w:rsidRDefault="00B30E13" w:rsidP="00B30E13">
      <w:pPr>
        <w:tabs>
          <w:tab w:val="right" w:pos="9184"/>
        </w:tabs>
      </w:pPr>
      <w:r w:rsidRPr="00B30E13">
        <w:rPr>
          <w:rStyle w:val="HideTWBExt"/>
        </w:rPr>
        <w:t>&lt;ShortTitel&gt;</w:t>
      </w:r>
      <w:r>
        <w:t>Europäisches Netz von Verbindungsbeamten für Einwanderungsfragen</w:t>
      </w:r>
      <w:r w:rsidRPr="00B30E13">
        <w:rPr>
          <w:rStyle w:val="HideTWBExt"/>
        </w:rPr>
        <w:t>&lt;/ShortTitel&gt;</w:t>
      </w:r>
    </w:p>
    <w:p w:rsidR="00B30E13" w:rsidRDefault="00B30E13" w:rsidP="00B30E13">
      <w:pPr>
        <w:tabs>
          <w:tab w:val="right" w:pos="9184"/>
        </w:tabs>
      </w:pPr>
    </w:p>
    <w:p w:rsidR="00B30E13" w:rsidRDefault="00B30E13" w:rsidP="00B30E13">
      <w:pPr>
        <w:tabs>
          <w:tab w:val="right" w:pos="9184"/>
        </w:tabs>
      </w:pPr>
      <w:r w:rsidRPr="00B30E13">
        <w:rPr>
          <w:rStyle w:val="HideTWBExt"/>
        </w:rPr>
        <w:t>&lt;Procedure&gt;</w:t>
      </w:r>
      <w:r>
        <w:t>Vorschlag für eine Verordnung</w:t>
      </w:r>
      <w:r w:rsidRPr="00B30E13">
        <w:rPr>
          <w:rStyle w:val="HideTWBExt"/>
        </w:rPr>
        <w:t>&lt;/Procedure&gt;</w:t>
      </w:r>
      <w:r>
        <w:t xml:space="preserve"> </w:t>
      </w:r>
      <w:r w:rsidRPr="00B30E13">
        <w:rPr>
          <w:rStyle w:val="HideTWBExt"/>
        </w:rPr>
        <w:t>&lt;ReferenceNo&gt;</w:t>
      </w:r>
      <w:r>
        <w:t>(COM(2018)0303 – C8-0184/2018 – 2018/0153(COD))</w:t>
      </w:r>
      <w:r w:rsidRPr="00B30E13">
        <w:rPr>
          <w:rStyle w:val="HideTWBExt"/>
        </w:rPr>
        <w:t>&lt;/ReferenceNo&gt;</w:t>
      </w:r>
    </w:p>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pPr>
    </w:p>
    <w:p w:rsidR="00B30E13" w:rsidRDefault="00B30E13" w:rsidP="00B30E13">
      <w:pPr>
        <w:tabs>
          <w:tab w:val="right" w:pos="9184"/>
        </w:tabs>
        <w:jc w:val="center"/>
      </w:pPr>
      <w:r>
        <w:t>_____________________________________________________________</w:t>
      </w:r>
    </w:p>
    <w:p w:rsidR="00B30E13" w:rsidRDefault="00B30E13" w:rsidP="00B30E13">
      <w:pPr>
        <w:tabs>
          <w:tab w:val="right" w:pos="9184"/>
        </w:tabs>
        <w:jc w:val="center"/>
      </w:pPr>
    </w:p>
    <w:p w:rsidR="006B5375" w:rsidRPr="00B30E13" w:rsidRDefault="006B5375" w:rsidP="00B30E13">
      <w:pPr>
        <w:pStyle w:val="AMNumberTabs"/>
      </w:pPr>
      <w:r w:rsidRPr="00B30E13">
        <w:t>Änderungsantrag</w:t>
      </w:r>
      <w:r w:rsidRPr="00B30E13">
        <w:tab/>
      </w:r>
      <w:r w:rsidRPr="00B30E13">
        <w:tab/>
        <w:t>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rPr>
                <w:b/>
                <w:i/>
              </w:rPr>
              <w:t>(2)</w:t>
            </w:r>
            <w:r w:rsidRPr="00B30E13">
              <w:tab/>
              <w:t xml:space="preserve">Der drastische Anstieg gemischter Migrationsströme in den Jahren 2015 und 2016 hat die Migrations-, Asyl- und Grenzmanagementsysteme unter Druck gesetzt und </w:t>
            </w:r>
            <w:r w:rsidRPr="00B30E13">
              <w:rPr>
                <w:b/>
                <w:i/>
              </w:rPr>
              <w:t>deutlich gemacht</w:t>
            </w:r>
            <w:r w:rsidRPr="00B30E13">
              <w:t>, dass es einer koordinierten und wirksamen Reaktion auf europäischer Ebene bedarf.</w:t>
            </w:r>
          </w:p>
        </w:tc>
        <w:tc>
          <w:tcPr>
            <w:tcW w:w="4876" w:type="dxa"/>
            <w:hideMark/>
          </w:tcPr>
          <w:p w:rsidR="006B5375" w:rsidRPr="00B30E13" w:rsidRDefault="006B5375" w:rsidP="0045552B">
            <w:pPr>
              <w:pStyle w:val="Normal6"/>
              <w:rPr>
                <w:szCs w:val="24"/>
              </w:rPr>
            </w:pPr>
            <w:r w:rsidRPr="00B30E13">
              <w:rPr>
                <w:b/>
                <w:i/>
              </w:rPr>
              <w:t>(3)</w:t>
            </w:r>
            <w:r w:rsidRPr="00B30E13">
              <w:tab/>
              <w:t xml:space="preserve">Der drastische Anstieg gemischter Migrationsströme in den Jahren 2015 und 2016 hat </w:t>
            </w:r>
            <w:r w:rsidRPr="00B30E13">
              <w:rPr>
                <w:b/>
                <w:i/>
              </w:rPr>
              <w:t xml:space="preserve">insbesondere in den Mitgliedstaaten an den Außengrenzen der Union </w:t>
            </w:r>
            <w:r w:rsidRPr="00B30E13">
              <w:t>die Migrations-, Asyl- und Grenzmanagementsysteme unter Druck gesetzt</w:t>
            </w:r>
            <w:r w:rsidRPr="00B30E13">
              <w:rPr>
                <w:b/>
                <w:i/>
              </w:rPr>
              <w:t>, die strukturellen Grenzen der Politik der Union im Bereich der Migration aufgedeckt</w:t>
            </w:r>
            <w:r w:rsidRPr="00B30E13">
              <w:t xml:space="preserve"> und </w:t>
            </w:r>
            <w:r w:rsidRPr="00B30E13">
              <w:rPr>
                <w:b/>
                <w:i/>
              </w:rPr>
              <w:t>gezeigt</w:t>
            </w:r>
            <w:r w:rsidRPr="00B30E13">
              <w:t>, dass es einer koordinierten und wirksamen Reaktion auf europäischer Ebene bedarf.</w:t>
            </w:r>
          </w:p>
        </w:tc>
      </w:tr>
    </w:tbl>
    <w:p w:rsidR="006B5375" w:rsidRPr="00B30E13" w:rsidRDefault="006B5375" w:rsidP="006B5375">
      <w:pPr>
        <w:pStyle w:val="CrossRef"/>
      </w:pPr>
      <w:r w:rsidRPr="00B30E13">
        <w:t>(Erwägungsgrund 2 wird zu Erwägungsgrund 3)</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rPr>
                <w:b/>
                <w:i/>
              </w:rPr>
              <w:t>(3)</w:t>
            </w:r>
            <w:r w:rsidRPr="00B30E13">
              <w:tab/>
            </w:r>
            <w:r w:rsidRPr="00B30E13">
              <w:rPr>
                <w:b/>
                <w:i/>
              </w:rPr>
              <w:t>Ziel der</w:t>
            </w:r>
            <w:r w:rsidRPr="00B30E13">
              <w:t xml:space="preserve"> Politik der Union im Bereich </w:t>
            </w:r>
            <w:r w:rsidRPr="00B30E13">
              <w:rPr>
                <w:b/>
                <w:i/>
              </w:rPr>
              <w:t xml:space="preserve">der </w:t>
            </w:r>
            <w:r w:rsidRPr="00B30E13">
              <w:t xml:space="preserve">Migration </w:t>
            </w:r>
            <w:r w:rsidRPr="00B30E13">
              <w:rPr>
                <w:b/>
                <w:i/>
              </w:rPr>
              <w:t>ist es, im Rahmen eines</w:t>
            </w:r>
            <w:r w:rsidRPr="00B30E13">
              <w:t xml:space="preserve"> umfassenden </w:t>
            </w:r>
            <w:r w:rsidRPr="00B30E13">
              <w:rPr>
                <w:b/>
                <w:i/>
              </w:rPr>
              <w:t>Ansatzes</w:t>
            </w:r>
            <w:r w:rsidRPr="00B30E13">
              <w:t xml:space="preserve">, der </w:t>
            </w:r>
            <w:r w:rsidRPr="00B30E13">
              <w:rPr>
                <w:b/>
                <w:i/>
              </w:rPr>
              <w:t>alle Aspekte der Einwanderung abdeckt, sichere und organisierte Wege anzubieten, um irregulären</w:t>
            </w:r>
            <w:r w:rsidRPr="00B30E13">
              <w:t xml:space="preserve"> und </w:t>
            </w:r>
            <w:r w:rsidRPr="00B30E13">
              <w:rPr>
                <w:b/>
                <w:i/>
              </w:rPr>
              <w:t>unkontrollierten Migrationsströme ein Ende zu setzen</w:t>
            </w:r>
            <w:r w:rsidRPr="00B30E13">
              <w:t>.</w:t>
            </w:r>
          </w:p>
        </w:tc>
        <w:tc>
          <w:tcPr>
            <w:tcW w:w="4876" w:type="dxa"/>
            <w:hideMark/>
          </w:tcPr>
          <w:p w:rsidR="006B5375" w:rsidRPr="00B30E13" w:rsidRDefault="006B5375" w:rsidP="0045552B">
            <w:pPr>
              <w:pStyle w:val="Normal6"/>
              <w:rPr>
                <w:szCs w:val="24"/>
              </w:rPr>
            </w:pPr>
            <w:r w:rsidRPr="00B30E13">
              <w:rPr>
                <w:b/>
                <w:i/>
              </w:rPr>
              <w:t>(2)</w:t>
            </w:r>
            <w:r w:rsidRPr="00B30E13">
              <w:tab/>
            </w:r>
            <w:r w:rsidRPr="00B30E13">
              <w:rPr>
                <w:b/>
                <w:i/>
              </w:rPr>
              <w:t>Die</w:t>
            </w:r>
            <w:r w:rsidRPr="00B30E13">
              <w:t xml:space="preserve"> Politik der Union im Bereich Migration </w:t>
            </w:r>
            <w:r w:rsidRPr="00B30E13">
              <w:rPr>
                <w:b/>
                <w:i/>
              </w:rPr>
              <w:t>und Asyl sollte auf einem</w:t>
            </w:r>
            <w:r w:rsidRPr="00B30E13">
              <w:t xml:space="preserve"> umfassenden </w:t>
            </w:r>
            <w:r w:rsidRPr="00B30E13">
              <w:rPr>
                <w:b/>
                <w:i/>
              </w:rPr>
              <w:t>globalen Ansatz basieren</w:t>
            </w:r>
            <w:r w:rsidRPr="00B30E13">
              <w:t xml:space="preserve">, der </w:t>
            </w:r>
            <w:r w:rsidRPr="00B30E13">
              <w:rPr>
                <w:b/>
                <w:i/>
              </w:rPr>
              <w:t>auf den in Artikel 80 AEUV genannten Grundsätzen der Solidarität und der Verantwortlichkeit beruht</w:t>
            </w:r>
            <w:r w:rsidRPr="00B30E13">
              <w:t xml:space="preserve"> und </w:t>
            </w:r>
            <w:r w:rsidRPr="00B30E13">
              <w:rPr>
                <w:b/>
                <w:i/>
              </w:rPr>
              <w:t>alle Aspekte der Einwanderung abdeckt</w:t>
            </w:r>
            <w:r w:rsidRPr="00B30E13">
              <w:t>.</w:t>
            </w:r>
          </w:p>
        </w:tc>
      </w:tr>
    </w:tbl>
    <w:p w:rsidR="006B5375" w:rsidRPr="00B30E13" w:rsidRDefault="006B5375" w:rsidP="006B5375">
      <w:pPr>
        <w:pStyle w:val="CrossRef"/>
      </w:pPr>
      <w:r w:rsidRPr="00B30E13">
        <w:t>(Erwägungsgrund 3 wird zu Erwägungsgrund 2)</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(4)</w:t>
            </w:r>
            <w:r w:rsidRPr="00B30E13">
              <w:tab/>
              <w:t xml:space="preserve">Die Achtung </w:t>
            </w:r>
            <w:r w:rsidRPr="00B30E13">
              <w:rPr>
                <w:b/>
                <w:i/>
              </w:rPr>
              <w:t>der Menschenrechtsnormen bleibt</w:t>
            </w:r>
            <w:r w:rsidRPr="00B30E13">
              <w:t xml:space="preserve"> ein Grundprinzip der </w:t>
            </w:r>
            <w:r w:rsidRPr="00B30E13">
              <w:rPr>
                <w:b/>
                <w:i/>
              </w:rPr>
              <w:t>Union bei der Bewältigung</w:t>
            </w:r>
            <w:r w:rsidRPr="00B30E13">
              <w:t xml:space="preserve"> der </w:t>
            </w:r>
            <w:r w:rsidRPr="00B30E13">
              <w:rPr>
                <w:b/>
                <w:i/>
              </w:rPr>
              <w:t>Migrationskrise</w:t>
            </w:r>
            <w:r w:rsidRPr="00B30E13">
              <w:t>. Die Union ist entschlossen, die Menschenrechte und Grundfreiheiten aller Migranten ungeachtet ihres Migrantenstatus in vollem Einklang mit dem Völkerrecht zu schützen.</w:t>
            </w:r>
          </w:p>
        </w:tc>
        <w:tc>
          <w:tcPr>
            <w:tcW w:w="4876" w:type="dxa"/>
            <w:hideMark/>
          </w:tcPr>
          <w:p w:rsidR="006B5375" w:rsidRPr="00B30E13" w:rsidRDefault="006B5375" w:rsidP="0045552B">
            <w:pPr>
              <w:pStyle w:val="Normal6"/>
              <w:rPr>
                <w:szCs w:val="24"/>
              </w:rPr>
            </w:pPr>
            <w:r w:rsidRPr="00B30E13">
              <w:t>(4)</w:t>
            </w:r>
            <w:r w:rsidRPr="00B30E13">
              <w:tab/>
              <w:t xml:space="preserve">Die Achtung </w:t>
            </w:r>
            <w:r w:rsidRPr="00B30E13">
              <w:rPr>
                <w:b/>
                <w:i/>
              </w:rPr>
              <w:t>von Menschenrechtsstandards ist</w:t>
            </w:r>
            <w:r w:rsidRPr="00B30E13">
              <w:t xml:space="preserve"> ein Grundprinzip der </w:t>
            </w:r>
            <w:r w:rsidRPr="00B30E13">
              <w:rPr>
                <w:b/>
                <w:i/>
              </w:rPr>
              <w:t>Migrationspolitik</w:t>
            </w:r>
            <w:r w:rsidRPr="00B30E13">
              <w:t xml:space="preserve"> der </w:t>
            </w:r>
            <w:r w:rsidRPr="00B30E13">
              <w:rPr>
                <w:b/>
                <w:i/>
              </w:rPr>
              <w:t>Union</w:t>
            </w:r>
            <w:r w:rsidRPr="00B30E13">
              <w:t>. Die Union ist entschlossen, die Menschenrechte und Grundfreiheiten aller Migranten ungeachtet ihres Migrantenstatus in vollem Einklang mit dem Völkerrecht zu schützen.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4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(4a)</w:t>
            </w:r>
            <w:r w:rsidRPr="00B30E13">
              <w:rPr>
                <w:b/>
                <w:i/>
              </w:rPr>
              <w:tab/>
              <w:t>Diese Verordnung sollte die Grundrechte achten und mit den in der Allgemeinen Menschenrechtserklärung, in Artikel 2 und 6 des Vertrags über die Europäische Union (EUV) und in der Charta der Grundrechte der Europäischen Union (die „Charta“) anerkannten Grundsätzen in Einklang stehen.</w:t>
            </w:r>
          </w:p>
        </w:tc>
      </w:tr>
    </w:tbl>
    <w:p w:rsidR="006B5375" w:rsidRPr="00B30E13" w:rsidRDefault="006B5375" w:rsidP="006B5375"/>
    <w:p w:rsidR="006B5375" w:rsidRPr="00B30E13" w:rsidRDefault="006B5375" w:rsidP="006B5375">
      <w:pPr>
        <w:pStyle w:val="AMNumberTabs"/>
        <w:keepNext/>
      </w:pPr>
      <w:r w:rsidRPr="00B30E13">
        <w:lastRenderedPageBreak/>
        <w:t>Änderungsantrag</w:t>
      </w:r>
      <w:r w:rsidRPr="00B30E13">
        <w:tab/>
      </w:r>
      <w:r w:rsidRPr="00B30E13">
        <w:tab/>
        <w:t>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4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(4b)</w:t>
            </w:r>
            <w:r w:rsidRPr="00B30E13">
              <w:rPr>
                <w:b/>
                <w:i/>
              </w:rPr>
              <w:tab/>
              <w:t>Bei der Wahrnehmung ihrer Aufgaben sollten die Verbindungsbeamten für Migrationsfragen die Menschenwürde uneingeschränkt achten, insbesondere in Fällen, die schutzbedürftige Personen betreffen, wie etwa Minderjährige, Frauen, ältere Menschen und Personen, die Opfer von Menschenhandel wurden. Die in Wahrnehmung ihrer Aufgaben getroffenen Maßnahmen sollten in einem angemessenen Verhältnis zu den verfolgten Zielen stehen.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(5)</w:t>
            </w:r>
            <w:r w:rsidRPr="00B30E13">
              <w:tab/>
              <w:t xml:space="preserve">Um die wirksame Umsetzung der Einwanderungspolitik der Union in allen ihren Aspekten zu gewährleisten, sollten ein kohärenter Dialog und eine durchgängige Zusammenarbeit </w:t>
            </w:r>
            <w:r w:rsidRPr="00B30E13">
              <w:rPr>
                <w:b/>
                <w:i/>
              </w:rPr>
              <w:t xml:space="preserve">mit wichtigen Herkunfts- und Transitdrittländern von Migranten und Asylbewerbern </w:t>
            </w:r>
            <w:r w:rsidRPr="00B30E13">
              <w:t xml:space="preserve">angestrebt werden. Diese Zusammenarbeit sollte eine bessere Steuerung der Einwanderung – auch im Hinblick auf </w:t>
            </w:r>
            <w:r w:rsidRPr="00B30E13">
              <w:rPr>
                <w:b/>
                <w:i/>
              </w:rPr>
              <w:t>Ausreise</w:t>
            </w:r>
            <w:r w:rsidRPr="00B30E13">
              <w:t xml:space="preserve"> und </w:t>
            </w:r>
            <w:r w:rsidRPr="00B30E13">
              <w:rPr>
                <w:b/>
                <w:i/>
              </w:rPr>
              <w:t>Rückkehr – ermöglichen, zur Stabilisierung der Migrationsströme beitragen,</w:t>
            </w:r>
            <w:r w:rsidRPr="00B30E13">
              <w:t xml:space="preserve"> die Kapazitäten zur Sammlung und zum Austausch von Informationen unterstützen, die </w:t>
            </w:r>
            <w:r w:rsidRPr="00B30E13">
              <w:rPr>
                <w:b/>
                <w:i/>
              </w:rPr>
              <w:t>Verhütung</w:t>
            </w:r>
            <w:r w:rsidRPr="00B30E13">
              <w:t xml:space="preserve"> und Bekämpfung von </w:t>
            </w:r>
            <w:r w:rsidRPr="00B30E13">
              <w:rPr>
                <w:b/>
                <w:i/>
              </w:rPr>
              <w:t>Schleusertum</w:t>
            </w:r>
            <w:r w:rsidRPr="00B30E13">
              <w:t xml:space="preserve"> und Menschenhandel fördern und </w:t>
            </w:r>
            <w:r w:rsidRPr="00B30E13">
              <w:rPr>
                <w:b/>
                <w:i/>
              </w:rPr>
              <w:t>den</w:t>
            </w:r>
            <w:r w:rsidRPr="00B30E13">
              <w:t xml:space="preserve"> Zugang </w:t>
            </w:r>
            <w:r w:rsidRPr="00B30E13">
              <w:rPr>
                <w:b/>
                <w:i/>
              </w:rPr>
              <w:t>von Asylbewerbern zu</w:t>
            </w:r>
            <w:r w:rsidRPr="00B30E13">
              <w:t xml:space="preserve"> Schutz sicherstellen.</w:t>
            </w:r>
          </w:p>
        </w:tc>
        <w:tc>
          <w:tcPr>
            <w:tcW w:w="4876" w:type="dxa"/>
            <w:hideMark/>
          </w:tcPr>
          <w:p w:rsidR="006B5375" w:rsidRPr="00B30E13" w:rsidRDefault="006B5375" w:rsidP="0045552B">
            <w:pPr>
              <w:pStyle w:val="Normal6"/>
              <w:rPr>
                <w:szCs w:val="24"/>
              </w:rPr>
            </w:pPr>
            <w:r w:rsidRPr="00B30E13">
              <w:t>(5)</w:t>
            </w:r>
            <w:r w:rsidRPr="00B30E13">
              <w:tab/>
              <w:t xml:space="preserve">Um die wirksame Umsetzung der Einwanderungspolitik der Union in allen ihren Aspekten zu gewährleisten, sollten ein kohärenter Dialog und eine durchgängige Zusammenarbeit angestrebt werden. Diese Zusammenarbeit sollte eine bessere Steuerung der Einwanderung </w:t>
            </w:r>
            <w:r w:rsidRPr="00B30E13">
              <w:rPr>
                <w:b/>
                <w:i/>
              </w:rPr>
              <w:t xml:space="preserve">ermöglichen </w:t>
            </w:r>
            <w:r w:rsidRPr="00B30E13">
              <w:t xml:space="preserve">– auch im Hinblick auf </w:t>
            </w:r>
            <w:r w:rsidRPr="00B30E13">
              <w:rPr>
                <w:b/>
                <w:i/>
              </w:rPr>
              <w:t>Ausreisen, Mobilitätspartnerschaften, die Ersetzung der irregulären Migration durch sichere und legale Wege</w:t>
            </w:r>
            <w:r w:rsidRPr="00B30E13">
              <w:t xml:space="preserve"> und </w:t>
            </w:r>
            <w:r w:rsidRPr="00B30E13">
              <w:rPr>
                <w:b/>
                <w:i/>
              </w:rPr>
              <w:t>eine menschenwürdige und wirksame Rückführung und Wiedereingliederung; ferner sollte sie</w:t>
            </w:r>
            <w:r w:rsidRPr="00B30E13">
              <w:t xml:space="preserve"> die Kapazitäten zur Sammlung und zum Austausch von Informationen unterstützen, die </w:t>
            </w:r>
            <w:r w:rsidRPr="00B30E13">
              <w:rPr>
                <w:b/>
                <w:i/>
              </w:rPr>
              <w:t>Prävention</w:t>
            </w:r>
            <w:r w:rsidRPr="00B30E13">
              <w:t xml:space="preserve"> und Bekämpfung von </w:t>
            </w:r>
            <w:r w:rsidRPr="00B30E13">
              <w:rPr>
                <w:b/>
                <w:i/>
              </w:rPr>
              <w:t>Schleuserkriminalität</w:t>
            </w:r>
            <w:r w:rsidRPr="00B30E13">
              <w:t xml:space="preserve"> und Menschenhandel fördern und </w:t>
            </w:r>
            <w:r w:rsidRPr="00B30E13">
              <w:rPr>
                <w:b/>
                <w:i/>
              </w:rPr>
              <w:t>einen</w:t>
            </w:r>
            <w:r w:rsidRPr="00B30E13">
              <w:t xml:space="preserve"> Zugang </w:t>
            </w:r>
            <w:r w:rsidRPr="00B30E13">
              <w:rPr>
                <w:b/>
                <w:i/>
              </w:rPr>
              <w:t>zu internationalem</w:t>
            </w:r>
            <w:r w:rsidRPr="00B30E13">
              <w:t xml:space="preserve"> Schutz </w:t>
            </w:r>
            <w:r w:rsidRPr="00B30E13">
              <w:lastRenderedPageBreak/>
              <w:t>sicherstellen.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(6)</w:t>
            </w:r>
            <w:r w:rsidRPr="00B30E13">
              <w:tab/>
              <w:t xml:space="preserve">Angesichts des steigenden Bedarfs an </w:t>
            </w:r>
            <w:r w:rsidRPr="00B30E13">
              <w:rPr>
                <w:b/>
                <w:i/>
              </w:rPr>
              <w:t xml:space="preserve">Erkenntnissen und </w:t>
            </w:r>
            <w:r w:rsidRPr="00B30E13">
              <w:t xml:space="preserve">Informationen zur Förderung </w:t>
            </w:r>
            <w:r w:rsidRPr="00B30E13">
              <w:rPr>
                <w:b/>
                <w:i/>
              </w:rPr>
              <w:t>faktengestützter</w:t>
            </w:r>
            <w:r w:rsidRPr="00B30E13">
              <w:t xml:space="preserve"> politischer Entscheidungen und operativer Maßnahmen müssen die Verbindungsbeamten für Einwanderungsfragen sicherstellen, dass ihre Einblicke und ihr Wissen uneingeschränkt zur Erstellung eines umfassenden Lagebildes in Drittländern beitragen.</w:t>
            </w:r>
          </w:p>
        </w:tc>
        <w:tc>
          <w:tcPr>
            <w:tcW w:w="4876" w:type="dxa"/>
            <w:hideMark/>
          </w:tcPr>
          <w:p w:rsidR="006B5375" w:rsidRPr="00B30E13" w:rsidRDefault="006B5375" w:rsidP="0045552B">
            <w:pPr>
              <w:pStyle w:val="Normal6"/>
              <w:rPr>
                <w:szCs w:val="24"/>
              </w:rPr>
            </w:pPr>
            <w:r w:rsidRPr="00B30E13">
              <w:t>(6)</w:t>
            </w:r>
            <w:r w:rsidRPr="00B30E13">
              <w:tab/>
              <w:t xml:space="preserve">Angesichts des steigenden Bedarfs an Informationen zur Förderung </w:t>
            </w:r>
            <w:r w:rsidRPr="00B30E13">
              <w:rPr>
                <w:b/>
                <w:i/>
              </w:rPr>
              <w:t>evidenzbasierter</w:t>
            </w:r>
            <w:r w:rsidRPr="00B30E13">
              <w:t xml:space="preserve"> politischer Entscheidungen und operativer Maßnahmen müssen die Verbindungsbeamten für Einwanderungsfragen sicherstellen, dass ihre Einblicke und ihr Wissen uneingeschränkt zur Erstellung eines umfassenden Lagebildes in Drittländern beitragen.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(7)</w:t>
            </w:r>
            <w:r w:rsidRPr="00B30E13">
              <w:tab/>
              <w:t xml:space="preserve">Die Entsendung der derzeitigen europäischen Verbindungsbeamten für Migration in die wichtigsten Herkunfts- und </w:t>
            </w:r>
            <w:r w:rsidRPr="00B30E13">
              <w:rPr>
                <w:b/>
                <w:i/>
              </w:rPr>
              <w:t>Transitländer</w:t>
            </w:r>
            <w:r w:rsidRPr="00B30E13">
              <w:t xml:space="preserve">, wie sie in den Schlussfolgerungen der Sondersitzung der Staats- und Regierungschefs am 23. April 2015 gefordert wurde, war ein erster Schritt, um in Migrationsfragen verstärkt mit Drittländern zusammenzuarbeiten und die Koordinierung mit den von den Mitgliedstaaten entsandten Verbindungsbeamten für Einwanderungsfragen zu verbessern. Aufbauend auf dieser Erfahrung sind längerfristige Entsendungen von Verbindungsbeamten für Einwanderungsfragen seitens der Kommission in Drittländer vorzusehen, um die Entwicklung und Durchführung von </w:t>
            </w:r>
            <w:r w:rsidRPr="00B30E13">
              <w:lastRenderedPageBreak/>
              <w:t>Unionsmaßnahmen im Bereich Migration zu unterstützen und ihre Wirkung zu maximieren.</w:t>
            </w:r>
          </w:p>
        </w:tc>
        <w:tc>
          <w:tcPr>
            <w:tcW w:w="4876" w:type="dxa"/>
            <w:hideMark/>
          </w:tcPr>
          <w:p w:rsidR="006B5375" w:rsidRPr="00B30E13" w:rsidRDefault="006B5375" w:rsidP="0045552B">
            <w:pPr>
              <w:pStyle w:val="Normal6"/>
              <w:rPr>
                <w:szCs w:val="24"/>
              </w:rPr>
            </w:pPr>
            <w:r w:rsidRPr="00B30E13">
              <w:lastRenderedPageBreak/>
              <w:t>(7)</w:t>
            </w:r>
            <w:r w:rsidRPr="00B30E13">
              <w:tab/>
              <w:t xml:space="preserve">Die Entsendung der derzeitigen europäischen Verbindungsbeamten für Migration in die wichtigsten Herkunfts- und </w:t>
            </w:r>
            <w:r w:rsidRPr="00B30E13">
              <w:rPr>
                <w:b/>
                <w:i/>
              </w:rPr>
              <w:t>Transitdrittländer</w:t>
            </w:r>
            <w:r w:rsidRPr="00B30E13">
              <w:t xml:space="preserve">, wie sie in den Schlussfolgerungen der Sondersitzung der Staats- und Regierungschefs am 23. April 2015 gefordert wurde, war ein erster Schritt, um in Migrationsfragen verstärkt mit Drittländern zusammenzuarbeiten und die Koordinierung mit den von den Mitgliedstaaten entsandten Verbindungsbeamten für Einwanderungsfragen zu verbessern. Aufbauend auf dieser Erfahrung sind längerfristige Entsendungen von Verbindungsbeamten für Einwanderungsfragen seitens der Kommission in Drittländer vorzusehen, um die Entwicklung und Durchführung von </w:t>
            </w:r>
            <w:r w:rsidRPr="00B30E13">
              <w:lastRenderedPageBreak/>
              <w:t>Unionsmaßnahmen im Bereich Migration zu unterstützen und ihre Wirkung zu maximieren.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rPr>
                <w:b/>
                <w:i/>
              </w:rPr>
              <w:t>(8)</w:t>
            </w:r>
            <w:r w:rsidRPr="00B30E13">
              <w:tab/>
              <w:t xml:space="preserve">Ziel dieser Verordnung ist es, für eine bessere Koordinierung zu sorgen und </w:t>
            </w:r>
            <w:r w:rsidRPr="00B30E13">
              <w:rPr>
                <w:b/>
                <w:i/>
              </w:rPr>
              <w:t>die Verwendung von Verbindungsbeamten zu verbessern, die</w:t>
            </w:r>
            <w:r w:rsidRPr="00B30E13">
              <w:t xml:space="preserve"> von den Mitgliedstaaten, der Kommission und </w:t>
            </w:r>
            <w:r w:rsidRPr="00B30E13">
              <w:rPr>
                <w:b/>
                <w:i/>
              </w:rPr>
              <w:t>den Agenturen der Union in Drittländer entsandt werden</w:t>
            </w:r>
            <w:r w:rsidRPr="00B30E13">
              <w:t xml:space="preserve">, um den folgenden </w:t>
            </w:r>
            <w:r w:rsidRPr="00B30E13">
              <w:rPr>
                <w:b/>
                <w:i/>
              </w:rPr>
              <w:t>EU-Prioritäten</w:t>
            </w:r>
            <w:r w:rsidRPr="00B30E13">
              <w:t xml:space="preserve"> wirksamer </w:t>
            </w:r>
            <w:r w:rsidRPr="00B30E13">
              <w:rPr>
                <w:b/>
                <w:i/>
              </w:rPr>
              <w:t>Rechnung zu tragen: Verhütung</w:t>
            </w:r>
            <w:r w:rsidRPr="00B30E13">
              <w:t xml:space="preserve"> und </w:t>
            </w:r>
            <w:r w:rsidRPr="00B30E13">
              <w:rPr>
                <w:b/>
                <w:i/>
              </w:rPr>
              <w:t>Bekämpfung von illegaler Einwanderung</w:t>
            </w:r>
            <w:r w:rsidRPr="00B30E13">
              <w:t xml:space="preserve"> und </w:t>
            </w:r>
            <w:r w:rsidRPr="00B30E13">
              <w:rPr>
                <w:b/>
                <w:i/>
              </w:rPr>
              <w:t>damit verbundener</w:t>
            </w:r>
            <w:r w:rsidRPr="00B30E13">
              <w:t xml:space="preserve"> grenzüberschreitender Kriminalität</w:t>
            </w:r>
            <w:r w:rsidRPr="00B30E13">
              <w:rPr>
                <w:b/>
                <w:i/>
              </w:rPr>
              <w:t xml:space="preserve"> wie</w:t>
            </w:r>
            <w:r w:rsidRPr="00B30E13">
              <w:t xml:space="preserve"> Schleuserkriminalität und Menschenhandel, Erleichterung von </w:t>
            </w:r>
            <w:r w:rsidRPr="00B30E13">
              <w:rPr>
                <w:b/>
                <w:i/>
              </w:rPr>
              <w:t>Rückkehr</w:t>
            </w:r>
            <w:r w:rsidRPr="00B30E13">
              <w:t xml:space="preserve">, </w:t>
            </w:r>
            <w:r w:rsidRPr="00B30E13">
              <w:rPr>
                <w:b/>
                <w:i/>
              </w:rPr>
              <w:t>Rückübernahme</w:t>
            </w:r>
            <w:r w:rsidRPr="00B30E13">
              <w:t xml:space="preserve"> und </w:t>
            </w:r>
            <w:r w:rsidRPr="00B30E13">
              <w:rPr>
                <w:b/>
                <w:i/>
              </w:rPr>
              <w:t>Wiedereingliederung</w:t>
            </w:r>
            <w:r w:rsidRPr="00B30E13">
              <w:t>, Förderung des integrierten Managements der Außengrenzen der Union sowie Unterstützung der Steuerung der legalen Einwanderung beispielsweise im Bereich des internationalen Schutzes, der Neuansiedlung und der von den Mitgliedstaaten und der Union ergriffenen Integrationsmaßnahmen vor der Abreise.</w:t>
            </w:r>
          </w:p>
        </w:tc>
        <w:tc>
          <w:tcPr>
            <w:tcW w:w="4876" w:type="dxa"/>
            <w:hideMark/>
          </w:tcPr>
          <w:p w:rsidR="006B5375" w:rsidRPr="00B30E13" w:rsidRDefault="006B5375" w:rsidP="0045552B">
            <w:pPr>
              <w:pStyle w:val="Normal6"/>
              <w:rPr>
                <w:szCs w:val="24"/>
              </w:rPr>
            </w:pPr>
            <w:r w:rsidRPr="00B30E13">
              <w:rPr>
                <w:b/>
                <w:i/>
              </w:rPr>
              <w:t>(4)</w:t>
            </w:r>
            <w:r w:rsidRPr="00B30E13">
              <w:tab/>
              <w:t xml:space="preserve">Ziel dieser Verordnung ist es, für eine bessere Koordinierung zu sorgen und </w:t>
            </w:r>
            <w:r w:rsidRPr="00B30E13">
              <w:rPr>
                <w:b/>
                <w:i/>
              </w:rPr>
              <w:t>den Einsatz der</w:t>
            </w:r>
            <w:r w:rsidRPr="00B30E13">
              <w:t xml:space="preserve"> von den Mitgliedstaaten, der Kommission und </w:t>
            </w:r>
            <w:r w:rsidRPr="00B30E13">
              <w:rPr>
                <w:b/>
                <w:i/>
              </w:rPr>
              <w:t>EU-Agenturen in Drittländer entsandten Verbindungsbeamten unter Berücksichtigung ihrer verschiedenen Fachgebiete zu erleichtern</w:t>
            </w:r>
            <w:r w:rsidRPr="00B30E13">
              <w:t xml:space="preserve">, um den folgenden </w:t>
            </w:r>
            <w:r w:rsidRPr="00B30E13">
              <w:rPr>
                <w:b/>
                <w:i/>
              </w:rPr>
              <w:t>Prioritäten der Union</w:t>
            </w:r>
            <w:r w:rsidRPr="00B30E13">
              <w:t xml:space="preserve"> wirksamer </w:t>
            </w:r>
            <w:r w:rsidRPr="00B30E13">
              <w:rPr>
                <w:b/>
                <w:i/>
              </w:rPr>
              <w:t>und unter uneingeschränkter Wahrung der humanitären Verpflichtungen</w:t>
            </w:r>
            <w:r w:rsidRPr="00B30E13">
              <w:t xml:space="preserve"> und </w:t>
            </w:r>
            <w:r w:rsidRPr="00B30E13">
              <w:rPr>
                <w:b/>
                <w:i/>
              </w:rPr>
              <w:t>der Menschenrechte Rechnung zu tragen: effektives Migrationsmanagement, Prävention</w:t>
            </w:r>
            <w:r w:rsidRPr="00B30E13">
              <w:t xml:space="preserve"> und </w:t>
            </w:r>
            <w:r w:rsidRPr="00B30E13">
              <w:rPr>
                <w:b/>
                <w:i/>
              </w:rPr>
              <w:t>Bekämpfung von</w:t>
            </w:r>
            <w:r w:rsidRPr="00B30E13">
              <w:t xml:space="preserve"> grenzüberschreitender Kriminalität</w:t>
            </w:r>
            <w:r w:rsidRPr="00B30E13">
              <w:rPr>
                <w:b/>
                <w:i/>
              </w:rPr>
              <w:t>,</w:t>
            </w:r>
            <w:r w:rsidRPr="00B30E13">
              <w:t xml:space="preserve"> Schleuserkriminalität und Menschenhandel, Erleichterung von </w:t>
            </w:r>
            <w:r w:rsidRPr="00B30E13">
              <w:rPr>
                <w:b/>
                <w:i/>
              </w:rPr>
              <w:t>menschenwürdigen und wirksamen Rückführungs-</w:t>
            </w:r>
            <w:r w:rsidRPr="00B30E13">
              <w:t xml:space="preserve">, </w:t>
            </w:r>
            <w:r w:rsidRPr="00B30E13">
              <w:rPr>
                <w:b/>
                <w:i/>
              </w:rPr>
              <w:t>Rückübernahme-</w:t>
            </w:r>
            <w:r w:rsidRPr="00B30E13">
              <w:t xml:space="preserve"> und </w:t>
            </w:r>
            <w:r w:rsidRPr="00B30E13">
              <w:rPr>
                <w:b/>
                <w:i/>
              </w:rPr>
              <w:t>Wiedereingliederungsmaßnahmen</w:t>
            </w:r>
            <w:r w:rsidRPr="00B30E13">
              <w:t>, Förderung des integrierten Managements der Außengrenzen der Union sowie Unterstützung der Steuerung der legalen Einwanderung beispielsweise im Bereich des internationalen Schutzes, der Neuansiedlung und der von den Mitgliedstaaten und der Union ergriffenen Integrationsmaßnahmen vor der Abreise.</w:t>
            </w:r>
          </w:p>
        </w:tc>
      </w:tr>
    </w:tbl>
    <w:p w:rsidR="006B5375" w:rsidRPr="00B30E13" w:rsidRDefault="006B5375" w:rsidP="006B5375">
      <w:pPr>
        <w:pStyle w:val="CrossRef"/>
      </w:pPr>
      <w:r w:rsidRPr="00B30E13">
        <w:t>(Erwägungsgrund 8 wird zu Erwägungsgrund 4)</w:t>
      </w:r>
    </w:p>
    <w:p w:rsidR="006B5375" w:rsidRPr="00B30E13" w:rsidRDefault="006B5375" w:rsidP="006B5375"/>
    <w:p w:rsidR="006B5375" w:rsidRPr="00B30E13" w:rsidRDefault="006B5375" w:rsidP="006B5375">
      <w:pPr>
        <w:pStyle w:val="AMNumberTabs"/>
      </w:pPr>
      <w:r w:rsidRPr="00B30E13">
        <w:t>Änderungsantrag</w:t>
      </w:r>
      <w:r w:rsidRPr="00B30E13">
        <w:tab/>
      </w:r>
      <w:r w:rsidRPr="00B30E13">
        <w:tab/>
        <w:t>10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trHeight w:hRule="exact" w:val="240"/>
          <w:jc w:val="center"/>
        </w:trPr>
        <w:tc>
          <w:tcPr>
            <w:tcW w:w="9752" w:type="dxa"/>
            <w:gridSpan w:val="2"/>
          </w:tcPr>
          <w:p w:rsidR="006B5375" w:rsidRPr="00B30E13" w:rsidRDefault="006B5375" w:rsidP="0045552B"/>
        </w:tc>
      </w:tr>
      <w:tr w:rsidR="006B5375" w:rsidRPr="00B30E13" w:rsidTr="0045552B">
        <w:trPr>
          <w:trHeight w:val="240"/>
          <w:jc w:val="center"/>
        </w:trPr>
        <w:tc>
          <w:tcPr>
            <w:tcW w:w="4876" w:type="dxa"/>
          </w:tcPr>
          <w:p w:rsidR="006B5375" w:rsidRPr="00B30E13" w:rsidRDefault="006B5375" w:rsidP="0045552B">
            <w:pPr>
              <w:pStyle w:val="ColumnHeading"/>
            </w:pPr>
            <w:r w:rsidRPr="00B30E13">
              <w:lastRenderedPageBreak/>
              <w:t>Vorschlag der Kommission</w:t>
            </w:r>
          </w:p>
        </w:tc>
        <w:tc>
          <w:tcPr>
            <w:tcW w:w="4876" w:type="dxa"/>
          </w:tcPr>
          <w:p w:rsidR="006B5375" w:rsidRPr="00B30E13" w:rsidRDefault="006B5375" w:rsidP="0045552B">
            <w:pPr>
              <w:pStyle w:val="ColumnHeading"/>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(9)</w:t>
            </w:r>
            <w:r w:rsidRPr="00B30E13">
              <w:tab/>
              <w:t>Aufbauend auf der Verordnung (EG) Nr. 377/2004 des Rates soll mit der vorliegenden Verordnung insbesondere durch Einrichtung eines Mechanismus, über den die Mitgliedstaaten, die Kommission und die Agenturen der Union die Aufgaben und Funktionen ihrer Verbindungsbeamten systematischer koordinieren können, ein wirksamerer Beitrag der Verbindungsbeamten für Einwanderungsfragen zu einem funktionierenden europäischen Netz von Verbindungsbeamten für Einwanderungsfragen sichergestellt werden.</w:t>
            </w:r>
          </w:p>
        </w:tc>
        <w:tc>
          <w:tcPr>
            <w:tcW w:w="4876" w:type="dxa"/>
          </w:tcPr>
          <w:p w:rsidR="006B5375" w:rsidRPr="00B30E13" w:rsidRDefault="006B5375" w:rsidP="0045552B">
            <w:pPr>
              <w:pStyle w:val="Normal6"/>
            </w:pPr>
            <w:r w:rsidRPr="00B30E13">
              <w:t>(9)</w:t>
            </w:r>
            <w:r w:rsidRPr="00B30E13">
              <w:tab/>
              <w:t xml:space="preserve">Aufbauend auf der Verordnung (EG) Nr. 377/2004 des Rates soll mit der vorliegenden Verordnung insbesondere durch Einrichtung eines Mechanismus, über den die Mitgliedstaaten, die Kommission und die Agenturen der Union die Aufgaben und Funktionen ihrer </w:t>
            </w:r>
            <w:r w:rsidRPr="00B30E13">
              <w:rPr>
                <w:b/>
                <w:i/>
              </w:rPr>
              <w:t xml:space="preserve">in wichtige Herkunfts- und Transitdrittländer entsandten </w:t>
            </w:r>
            <w:r w:rsidRPr="00B30E13">
              <w:t>Verbindungsbeamten systematischer koordinieren können, ein wirksamerer Beitrag der Verbindungsbeamten für Einwanderungsfragen zu einem funktionierenden europäischen Netz von Verbindungsbeamten für Einwanderungsfragen sichergestellt werden.</w:t>
            </w:r>
          </w:p>
        </w:tc>
      </w:tr>
    </w:tbl>
    <w:p w:rsidR="006B5375" w:rsidRPr="00B30E13" w:rsidRDefault="006B5375" w:rsidP="006B5375"/>
    <w:p w:rsidR="006B5375" w:rsidRPr="00B30E13" w:rsidRDefault="006B5375" w:rsidP="006B5375">
      <w:pPr>
        <w:pStyle w:val="AMNumberTabs"/>
      </w:pPr>
      <w:r w:rsidRPr="00B30E13">
        <w:t>Änderungsantrag</w:t>
      </w:r>
      <w:r w:rsidRPr="00B30E13">
        <w:tab/>
      </w:r>
      <w:r w:rsidRPr="00B30E13">
        <w:tab/>
        <w:t>11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trHeight w:hRule="exact" w:val="240"/>
          <w:jc w:val="center"/>
        </w:trPr>
        <w:tc>
          <w:tcPr>
            <w:tcW w:w="9752" w:type="dxa"/>
            <w:gridSpan w:val="2"/>
          </w:tcPr>
          <w:p w:rsidR="006B5375" w:rsidRPr="00B30E13" w:rsidRDefault="006B5375" w:rsidP="0045552B"/>
        </w:tc>
      </w:tr>
      <w:tr w:rsidR="006B5375" w:rsidRPr="00B30E13" w:rsidTr="0045552B">
        <w:trPr>
          <w:trHeight w:val="240"/>
          <w:jc w:val="center"/>
        </w:trPr>
        <w:tc>
          <w:tcPr>
            <w:tcW w:w="4876" w:type="dxa"/>
          </w:tcPr>
          <w:p w:rsidR="006B5375" w:rsidRPr="00B30E13" w:rsidRDefault="006B5375" w:rsidP="0045552B">
            <w:pPr>
              <w:pStyle w:val="ColumnHeading"/>
            </w:pPr>
            <w:r w:rsidRPr="00B30E13">
              <w:t>Vorschlag der Kommission</w:t>
            </w:r>
          </w:p>
        </w:tc>
        <w:tc>
          <w:tcPr>
            <w:tcW w:w="4876" w:type="dxa"/>
          </w:tcPr>
          <w:p w:rsidR="006B5375" w:rsidRPr="00B30E13" w:rsidRDefault="006B5375" w:rsidP="0045552B">
            <w:pPr>
              <w:pStyle w:val="ColumnHeading"/>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(10)</w:t>
            </w:r>
            <w:r w:rsidRPr="00B30E13">
              <w:tab/>
              <w:t xml:space="preserve">Da </w:t>
            </w:r>
            <w:r w:rsidRPr="00B30E13">
              <w:rPr>
                <w:b/>
                <w:i/>
              </w:rPr>
              <w:t>sich</w:t>
            </w:r>
            <w:r w:rsidRPr="00B30E13">
              <w:t xml:space="preserve"> die </w:t>
            </w:r>
            <w:r w:rsidRPr="00B30E13">
              <w:rPr>
                <w:b/>
                <w:i/>
              </w:rPr>
              <w:t>Aufgaben</w:t>
            </w:r>
            <w:r w:rsidRPr="00B30E13">
              <w:t xml:space="preserve"> und </w:t>
            </w:r>
            <w:r w:rsidRPr="00B30E13">
              <w:rPr>
                <w:b/>
                <w:i/>
              </w:rPr>
              <w:t>Funktionen der Verbindungsbeamten für Einwanderungsfragen</w:t>
            </w:r>
            <w:r w:rsidRPr="00B30E13">
              <w:t xml:space="preserve"> überschneiden können, </w:t>
            </w:r>
            <w:r w:rsidRPr="00B30E13">
              <w:rPr>
                <w:b/>
                <w:i/>
              </w:rPr>
              <w:t>sollten angemessene Anstrengungen unternommen werden, um die Arbeit der</w:t>
            </w:r>
            <w:r w:rsidRPr="00B30E13">
              <w:t xml:space="preserve"> in demselben Drittland oder derselben Region </w:t>
            </w:r>
            <w:r w:rsidRPr="00B30E13">
              <w:rPr>
                <w:b/>
                <w:i/>
              </w:rPr>
              <w:t>tätigen Beamten</w:t>
            </w:r>
            <w:r w:rsidRPr="00B30E13">
              <w:t xml:space="preserve"> besser </w:t>
            </w:r>
            <w:r w:rsidRPr="00B30E13">
              <w:rPr>
                <w:b/>
                <w:i/>
              </w:rPr>
              <w:t>zu koordinieren</w:t>
            </w:r>
            <w:r w:rsidRPr="00B30E13">
              <w:t>. Werden Verbindungsbeamte für Einwanderungsfragen von der Kommission direkt in die diplomatischen Vertretungen der Union in einem Drittland entsandt, so sollten sie in diesem Drittland ein Netz von Verbindungsbeamten für Einwanderungsfragen einrichten und leiten.</w:t>
            </w:r>
          </w:p>
        </w:tc>
        <w:tc>
          <w:tcPr>
            <w:tcW w:w="4876" w:type="dxa"/>
          </w:tcPr>
          <w:p w:rsidR="006B5375" w:rsidRPr="00B30E13" w:rsidRDefault="006B5375" w:rsidP="0045552B">
            <w:pPr>
              <w:pStyle w:val="Normal6"/>
            </w:pPr>
            <w:r w:rsidRPr="00B30E13">
              <w:t>(10)</w:t>
            </w:r>
            <w:r w:rsidRPr="00B30E13">
              <w:tab/>
              <w:t xml:space="preserve">Da </w:t>
            </w:r>
            <w:r w:rsidRPr="00B30E13">
              <w:rPr>
                <w:b/>
                <w:i/>
              </w:rPr>
              <w:t>Verbindungsbeamte,</w:t>
            </w:r>
            <w:r w:rsidRPr="00B30E13">
              <w:t xml:space="preserve"> die </w:t>
            </w:r>
            <w:r w:rsidRPr="00B30E13">
              <w:rPr>
                <w:b/>
                <w:i/>
              </w:rPr>
              <w:t>für Migrations- oder Menschenrechtsfragen zuständig sind, von verschiedenen Behörden entsandt werden</w:t>
            </w:r>
            <w:r w:rsidRPr="00B30E13">
              <w:t xml:space="preserve"> und </w:t>
            </w:r>
            <w:r w:rsidRPr="00B30E13">
              <w:rPr>
                <w:b/>
                <w:i/>
              </w:rPr>
              <w:t>sich ihre Mandate und Aufgaben</w:t>
            </w:r>
            <w:r w:rsidRPr="00B30E13">
              <w:t xml:space="preserve"> überschneiden können, </w:t>
            </w:r>
            <w:r w:rsidRPr="00B30E13">
              <w:rPr>
                <w:b/>
                <w:i/>
              </w:rPr>
              <w:t>sollte die Zusammenarbeit und der Informationsaustausch zwischen Verbindungsbeamten für Einwanderungsfragen, die</w:t>
            </w:r>
            <w:r w:rsidRPr="00B30E13">
              <w:t xml:space="preserve"> in demselben Drittland oder derselben Region </w:t>
            </w:r>
            <w:r w:rsidRPr="00B30E13">
              <w:rPr>
                <w:b/>
                <w:i/>
              </w:rPr>
              <w:t>tätig sind,</w:t>
            </w:r>
            <w:r w:rsidRPr="00B30E13">
              <w:t xml:space="preserve"> besser </w:t>
            </w:r>
            <w:r w:rsidRPr="00B30E13">
              <w:rPr>
                <w:b/>
                <w:i/>
              </w:rPr>
              <w:t>koordiniert werden</w:t>
            </w:r>
            <w:r w:rsidRPr="00B30E13">
              <w:t xml:space="preserve">. Werden Verbindungsbeamte für Einwanderungsfragen von der Kommission direkt in die diplomatischen Vertretungen der Union </w:t>
            </w:r>
            <w:r w:rsidRPr="00B30E13">
              <w:rPr>
                <w:b/>
                <w:i/>
              </w:rPr>
              <w:t>oder zu Agenturen der Union</w:t>
            </w:r>
            <w:r w:rsidRPr="00B30E13">
              <w:t xml:space="preserve"> in einem Drittland entsandt, so sollten sie in diesem Drittland ein Netz von Verbindungsbeamten für Einwanderungsfragen einrichten und leiten.</w:t>
            </w:r>
          </w:p>
        </w:tc>
      </w:tr>
    </w:tbl>
    <w:p w:rsidR="006B5375" w:rsidRPr="00B30E13" w:rsidRDefault="006B5375" w:rsidP="006B5375"/>
    <w:p w:rsidR="006B5375" w:rsidRPr="00B30E13" w:rsidRDefault="006B5375" w:rsidP="006B5375">
      <w:pPr>
        <w:pStyle w:val="AMNumberTabs"/>
        <w:keepNext/>
      </w:pPr>
      <w:r w:rsidRPr="00B30E13">
        <w:lastRenderedPageBreak/>
        <w:t>Änderungsantrag</w:t>
      </w:r>
      <w:r w:rsidRPr="00B30E13">
        <w:tab/>
      </w:r>
      <w:r w:rsidRPr="00B30E13">
        <w:tab/>
        <w:t>12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(11)</w:t>
            </w:r>
            <w:r w:rsidRPr="00B30E13">
              <w:tab/>
              <w:t xml:space="preserve">Die Einrichtung eines soliden Lenkungsmechanismus, der eine bessere Koordinierung aller mit Einwanderungsfragen befassten Verbindungsbeamten gewährleistet, ist von entscheidender Bedeutung, um Informationslücken und Doppelarbeit zu minimieren und die operativen Fähigkeiten und die Wirksamkeit zu maximieren. Ein Lenkungsausschuss sollte im Einklang mit den politischen Prioritäten der Union und unter Berücksichtigung ihrer Außenbeziehungen Orientierungshilfe bieten und die erforderlichen Befugnisse erhalten, </w:t>
            </w:r>
            <w:r w:rsidRPr="00B30E13">
              <w:rPr>
                <w:b/>
                <w:i/>
              </w:rPr>
              <w:t>zweijährige</w:t>
            </w:r>
            <w:r w:rsidRPr="00B30E13">
              <w:t xml:space="preserve"> Arbeitsprogramme für die Tätigkeiten der Netze von Verbindungsbeamten für Einwanderungsfragen anzunehmen, Verbindungsbeamten für Einwanderungsfragen Ad-hoc-Aufgaben zuzuweisen, die auf nicht bereits durch das </w:t>
            </w:r>
            <w:r w:rsidRPr="00B30E13">
              <w:rPr>
                <w:b/>
                <w:i/>
              </w:rPr>
              <w:t>zweijährige</w:t>
            </w:r>
            <w:r w:rsidRPr="00B30E13">
              <w:t xml:space="preserve"> Arbeitsprogramm abgedeckte </w:t>
            </w:r>
            <w:r w:rsidRPr="00B30E13">
              <w:rPr>
                <w:b/>
                <w:i/>
              </w:rPr>
              <w:t>Prioritären</w:t>
            </w:r>
            <w:r w:rsidRPr="00B30E13">
              <w:t xml:space="preserve"> und neue Bedürfnisse zugeschnitten sind, sowie </w:t>
            </w:r>
            <w:r w:rsidRPr="00B30E13">
              <w:rPr>
                <w:b/>
                <w:i/>
              </w:rPr>
              <w:t>Ressourcen</w:t>
            </w:r>
            <w:r w:rsidRPr="00B30E13">
              <w:t xml:space="preserve"> für vereinbarte Maßnahmen bereitzustellen, und sollte für ihre Ausführung verantwortlich sein.</w:t>
            </w:r>
          </w:p>
        </w:tc>
        <w:tc>
          <w:tcPr>
            <w:tcW w:w="4876" w:type="dxa"/>
            <w:hideMark/>
          </w:tcPr>
          <w:p w:rsidR="006B5375" w:rsidRPr="00B30E13" w:rsidRDefault="006B5375" w:rsidP="0045552B">
            <w:pPr>
              <w:pStyle w:val="Normal6"/>
              <w:rPr>
                <w:szCs w:val="24"/>
              </w:rPr>
            </w:pPr>
            <w:r w:rsidRPr="00B30E13">
              <w:t>(11)</w:t>
            </w:r>
            <w:r w:rsidRPr="00B30E13">
              <w:tab/>
              <w:t>Die Einrichtung eines soliden Lenkungsmechanismus, der eine bessere Koordinierung aller mit Einwanderungsfragen befassten Verbindungsbeamten gewährleistet, ist von entscheidender Bedeutung, um Informationslücken</w:t>
            </w:r>
            <w:r w:rsidRPr="00B30E13">
              <w:rPr>
                <w:b/>
                <w:i/>
              </w:rPr>
              <w:t>, Aufgabenüberschneidungen</w:t>
            </w:r>
            <w:r w:rsidRPr="00B30E13">
              <w:t xml:space="preserve"> und Doppelarbeit zu minimieren und die operativen Fähigkeiten und die Wirksamkeit zu maximieren. Ein Lenkungsausschuss sollte im Einklang mit den politischen Prioritäten der Union und unter Berücksichtigung ihrer Außenbeziehungen Orientierungshilfe bieten und die erforderlichen Befugnisse erhalten, </w:t>
            </w:r>
            <w:r w:rsidRPr="00B30E13">
              <w:rPr>
                <w:b/>
                <w:i/>
              </w:rPr>
              <w:t>jährliche</w:t>
            </w:r>
            <w:r w:rsidRPr="00B30E13">
              <w:t xml:space="preserve"> Arbeitsprogramme für die Tätigkeiten der Netze von Verbindungsbeamten für Einwanderungsfragen anzunehmen, Verbindungsbeamten für Einwanderungsfragen Ad-hoc-Aufgaben zuzuweisen, die auf nicht bereits durch das </w:t>
            </w:r>
            <w:r w:rsidRPr="00B30E13">
              <w:rPr>
                <w:b/>
                <w:i/>
              </w:rPr>
              <w:t>jährliche</w:t>
            </w:r>
            <w:r w:rsidRPr="00B30E13">
              <w:t xml:space="preserve"> Arbeitsprogramm abgedeckte </w:t>
            </w:r>
            <w:r w:rsidRPr="00B30E13">
              <w:rPr>
                <w:b/>
                <w:i/>
              </w:rPr>
              <w:t>Prioritäten</w:t>
            </w:r>
            <w:r w:rsidRPr="00B30E13">
              <w:t xml:space="preserve"> und neue Bedürfnisse zugeschnitten sind, sowie </w:t>
            </w:r>
            <w:r w:rsidRPr="00B30E13">
              <w:rPr>
                <w:b/>
                <w:i/>
              </w:rPr>
              <w:t>Finanzmittel</w:t>
            </w:r>
            <w:r w:rsidRPr="00B30E13">
              <w:t xml:space="preserve"> für vereinbarte Maßnahmen bereitzustellen, und sollte für ihre Ausführung verantwortlich sein.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(14)</w:t>
            </w:r>
            <w:r w:rsidRPr="00B30E13">
              <w:tab/>
              <w:t xml:space="preserve">Es sollten besondere Vorkehrungen für umfassendere Unionsmaßnahmen getroffen werden, um Kapazitäten für Verbindungsbeamte für Einwanderungsfragen aufzubauen, indem </w:t>
            </w:r>
            <w:r w:rsidRPr="00B30E13">
              <w:lastRenderedPageBreak/>
              <w:t>in Zusammenarbeit mit den einschlägigen Agenturen der Union gemeinsame Basislehrpläne und Lehrgänge zur Vorbereitung auf Entsendungen entwickelt werden, und um den Ausbau der operativen Kapazitäten der Netze von Verbindungsbeamten für Einwanderungsfragen zu fördern.</w:t>
            </w:r>
          </w:p>
        </w:tc>
        <w:tc>
          <w:tcPr>
            <w:tcW w:w="4876" w:type="dxa"/>
            <w:hideMark/>
          </w:tcPr>
          <w:p w:rsidR="006B5375" w:rsidRPr="00B30E13" w:rsidRDefault="006B5375" w:rsidP="0045552B">
            <w:pPr>
              <w:pStyle w:val="Normal6"/>
              <w:rPr>
                <w:szCs w:val="24"/>
              </w:rPr>
            </w:pPr>
            <w:r w:rsidRPr="00B30E13">
              <w:lastRenderedPageBreak/>
              <w:t>(14)</w:t>
            </w:r>
            <w:r w:rsidRPr="00B30E13">
              <w:tab/>
              <w:t xml:space="preserve">Es sollten besondere Vorkehrungen für umfassendere Unionsmaßnahmen getroffen werden, um Kapazitäten für Verbindungsbeamte für Einwanderungsfragen aufzubauen, indem </w:t>
            </w:r>
            <w:r w:rsidRPr="00B30E13">
              <w:lastRenderedPageBreak/>
              <w:t xml:space="preserve">in Zusammenarbeit mit den einschlägigen Agenturen der Union gemeinsame Basislehrpläne und Lehrgänge zur Vorbereitung auf Entsendungen entwickelt werden, und um den Ausbau der operativen Kapazitäten der Netze von Verbindungsbeamten für Einwanderungsfragen </w:t>
            </w:r>
            <w:r w:rsidRPr="00B30E13">
              <w:rPr>
                <w:b/>
                <w:i/>
              </w:rPr>
              <w:t xml:space="preserve">insbesondere im Bereich Grundrechte </w:t>
            </w:r>
            <w:r w:rsidRPr="00B30E13">
              <w:t>zu fördern.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(16)</w:t>
            </w:r>
            <w:r w:rsidRPr="00B30E13">
              <w:tab/>
              <w:t xml:space="preserve">Die Behörden der Mitgliedstaaten sollten sicherstellen, dass strategische und operative Analyseprodukte der Agenturen der Union, die </w:t>
            </w:r>
            <w:r w:rsidRPr="00B30E13">
              <w:rPr>
                <w:b/>
                <w:i/>
              </w:rPr>
              <w:t>illegale</w:t>
            </w:r>
            <w:r w:rsidRPr="00B30E13">
              <w:t xml:space="preserve"> Einwanderung, </w:t>
            </w:r>
            <w:r w:rsidRPr="00B30E13">
              <w:rPr>
                <w:b/>
                <w:i/>
              </w:rPr>
              <w:t>Rückkehr</w:t>
            </w:r>
            <w:r w:rsidRPr="00B30E13">
              <w:t xml:space="preserve">, grenzüberschreitende Kriminalität oder internationalen Schutz und Neuansiedlung betreffen, die in Drittländern tätigen Verbindungsbeamten für Einwanderungsfragen erreichen und dass die von den Verbindungsbeamten </w:t>
            </w:r>
            <w:r w:rsidRPr="00B30E13">
              <w:rPr>
                <w:b/>
                <w:i/>
              </w:rPr>
              <w:t>übermittelten</w:t>
            </w:r>
            <w:r w:rsidRPr="00B30E13">
              <w:t xml:space="preserve"> Informationen den einschlägigen Agenturen der Union – insbesondere der Europäischen Agentur für die Grenz- und Küstenwache, Europol und der Asylagentur der Europäischen Union – im Geltungsbereich ihres jeweiligen Rechtsrahmens bereitgestellt werden.</w:t>
            </w:r>
          </w:p>
        </w:tc>
        <w:tc>
          <w:tcPr>
            <w:tcW w:w="4876" w:type="dxa"/>
            <w:hideMark/>
          </w:tcPr>
          <w:p w:rsidR="006B5375" w:rsidRPr="00B30E13" w:rsidRDefault="006B5375" w:rsidP="0045552B">
            <w:pPr>
              <w:pStyle w:val="Normal6"/>
              <w:rPr>
                <w:szCs w:val="24"/>
              </w:rPr>
            </w:pPr>
            <w:r w:rsidRPr="00B30E13">
              <w:t>(16)</w:t>
            </w:r>
            <w:r w:rsidRPr="00B30E13">
              <w:tab/>
              <w:t xml:space="preserve">Die Behörden der Mitgliedstaaten sollten sicherstellen, dass strategische und operative Analyseprodukte der Agenturen der Union, die </w:t>
            </w:r>
            <w:r w:rsidRPr="00B30E13">
              <w:rPr>
                <w:b/>
                <w:i/>
              </w:rPr>
              <w:t>irreguläre</w:t>
            </w:r>
            <w:r w:rsidRPr="00B30E13">
              <w:t xml:space="preserve"> Einwanderung, </w:t>
            </w:r>
            <w:r w:rsidRPr="00B30E13">
              <w:rPr>
                <w:b/>
                <w:i/>
              </w:rPr>
              <w:t>eine menschenwürdige und wirksame Rückführung und Wiedereingliederung</w:t>
            </w:r>
            <w:r w:rsidRPr="00B30E13">
              <w:t xml:space="preserve">, grenzüberschreitende Kriminalität oder internationalen Schutz und Neuansiedlung betreffen, die in Drittländern tätigen Verbindungsbeamten für Einwanderungsfragen erreichen und dass die von den Verbindungsbeamten </w:t>
            </w:r>
            <w:r w:rsidRPr="00B30E13">
              <w:rPr>
                <w:b/>
                <w:i/>
              </w:rPr>
              <w:t>gesammelten</w:t>
            </w:r>
            <w:r w:rsidRPr="00B30E13">
              <w:t xml:space="preserve"> Informationen den einschlägigen Agenturen der Union – insbesondere der Europäischen Agentur für die Grenz- und Küstenwache, Europol und der Asylagentur der Europäischen Union – im Geltungsbereich ihres jeweiligen Rechtsrahmens bereitgestellt werden.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(17)</w:t>
            </w:r>
            <w:r w:rsidRPr="00B30E13">
              <w:tab/>
              <w:t xml:space="preserve">Um eine möglichst wirksame Nutzung der von den Netzen von Verbindungsbeamten für </w:t>
            </w:r>
            <w:r w:rsidRPr="00B30E13">
              <w:lastRenderedPageBreak/>
              <w:t xml:space="preserve">Einwanderungsfragen gesammelten Informationen zu gewährleisten, sollten diese Informationen über eine sichere </w:t>
            </w:r>
            <w:r w:rsidRPr="00B30E13">
              <w:rPr>
                <w:b/>
                <w:i/>
              </w:rPr>
              <w:t>web-gestützte</w:t>
            </w:r>
            <w:r w:rsidRPr="00B30E13">
              <w:t xml:space="preserve"> Plattform für den Austausch von Informationen verfügbar sein.</w:t>
            </w:r>
          </w:p>
        </w:tc>
        <w:tc>
          <w:tcPr>
            <w:tcW w:w="4876" w:type="dxa"/>
            <w:hideMark/>
          </w:tcPr>
          <w:p w:rsidR="006B5375" w:rsidRPr="00B30E13" w:rsidRDefault="006B5375" w:rsidP="0045552B">
            <w:pPr>
              <w:pStyle w:val="Normal6"/>
              <w:rPr>
                <w:szCs w:val="24"/>
              </w:rPr>
            </w:pPr>
            <w:r w:rsidRPr="00B30E13">
              <w:lastRenderedPageBreak/>
              <w:t>(17)</w:t>
            </w:r>
            <w:r w:rsidRPr="00B30E13">
              <w:tab/>
              <w:t xml:space="preserve">Um eine möglichst wirksame Nutzung der von den Netzen von Verbindungsbeamten für </w:t>
            </w:r>
            <w:r w:rsidRPr="00B30E13">
              <w:lastRenderedPageBreak/>
              <w:t xml:space="preserve">Einwanderungsfragen gesammelten Informationen zu gewährleisten, sollten diese Informationen über eine sichere </w:t>
            </w:r>
            <w:r w:rsidRPr="00B30E13">
              <w:rPr>
                <w:b/>
                <w:i/>
              </w:rPr>
              <w:t>webgestützte</w:t>
            </w:r>
            <w:r w:rsidRPr="00B30E13">
              <w:t xml:space="preserve"> Plattform für den Austausch von Informationen</w:t>
            </w:r>
            <w:r w:rsidRPr="00B30E13">
              <w:rPr>
                <w:b/>
                <w:i/>
              </w:rPr>
              <w:t xml:space="preserve"> unter uneingeschränkter Wahrung des Rechts auf Schutz personenbezogener Daten</w:t>
            </w:r>
            <w:r w:rsidRPr="00B30E13">
              <w:t xml:space="preserve"> verfügbar sein.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(20)</w:t>
            </w:r>
            <w:r w:rsidRPr="00B30E13">
              <w:tab/>
              <w:t xml:space="preserve">Jedwede Verarbeitung und Übermittlung personenbezogener Daten durch die Mitgliedstaaten im Rahmen dieser Verordnung sollte </w:t>
            </w:r>
            <w:r w:rsidRPr="00B30E13">
              <w:rPr>
                <w:b/>
                <w:i/>
              </w:rPr>
              <w:t>im Einklang mit</w:t>
            </w:r>
            <w:r w:rsidRPr="00B30E13">
              <w:t xml:space="preserve"> der Verordnung (EU) Nr. 2016/679 des Europäischen Parlaments und des Rates</w:t>
            </w:r>
            <w:r w:rsidRPr="00B30E13">
              <w:rPr>
                <w:b/>
                <w:i/>
                <w:vertAlign w:val="superscript"/>
              </w:rPr>
              <w:t>20</w:t>
            </w:r>
            <w:r w:rsidRPr="00B30E13">
              <w:t xml:space="preserve"> und den nationalen Vorschriften zur Umsetzung der Richtlinie (EU) 2016/680</w:t>
            </w:r>
            <w:r w:rsidRPr="00B30E13">
              <w:rPr>
                <w:vertAlign w:val="superscript"/>
              </w:rPr>
              <w:t>21</w:t>
            </w:r>
            <w:r w:rsidRPr="00B30E13">
              <w:t xml:space="preserve"> erfolgen. Bei der Verarbeitung personenbezogener Daten sollten die Kommission und die Agenturen der Union die Verordnung (EG) Nr. 45/2001 des Europäischen Parlaments und des Rates</w:t>
            </w:r>
            <w:r w:rsidRPr="00B30E13">
              <w:rPr>
                <w:vertAlign w:val="superscript"/>
              </w:rPr>
              <w:t>22</w:t>
            </w:r>
            <w:r w:rsidRPr="00B30E13">
              <w:t xml:space="preserve"> anwenden.</w:t>
            </w:r>
          </w:p>
        </w:tc>
        <w:tc>
          <w:tcPr>
            <w:tcW w:w="4876" w:type="dxa"/>
            <w:hideMark/>
          </w:tcPr>
          <w:p w:rsidR="006B5375" w:rsidRPr="00B30E13" w:rsidRDefault="006B5375" w:rsidP="0045552B">
            <w:pPr>
              <w:pStyle w:val="Normal6"/>
              <w:rPr>
                <w:szCs w:val="24"/>
              </w:rPr>
            </w:pPr>
            <w:r w:rsidRPr="00B30E13">
              <w:t>(20)</w:t>
            </w:r>
            <w:r w:rsidRPr="00B30E13">
              <w:tab/>
              <w:t xml:space="preserve">Jede Verarbeitung und Übermittlung personenbezogener Daten durch die Mitgliedstaaten im Rahmen dieser Verordnung sollte </w:t>
            </w:r>
            <w:r w:rsidRPr="00B30E13">
              <w:rPr>
                <w:b/>
                <w:i/>
              </w:rPr>
              <w:t>unter uneingeschränkter Achtung</w:t>
            </w:r>
            <w:r w:rsidRPr="00B30E13">
              <w:t xml:space="preserve"> der Verordnung (EU) Nr. 2016/679 des Europäischen Parlaments und des Rates und den nationalen Vorschriften zur Umsetzung der Richtlinie (EU) 2016/680</w:t>
            </w:r>
            <w:r w:rsidRPr="00B30E13">
              <w:rPr>
                <w:vertAlign w:val="superscript"/>
              </w:rPr>
              <w:t>21</w:t>
            </w:r>
            <w:r w:rsidRPr="00B30E13">
              <w:t xml:space="preserve"> erfolgen. Bei der Verarbeitung personenbezogener Daten sollten die Kommission und die Agenturen der Union die Verordnung (EG) Nr. 45/2001 des Europäischen Parlaments und des Rates</w:t>
            </w:r>
            <w:r w:rsidRPr="00B30E13">
              <w:rPr>
                <w:vertAlign w:val="superscript"/>
              </w:rPr>
              <w:t>22</w:t>
            </w:r>
            <w:r w:rsidRPr="00B30E13">
              <w:t xml:space="preserve"> anwenden. </w:t>
            </w:r>
          </w:p>
        </w:tc>
      </w:tr>
      <w:tr w:rsidR="006B5375" w:rsidRPr="00B30E13" w:rsidTr="0045552B">
        <w:trPr>
          <w:jc w:val="center"/>
        </w:trPr>
        <w:tc>
          <w:tcPr>
            <w:tcW w:w="4876" w:type="dxa"/>
            <w:hideMark/>
          </w:tcPr>
          <w:p w:rsidR="006B5375" w:rsidRPr="00B30E13" w:rsidRDefault="006B5375" w:rsidP="0045552B">
            <w:pPr>
              <w:pStyle w:val="Normal6"/>
            </w:pPr>
            <w:r w:rsidRPr="00B30E13">
              <w:t>__________________</w:t>
            </w:r>
          </w:p>
        </w:tc>
        <w:tc>
          <w:tcPr>
            <w:tcW w:w="4876" w:type="dxa"/>
            <w:hideMark/>
          </w:tcPr>
          <w:p w:rsidR="006B5375" w:rsidRPr="00B30E13" w:rsidRDefault="006B5375" w:rsidP="0045552B">
            <w:pPr>
              <w:pStyle w:val="Normal6"/>
              <w:rPr>
                <w:szCs w:val="24"/>
              </w:rPr>
            </w:pPr>
            <w:r w:rsidRPr="00B30E13">
              <w:t>__________________</w:t>
            </w:r>
          </w:p>
        </w:tc>
      </w:tr>
      <w:tr w:rsidR="006B5375" w:rsidRPr="00B30E13" w:rsidTr="0045552B">
        <w:trPr>
          <w:jc w:val="center"/>
        </w:trPr>
        <w:tc>
          <w:tcPr>
            <w:tcW w:w="4876" w:type="dxa"/>
          </w:tcPr>
          <w:p w:rsidR="006B5375" w:rsidRPr="00B30E13" w:rsidRDefault="006B5375" w:rsidP="0045552B">
            <w:pPr>
              <w:pStyle w:val="Normal6"/>
            </w:pPr>
            <w:r w:rsidRPr="00B30E13">
              <w:rPr>
                <w:vertAlign w:val="superscript"/>
              </w:rPr>
              <w:t>20</w:t>
            </w:r>
            <w:r w:rsidRPr="00B30E13">
              <w:t xml:space="preserve"> 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tc>
        <w:tc>
          <w:tcPr>
            <w:tcW w:w="4876" w:type="dxa"/>
            <w:hideMark/>
          </w:tcPr>
          <w:p w:rsidR="006B5375" w:rsidRPr="00B30E13" w:rsidRDefault="006B5375" w:rsidP="0045552B">
            <w:pPr>
              <w:pStyle w:val="Normal6"/>
              <w:rPr>
                <w:szCs w:val="24"/>
              </w:rPr>
            </w:pPr>
            <w:r w:rsidRPr="00B30E13">
              <w:rPr>
                <w:vertAlign w:val="superscript"/>
              </w:rPr>
              <w:t>20</w:t>
            </w:r>
            <w:r w:rsidRPr="00B30E13">
              <w:t xml:space="preserve"> Verordnung (EU) 2016/679 des Europäischen Parlaments und des Rates vom 27. April 2016 zum Schutz natürlicher Personen bei der Verarbeitung personenbezogener Daten, zum freien Datenverkehr und zur Aufhebung der Richtlinie 95/46/EG (Datenschutz-Grundverordnung) (ABl. L 119 vom 4.5.2016, S. 1). </w:t>
            </w:r>
          </w:p>
        </w:tc>
      </w:tr>
      <w:tr w:rsidR="006B5375" w:rsidRPr="00B30E13" w:rsidTr="0045552B">
        <w:trPr>
          <w:jc w:val="center"/>
        </w:trPr>
        <w:tc>
          <w:tcPr>
            <w:tcW w:w="4876" w:type="dxa"/>
          </w:tcPr>
          <w:p w:rsidR="006B5375" w:rsidRPr="00B30E13" w:rsidRDefault="006B5375" w:rsidP="0045552B">
            <w:pPr>
              <w:pStyle w:val="Normal6"/>
            </w:pPr>
            <w:r w:rsidRPr="00B30E13">
              <w:rPr>
                <w:vertAlign w:val="superscript"/>
              </w:rPr>
              <w:t>21</w:t>
            </w:r>
            <w:r w:rsidRPr="00B30E13">
              <w:t xml:space="preserve"> Richtlinie (EU) 2016/680 des Europäischen Parlaments und des Rates vom 27. April 2016 zum Schutz natürlicher Personen bei der Verarbeitung personenbezogener Daten durch die zuständigen Behörden zum Zwecke der </w:t>
            </w:r>
            <w:r w:rsidRPr="00B30E13">
              <w:lastRenderedPageBreak/>
              <w:t>Verhütung, Ermittlung, Aufdeckung oder Verfolgung von Straftaten oder der Strafvollstreckung sowie zum freien Datenverkehr und zur Aufhebung des Rahmenbeschlusses 2008/977/JI des Rates (ABl. L 119 vom 4.5.2016, S. 89).</w:t>
            </w:r>
          </w:p>
        </w:tc>
        <w:tc>
          <w:tcPr>
            <w:tcW w:w="4876" w:type="dxa"/>
            <w:hideMark/>
          </w:tcPr>
          <w:p w:rsidR="006B5375" w:rsidRPr="00B30E13" w:rsidRDefault="006B5375" w:rsidP="0045552B">
            <w:pPr>
              <w:pStyle w:val="Normal6"/>
              <w:rPr>
                <w:szCs w:val="24"/>
              </w:rPr>
            </w:pPr>
            <w:r w:rsidRPr="00B30E13">
              <w:rPr>
                <w:vertAlign w:val="superscript"/>
              </w:rPr>
              <w:lastRenderedPageBreak/>
              <w:t>21</w:t>
            </w:r>
            <w:r w:rsidRPr="00B30E13">
              <w:t xml:space="preserve"> Richtlinie (EU) 2016/680 des Europäischen Parlaments und des Rates vom 27. April 2016 zum Schutz natürlicher Personen bei der Verarbeitung personenbezogener Daten durch die zuständigen Behörden zum Zwecke der </w:t>
            </w:r>
            <w:r w:rsidRPr="00B30E13">
              <w:lastRenderedPageBreak/>
              <w:t>Verhütung, Ermittlung, Aufdeckung oder Verfolgung von Straftaten oder der Strafvollstreckung sowie zum freien Datenverkehr und zur Aufhebung des Rahmenbeschlusses 2008/977/JI des Rates (ABl. L 119 vom 4.5.2016, S. 89).</w:t>
            </w:r>
          </w:p>
        </w:tc>
      </w:tr>
      <w:tr w:rsidR="006B5375" w:rsidRPr="00B30E13" w:rsidTr="0045552B">
        <w:trPr>
          <w:jc w:val="center"/>
        </w:trPr>
        <w:tc>
          <w:tcPr>
            <w:tcW w:w="4876" w:type="dxa"/>
          </w:tcPr>
          <w:p w:rsidR="006B5375" w:rsidRPr="00B30E13" w:rsidRDefault="006B5375" w:rsidP="0045552B">
            <w:pPr>
              <w:pStyle w:val="Normal6"/>
            </w:pPr>
            <w:r w:rsidRPr="00B30E13">
              <w:rPr>
                <w:vertAlign w:val="superscript"/>
              </w:rPr>
              <w:lastRenderedPageBreak/>
              <w:t>22</w:t>
            </w:r>
            <w:r w:rsidRPr="00B30E13">
              <w:t xml:space="preserve"> Verordnung (EG) Nr. 45/2001 des Europäischen Parlaments und des Rates vom 18. Dezember 2000 zum Schutz natürlicher Personen bei der Verarbeitung personenbezogener Daten durch die Organe und Einrichtungen der Gemeinschaft und zum freien Datenverkehr (ABl. L 8 vom 12.1.2001, S. 1).</w:t>
            </w:r>
          </w:p>
        </w:tc>
        <w:tc>
          <w:tcPr>
            <w:tcW w:w="4876" w:type="dxa"/>
            <w:hideMark/>
          </w:tcPr>
          <w:p w:rsidR="006B5375" w:rsidRPr="00B30E13" w:rsidRDefault="006B5375" w:rsidP="0045552B">
            <w:pPr>
              <w:pStyle w:val="Normal6"/>
              <w:rPr>
                <w:szCs w:val="24"/>
              </w:rPr>
            </w:pPr>
            <w:r w:rsidRPr="00B30E13">
              <w:rPr>
                <w:vertAlign w:val="superscript"/>
              </w:rPr>
              <w:t>22</w:t>
            </w:r>
            <w:r w:rsidRPr="00B30E13">
              <w:t xml:space="preserve"> Verordnung (EG) Nr. 45/2001 des Europäischen Parlaments und des Rates vom 18. Dezember 2000 zum Schutz natürlicher Personen bei der Verarbeitung personenbezogener Daten durch die Organe und Einrichtungen der Gemeinschaft und zum freien Datenverkehr (ABl. L 8 vom 12.1.2001, S. 1).</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(21)</w:t>
            </w:r>
            <w:r w:rsidRPr="00B30E13">
              <w:tab/>
              <w:t xml:space="preserve">Die Verarbeitung personenbezogener Daten im Rahmen dieser Verordnung sollte dem Zweck </w:t>
            </w:r>
            <w:r w:rsidRPr="00B30E13">
              <w:rPr>
                <w:b/>
                <w:i/>
              </w:rPr>
              <w:t>dienen</w:t>
            </w:r>
            <w:r w:rsidRPr="00B30E13">
              <w:t>, die Rückkehr von Drittstaatsangehörigen zu unterstützen und die Neuansiedlung von Personen, die internationalen Schutz benötigen, sowie die Durchführung von Maßnahmen der Union im Hinblick auf die Aufnahme legaler Einwanderer zu erleichtern. Daher ist ein Rechtsrahmen erforderlich, der die Rolle der Verbindungsbeamten für Einwanderungsfragen in diesem Zusammenhang anerkennt.</w:t>
            </w:r>
          </w:p>
        </w:tc>
        <w:tc>
          <w:tcPr>
            <w:tcW w:w="4876" w:type="dxa"/>
            <w:hideMark/>
          </w:tcPr>
          <w:p w:rsidR="006B5375" w:rsidRPr="00B30E13" w:rsidRDefault="006B5375" w:rsidP="0045552B">
            <w:pPr>
              <w:pStyle w:val="Normal6"/>
              <w:rPr>
                <w:szCs w:val="24"/>
              </w:rPr>
            </w:pPr>
            <w:r w:rsidRPr="00B30E13">
              <w:t>(21)</w:t>
            </w:r>
            <w:r w:rsidRPr="00B30E13">
              <w:tab/>
              <w:t xml:space="preserve">Die Verarbeitung personenbezogener Daten im Rahmen dieser Verordnung sollte </w:t>
            </w:r>
            <w:r w:rsidRPr="00B30E13">
              <w:rPr>
                <w:b/>
                <w:i/>
              </w:rPr>
              <w:t xml:space="preserve">nur zu </w:t>
            </w:r>
            <w:r w:rsidRPr="00B30E13">
              <w:t xml:space="preserve">dem Zweck </w:t>
            </w:r>
            <w:r w:rsidRPr="00B30E13">
              <w:rPr>
                <w:b/>
                <w:i/>
              </w:rPr>
              <w:t>erlaubt sein</w:t>
            </w:r>
            <w:r w:rsidRPr="00B30E13">
              <w:t>, die Rückkehr von Drittstaatsangehörigen zu unterstützen, die Neuansiedlung von Personen, die internationalen Schutz benötigen,</w:t>
            </w:r>
            <w:r w:rsidRPr="00B30E13">
              <w:rPr>
                <w:b/>
                <w:i/>
              </w:rPr>
              <w:t xml:space="preserve"> oder die auf legalen Wegen erfolgende Aufnahme von Personen in der Union</w:t>
            </w:r>
            <w:r w:rsidRPr="00B30E13">
              <w:t xml:space="preserve"> sowie die Durchführung von Maßnahmen der Union im Hinblick auf die Aufnahme legaler Einwanderer zu erleichtern. Daher ist ein Rechtsrahmen erforderlich, der die Rolle der Verbindungsbeamten für Einwanderungsfragen in diesem Zusammenhang anerkennt.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(22)</w:t>
            </w:r>
            <w:r w:rsidRPr="00B30E13">
              <w:tab/>
              <w:t xml:space="preserve">Die </w:t>
            </w:r>
            <w:r w:rsidRPr="00B30E13">
              <w:rPr>
                <w:b/>
                <w:i/>
              </w:rPr>
              <w:t>Rückkehr</w:t>
            </w:r>
            <w:r w:rsidRPr="00B30E13">
              <w:t xml:space="preserve"> von Drittstaatsangehörigen, die die Voraussetzungen für die Einreise </w:t>
            </w:r>
            <w:r w:rsidRPr="00B30E13">
              <w:rPr>
                <w:b/>
                <w:i/>
              </w:rPr>
              <w:t xml:space="preserve">oder den Aufenthalt </w:t>
            </w:r>
            <w:r w:rsidRPr="00B30E13">
              <w:t xml:space="preserve">in </w:t>
            </w:r>
            <w:r w:rsidRPr="00B30E13">
              <w:rPr>
                <w:b/>
                <w:i/>
              </w:rPr>
              <w:t>den Mitgliedstaaten gemäß der Richtlinie 2008/115/EG des Europäischen Parlaments und des Rates</w:t>
            </w:r>
            <w:r w:rsidRPr="00B30E13">
              <w:rPr>
                <w:b/>
                <w:i/>
                <w:vertAlign w:val="superscript"/>
              </w:rPr>
              <w:t>23</w:t>
            </w:r>
            <w:r w:rsidRPr="00B30E13">
              <w:t xml:space="preserve"> nicht oder nicht mehr </w:t>
            </w:r>
            <w:r w:rsidRPr="00B30E13">
              <w:rPr>
                <w:b/>
                <w:i/>
              </w:rPr>
              <w:t>erfüllen‚</w:t>
            </w:r>
            <w:r w:rsidRPr="00B30E13">
              <w:t xml:space="preserve"> ist ein </w:t>
            </w:r>
            <w:r w:rsidRPr="00B30E13">
              <w:rPr>
                <w:b/>
                <w:i/>
              </w:rPr>
              <w:t xml:space="preserve">wesentlicher </w:t>
            </w:r>
            <w:r w:rsidRPr="00B30E13">
              <w:t xml:space="preserve">Bestandteil der umfassenden Anstrengungen zur Bekämpfung der </w:t>
            </w:r>
            <w:r w:rsidRPr="00B30E13">
              <w:rPr>
                <w:b/>
                <w:i/>
              </w:rPr>
              <w:t>illegalen</w:t>
            </w:r>
            <w:r w:rsidRPr="00B30E13">
              <w:t xml:space="preserve"> Einwanderung</w:t>
            </w:r>
            <w:r w:rsidRPr="00B30E13">
              <w:rPr>
                <w:b/>
                <w:i/>
              </w:rPr>
              <w:t xml:space="preserve"> und stellt ein grundlegendes öffentliches Interesse dar</w:t>
            </w:r>
            <w:r w:rsidRPr="00B30E13">
              <w:t>.</w:t>
            </w:r>
          </w:p>
        </w:tc>
        <w:tc>
          <w:tcPr>
            <w:tcW w:w="4876" w:type="dxa"/>
            <w:hideMark/>
          </w:tcPr>
          <w:p w:rsidR="006B5375" w:rsidRPr="00B30E13" w:rsidRDefault="006B5375" w:rsidP="0045552B">
            <w:pPr>
              <w:pStyle w:val="Normal6"/>
              <w:rPr>
                <w:szCs w:val="24"/>
              </w:rPr>
            </w:pPr>
            <w:r w:rsidRPr="00B30E13">
              <w:t>(22)</w:t>
            </w:r>
            <w:r w:rsidRPr="00B30E13">
              <w:tab/>
              <w:t xml:space="preserve">Die </w:t>
            </w:r>
            <w:r w:rsidRPr="00B30E13">
              <w:rPr>
                <w:b/>
                <w:i/>
              </w:rPr>
              <w:t>nach Maßgabe der Richtlinie 2008/115/EG des Europäischen Parlaments und des Europäischen Rates erfolgende menschenwürdige und wirksame Rückführung</w:t>
            </w:r>
            <w:r w:rsidRPr="00B30E13">
              <w:t xml:space="preserve"> von Drittstaatsangehörigen, die die Voraussetzungen für die Einreise in </w:t>
            </w:r>
            <w:r w:rsidRPr="00B30E13">
              <w:rPr>
                <w:b/>
                <w:i/>
              </w:rPr>
              <w:t>einen Mitgliedstaat oder den dortigen Aufenthalt</w:t>
            </w:r>
            <w:r w:rsidRPr="00B30E13">
              <w:t xml:space="preserve"> nicht oder nicht mehr </w:t>
            </w:r>
            <w:r w:rsidRPr="00B30E13">
              <w:rPr>
                <w:b/>
                <w:i/>
              </w:rPr>
              <w:t>erfüllen,</w:t>
            </w:r>
            <w:r w:rsidRPr="00B30E13">
              <w:t xml:space="preserve"> ist ein Bestandteil der umfassenden Anstrengungen zur Bekämpfung der </w:t>
            </w:r>
            <w:r w:rsidRPr="00B30E13">
              <w:rPr>
                <w:b/>
                <w:i/>
              </w:rPr>
              <w:t>irregulären</w:t>
            </w:r>
            <w:r w:rsidRPr="00B30E13">
              <w:t xml:space="preserve"> Einwanderung.</w:t>
            </w:r>
          </w:p>
        </w:tc>
      </w:tr>
      <w:tr w:rsidR="006B5375" w:rsidRPr="00B30E13" w:rsidTr="0045552B">
        <w:trPr>
          <w:jc w:val="center"/>
        </w:trPr>
        <w:tc>
          <w:tcPr>
            <w:tcW w:w="4876" w:type="dxa"/>
            <w:hideMark/>
          </w:tcPr>
          <w:p w:rsidR="006B5375" w:rsidRPr="00B30E13" w:rsidRDefault="006B5375" w:rsidP="0045552B">
            <w:pPr>
              <w:pStyle w:val="Normal6"/>
            </w:pPr>
            <w:r w:rsidRPr="00B30E13">
              <w:t>__________________</w:t>
            </w:r>
          </w:p>
        </w:tc>
        <w:tc>
          <w:tcPr>
            <w:tcW w:w="4876" w:type="dxa"/>
            <w:hideMark/>
          </w:tcPr>
          <w:p w:rsidR="006B5375" w:rsidRPr="00B30E13" w:rsidRDefault="006B5375" w:rsidP="0045552B">
            <w:pPr>
              <w:pStyle w:val="Normal6"/>
              <w:rPr>
                <w:szCs w:val="24"/>
              </w:rPr>
            </w:pPr>
            <w:r w:rsidRPr="00B30E13">
              <w:t>__________________</w:t>
            </w:r>
          </w:p>
        </w:tc>
      </w:tr>
      <w:tr w:rsidR="006B5375" w:rsidRPr="00B30E13" w:rsidTr="0045552B">
        <w:trPr>
          <w:jc w:val="center"/>
        </w:trPr>
        <w:tc>
          <w:tcPr>
            <w:tcW w:w="4876" w:type="dxa"/>
          </w:tcPr>
          <w:p w:rsidR="006B5375" w:rsidRPr="00B30E13" w:rsidRDefault="006B5375" w:rsidP="0045552B">
            <w:pPr>
              <w:pStyle w:val="Normal6"/>
            </w:pPr>
            <w:r w:rsidRPr="00B30E13">
              <w:rPr>
                <w:vertAlign w:val="superscript"/>
              </w:rPr>
              <w:t>23</w:t>
            </w:r>
            <w:r w:rsidRPr="00B30E13">
              <w:t xml:space="preserve"> Richtlinie 2008/115/EG des Europäischen Parlaments und des Rates vom 16. Dezember 2008 über gemeinsame Normen und Verfahren in den Mitgliedstaaten zur Rückführung illegal aufhältiger Drittstaatsangehöriger (ABl. L 348 vom 24.12.2008, S. 98).</w:t>
            </w:r>
          </w:p>
        </w:tc>
        <w:tc>
          <w:tcPr>
            <w:tcW w:w="4876" w:type="dxa"/>
            <w:hideMark/>
          </w:tcPr>
          <w:p w:rsidR="006B5375" w:rsidRPr="00B30E13" w:rsidRDefault="006B5375" w:rsidP="0045552B">
            <w:pPr>
              <w:pStyle w:val="Normal6"/>
              <w:rPr>
                <w:szCs w:val="24"/>
              </w:rPr>
            </w:pPr>
            <w:r w:rsidRPr="00B30E13">
              <w:rPr>
                <w:vertAlign w:val="superscript"/>
              </w:rPr>
              <w:t>23</w:t>
            </w:r>
            <w:r w:rsidRPr="00B30E13">
              <w:t xml:space="preserve"> Richtlinie 2008/115/EG des Europäischen Parlaments und des Rates vom 16. Dezember 2008 über gemeinsame Normen und Verfahren in den Mitgliedstaaten zur Rückführung illegal aufhältiger Drittstaatsangehöriger (ABl. L 348 vom 24.12.2008, S. 98).</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19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(23)</w:t>
            </w:r>
            <w:r w:rsidRPr="00B30E13">
              <w:tab/>
              <w:t xml:space="preserve">Die Verbindungsbeamten für Einwanderungsfragen müssen personenbezogene Daten verarbeiten, um </w:t>
            </w:r>
            <w:r w:rsidRPr="00B30E13">
              <w:rPr>
                <w:b/>
                <w:i/>
              </w:rPr>
              <w:t>Rückführungen zu erleichtern</w:t>
            </w:r>
            <w:r w:rsidRPr="00B30E13">
              <w:t xml:space="preserve">. Die Bestimmungsdrittländer </w:t>
            </w:r>
            <w:r w:rsidRPr="00B30E13">
              <w:rPr>
                <w:b/>
                <w:i/>
              </w:rPr>
              <w:t>unterliegen</w:t>
            </w:r>
            <w:r w:rsidRPr="00B30E13">
              <w:t xml:space="preserve"> eher selten Angemessenheitsbeschlüssen der Kommission </w:t>
            </w:r>
            <w:r w:rsidRPr="00B30E13">
              <w:rPr>
                <w:b/>
                <w:i/>
              </w:rPr>
              <w:t>nach</w:t>
            </w:r>
            <w:r w:rsidRPr="00B30E13">
              <w:t xml:space="preserve"> Artikel 45 der Verordnung (EU) 2016/679 </w:t>
            </w:r>
            <w:r w:rsidRPr="00B30E13">
              <w:rPr>
                <w:b/>
                <w:i/>
              </w:rPr>
              <w:t>oder nach Artikel 36 der Richtlinie (EU) 2016/680</w:t>
            </w:r>
            <w:r w:rsidRPr="00B30E13">
              <w:t xml:space="preserve"> und haben häufig kein Rückübernahmeabkommen mit der Union geschlossen oder </w:t>
            </w:r>
            <w:r w:rsidRPr="00B30E13">
              <w:rPr>
                <w:b/>
                <w:i/>
              </w:rPr>
              <w:t>beabsichtigen häufig nicht, ein entsprechendes Abkommen zu schließen oder</w:t>
            </w:r>
            <w:r w:rsidRPr="00B30E13">
              <w:t xml:space="preserve"> anderweitig geeignete Garantien im Sinne </w:t>
            </w:r>
            <w:r w:rsidRPr="00B30E13">
              <w:rPr>
                <w:b/>
                <w:i/>
              </w:rPr>
              <w:t>des Artikels</w:t>
            </w:r>
            <w:r w:rsidRPr="00B30E13">
              <w:t xml:space="preserve"> 46 der Verordnung (EU) 2016/679 </w:t>
            </w:r>
            <w:r w:rsidRPr="00B30E13">
              <w:rPr>
                <w:b/>
                <w:i/>
              </w:rPr>
              <w:t xml:space="preserve">oder im Sinne der nationalen Vorschriften zur </w:t>
            </w:r>
            <w:r w:rsidRPr="00B30E13">
              <w:rPr>
                <w:b/>
                <w:i/>
              </w:rPr>
              <w:lastRenderedPageBreak/>
              <w:t>Umsetzung des Artikels 37 der Richtlinie (EU) 2016/680 vorzusehen. Trotz der umfassenden Bemühungen der Union bei der Zusammenarbeit mit den wichtigsten Herkunftsländern illegal aufhältiger Drittstaatsangehörigen, die einer Rückkehrverpflichtung unterliegen, kann nicht immer gewährleistet werden, dass diese Drittländer die völkerrechtliche Verpflichtung zur Rückübernahme eigener Staatsangehöriger systematisch erfüllen</w:t>
            </w:r>
            <w:r w:rsidRPr="00B30E13">
              <w:t xml:space="preserve">. Von der Union oder den Mitgliedstaaten geschlossene oder derzeit ausgehandelte Rückübernahmeabkommen, die geeignete Garantien für die Übermittlung von Daten an Drittländer </w:t>
            </w:r>
            <w:r w:rsidRPr="00B30E13">
              <w:rPr>
                <w:b/>
                <w:i/>
              </w:rPr>
              <w:t xml:space="preserve">nach Artikel 46 der Verordnung (EU) 2016/679 oder nach den nationalen Vorschriften zur Umsetzung des Artikels 36 der Richtlinie (EU) 2016/680 </w:t>
            </w:r>
            <w:r w:rsidRPr="00B30E13">
              <w:t xml:space="preserve">vorsehen, </w:t>
            </w:r>
            <w:r w:rsidRPr="00B30E13">
              <w:rPr>
                <w:b/>
                <w:i/>
              </w:rPr>
              <w:t>erstrecken sich auf eine begrenzte Anzahl solcher Drittländer.</w:t>
            </w:r>
            <w:r w:rsidRPr="00B30E13">
              <w:t xml:space="preserve"> </w:t>
            </w:r>
            <w:r w:rsidRPr="00B30E13">
              <w:rPr>
                <w:b/>
                <w:i/>
              </w:rPr>
              <w:t>In den Fällen, in denen keine entsprechenden Abkommen bestehen, sollten personenbezogene Daten zwecks Durchführung der Rückführungsmaßnahmen der Union unter den Bedingungen des Artikels 49 Absatz 1 Buchstabe d der Verordnung (EU) 2016/679 oder der nationalen Vorschriften zur Umsetzung des Artikels 38 der Richtlinie (EU) 2016/680 von den Verbindungsbeamten für Einwanderungsfragen übermittelt werden.</w:t>
            </w:r>
          </w:p>
        </w:tc>
        <w:tc>
          <w:tcPr>
            <w:tcW w:w="4876" w:type="dxa"/>
            <w:hideMark/>
          </w:tcPr>
          <w:p w:rsidR="006B5375" w:rsidRPr="00B30E13" w:rsidRDefault="006B5375" w:rsidP="0045552B">
            <w:pPr>
              <w:pStyle w:val="Normal6"/>
              <w:rPr>
                <w:szCs w:val="24"/>
              </w:rPr>
            </w:pPr>
            <w:r w:rsidRPr="00B30E13">
              <w:lastRenderedPageBreak/>
              <w:t>(23)</w:t>
            </w:r>
            <w:r w:rsidRPr="00B30E13">
              <w:tab/>
              <w:t xml:space="preserve">Die Verbindungsbeamten für Einwanderungsfragen müssen personenbezogene Daten verarbeiten, um </w:t>
            </w:r>
            <w:r w:rsidRPr="00B30E13">
              <w:rPr>
                <w:b/>
                <w:i/>
              </w:rPr>
              <w:t>die ordnungsgemäße Durchführung von Rückführungsverfahren und die Durchsetzung von zur Rückkehr verpflichtenden Entscheidungen sicherzustellen</w:t>
            </w:r>
            <w:r w:rsidRPr="00B30E13">
              <w:t xml:space="preserve">. Die Bestimmungsdrittländer </w:t>
            </w:r>
            <w:r w:rsidRPr="00B30E13">
              <w:rPr>
                <w:b/>
                <w:i/>
              </w:rPr>
              <w:t>sind</w:t>
            </w:r>
            <w:r w:rsidRPr="00B30E13">
              <w:t xml:space="preserve"> eher selten </w:t>
            </w:r>
            <w:r w:rsidRPr="00B30E13">
              <w:rPr>
                <w:b/>
                <w:i/>
              </w:rPr>
              <w:t xml:space="preserve">Gegenstand von </w:t>
            </w:r>
            <w:r w:rsidRPr="00B30E13">
              <w:t xml:space="preserve">Angemessenheitsbeschlüssen der Kommission </w:t>
            </w:r>
            <w:r w:rsidRPr="00B30E13">
              <w:rPr>
                <w:b/>
                <w:i/>
              </w:rPr>
              <w:t>im Sinne von</w:t>
            </w:r>
            <w:r w:rsidRPr="00B30E13">
              <w:t xml:space="preserve"> Artikel 45 der Verordnung (EU) 2016/679 </w:t>
            </w:r>
            <w:r w:rsidRPr="00B30E13">
              <w:rPr>
                <w:b/>
                <w:i/>
              </w:rPr>
              <w:t>des Europäischen Parlaments und des Rates</w:t>
            </w:r>
            <w:r w:rsidRPr="00B30E13">
              <w:t xml:space="preserve"> und haben häufig kein Rückübernahmeabkommen mit der Union geschlossen oder </w:t>
            </w:r>
            <w:r w:rsidRPr="00B30E13">
              <w:rPr>
                <w:b/>
                <w:i/>
              </w:rPr>
              <w:t>sehen</w:t>
            </w:r>
            <w:r w:rsidRPr="00B30E13">
              <w:t xml:space="preserve"> anderweitig </w:t>
            </w:r>
            <w:r w:rsidRPr="00B30E13">
              <w:lastRenderedPageBreak/>
              <w:t xml:space="preserve">geeignete Garantien im Sinne </w:t>
            </w:r>
            <w:r w:rsidRPr="00B30E13">
              <w:rPr>
                <w:b/>
                <w:i/>
              </w:rPr>
              <w:t>von Artikel</w:t>
            </w:r>
            <w:r w:rsidRPr="00B30E13">
              <w:t xml:space="preserve"> 46 der Verordnung (EU) 2016/679 </w:t>
            </w:r>
            <w:r w:rsidRPr="00B30E13">
              <w:rPr>
                <w:b/>
                <w:i/>
              </w:rPr>
              <w:t>vor</w:t>
            </w:r>
            <w:r w:rsidRPr="00B30E13">
              <w:t xml:space="preserve">. Von der Union oder den Mitgliedstaaten geschlossene oder derzeit ausgehandelte Rückübernahmeabkommen, die geeignete Garantien für die Übermittlung von Daten an Drittländer vorsehen, sollten </w:t>
            </w:r>
            <w:r w:rsidRPr="00B30E13">
              <w:rPr>
                <w:b/>
                <w:i/>
              </w:rPr>
              <w:t>die in Kapitel V</w:t>
            </w:r>
            <w:r w:rsidRPr="00B30E13">
              <w:t xml:space="preserve"> der Verordnung (EU) 2016/679 </w:t>
            </w:r>
            <w:r w:rsidRPr="00B30E13">
              <w:rPr>
                <w:b/>
                <w:i/>
              </w:rPr>
              <w:t>aufgeführten Regelungen enthalten</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(24)</w:t>
            </w:r>
            <w:r w:rsidRPr="00B30E13">
              <w:tab/>
              <w:t xml:space="preserve">Im Interesse der betroffenen Personen sollten die Verbindungsbeamten für Einwanderungsfragen in der Lage sein, personenbezogene Daten von Personen, die internationalen Schutz benötigen </w:t>
            </w:r>
            <w:r w:rsidRPr="00B30E13">
              <w:rPr>
                <w:b/>
                <w:i/>
              </w:rPr>
              <w:t xml:space="preserve">und neu </w:t>
            </w:r>
            <w:r w:rsidRPr="00B30E13">
              <w:rPr>
                <w:b/>
                <w:i/>
              </w:rPr>
              <w:lastRenderedPageBreak/>
              <w:t>angesiedelt werden sollen</w:t>
            </w:r>
            <w:r w:rsidRPr="00B30E13">
              <w:t>, sowie von Personen, die legal in die Union einreisen möchten, zu verarbeiten, um ihre Identität und Staatsangehörigkeit zu bestätigen.</w:t>
            </w:r>
          </w:p>
        </w:tc>
        <w:tc>
          <w:tcPr>
            <w:tcW w:w="4876" w:type="dxa"/>
            <w:hideMark/>
          </w:tcPr>
          <w:p w:rsidR="006B5375" w:rsidRPr="00B30E13" w:rsidRDefault="006B5375" w:rsidP="0045552B">
            <w:pPr>
              <w:pStyle w:val="Normal6"/>
              <w:rPr>
                <w:szCs w:val="24"/>
              </w:rPr>
            </w:pPr>
            <w:r w:rsidRPr="00B30E13">
              <w:lastRenderedPageBreak/>
              <w:t>(24)</w:t>
            </w:r>
            <w:r w:rsidRPr="00B30E13">
              <w:tab/>
              <w:t xml:space="preserve">Im Interesse der betroffenen Personen sollten die Verbindungsbeamten für Einwanderungsfragen in der Lage sein, personenbezogene Daten von Personen, die internationalen Schutz benötigen </w:t>
            </w:r>
            <w:r w:rsidRPr="00B30E13">
              <w:rPr>
                <w:b/>
                <w:i/>
              </w:rPr>
              <w:t xml:space="preserve">oder die </w:t>
            </w:r>
            <w:r w:rsidRPr="00B30E13">
              <w:rPr>
                <w:b/>
                <w:i/>
              </w:rPr>
              <w:lastRenderedPageBreak/>
              <w:t>einen Antrag auf und Neuansiedlung gestellt haben</w:t>
            </w:r>
            <w:r w:rsidRPr="00B30E13">
              <w:t>, sowie von Personen, die legal in die Union einreisen möchten, zu verarbeiten, um ihre Identität und Staatsangehörigkeit zu bestätigen.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Erwägung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(25)</w:t>
            </w:r>
            <w:r w:rsidRPr="00B30E13">
              <w:tab/>
              <w:t xml:space="preserve">Da die Ziele dieser Verordnung – der optimierte Einsatz von Verbindungsbeamten für Einwanderungsfragen, die von den Mitgliedstaaten, der Kommission und den EU-Agenturen in Drittländer entsandt werden, um Prioritäten der Union </w:t>
            </w:r>
            <w:r w:rsidRPr="00B30E13">
              <w:rPr>
                <w:b/>
                <w:i/>
              </w:rPr>
              <w:t>im Hinblick auf</w:t>
            </w:r>
            <w:r w:rsidRPr="00B30E13">
              <w:t xml:space="preserve"> die </w:t>
            </w:r>
            <w:r w:rsidRPr="00B30E13">
              <w:rPr>
                <w:b/>
                <w:i/>
              </w:rPr>
              <w:t>Verhütung</w:t>
            </w:r>
            <w:r w:rsidRPr="00B30E13">
              <w:t xml:space="preserve"> und Bekämpfung </w:t>
            </w:r>
            <w:r w:rsidRPr="00B30E13">
              <w:rPr>
                <w:b/>
                <w:i/>
              </w:rPr>
              <w:t>der illegalen Einwanderung</w:t>
            </w:r>
            <w:r w:rsidRPr="00B30E13">
              <w:t xml:space="preserve">, die Erleichterung </w:t>
            </w:r>
            <w:r w:rsidRPr="00B30E13">
              <w:rPr>
                <w:b/>
                <w:i/>
              </w:rPr>
              <w:t>von Rückkehr</w:t>
            </w:r>
            <w:r w:rsidRPr="00B30E13">
              <w:t xml:space="preserve">, Rückübernahme und Wiedereingliederung, die Förderung des integrierten Managements der Außengrenzen der Union sowie die Unterstützung der Steuerung der legalen Einwanderung oder von internationalen Schutzmechanismen </w:t>
            </w:r>
            <w:r w:rsidRPr="00B30E13">
              <w:rPr>
                <w:b/>
                <w:i/>
              </w:rPr>
              <w:t>wirksamer umzusetzen</w:t>
            </w:r>
            <w:r w:rsidRPr="00B30E13">
              <w:t xml:space="preserve"> – von den Mitgliedstaaten allein nicht ausreichend verwirklicht werden können, sondern sich durch Koordinierung auf Unionsebene besser erreichen lassen, kann die Union im Einklang mit dem in Artikel 5 des Vertrags über die Europäische Union niedergelegten Subsidiaritätsprinzip tätig werden. </w:t>
            </w:r>
            <w:r w:rsidRPr="00B30E13">
              <w:rPr>
                <w:b/>
                <w:i/>
              </w:rPr>
              <w:t>Entsprechend dem in demselben Artikel genannten Grundsatz der Verhältnismäßigkeit geht diese Verordnung nicht über das für die Erreichung dieser Ziele erforderliche Maß hinaus.</w:t>
            </w:r>
          </w:p>
        </w:tc>
        <w:tc>
          <w:tcPr>
            <w:tcW w:w="4876" w:type="dxa"/>
            <w:hideMark/>
          </w:tcPr>
          <w:p w:rsidR="006B5375" w:rsidRPr="00B30E13" w:rsidRDefault="006B5375" w:rsidP="0045552B">
            <w:pPr>
              <w:pStyle w:val="Normal6"/>
              <w:rPr>
                <w:szCs w:val="24"/>
              </w:rPr>
            </w:pPr>
            <w:r w:rsidRPr="00B30E13">
              <w:t>(25)</w:t>
            </w:r>
            <w:r w:rsidRPr="00B30E13">
              <w:tab/>
              <w:t xml:space="preserve">Da die Ziele dieser Verordnung – der optimierte Einsatz </w:t>
            </w:r>
            <w:r w:rsidRPr="00B30E13">
              <w:rPr>
                <w:b/>
                <w:i/>
              </w:rPr>
              <w:t xml:space="preserve">der unterschiedlichen Fachkenntnisse </w:t>
            </w:r>
            <w:r w:rsidRPr="00B30E13">
              <w:t xml:space="preserve">von Verbindungsbeamten für Einwanderungsfragen, die von den Mitgliedstaaten, der Kommission und den EU-Agenturen in Drittländer entsandt werden, um </w:t>
            </w:r>
            <w:r w:rsidRPr="00B30E13">
              <w:rPr>
                <w:b/>
                <w:i/>
              </w:rPr>
              <w:t xml:space="preserve">die </w:t>
            </w:r>
            <w:r w:rsidRPr="00B30E13">
              <w:t xml:space="preserve">Prioritäten der Union </w:t>
            </w:r>
            <w:r w:rsidRPr="00B30E13">
              <w:rPr>
                <w:b/>
                <w:i/>
              </w:rPr>
              <w:t>effektiver umzusetzen, und zwar die Sicherstellung einer besseren Steuerung der Migration, die schrittweise Ersetzung der irregulären Migration durch sichere und legale Wege für Asyl und Migration,</w:t>
            </w:r>
            <w:r w:rsidRPr="00B30E13">
              <w:t xml:space="preserve"> die </w:t>
            </w:r>
            <w:r w:rsidRPr="00B30E13">
              <w:rPr>
                <w:b/>
                <w:i/>
              </w:rPr>
              <w:t>Prävention</w:t>
            </w:r>
            <w:r w:rsidRPr="00B30E13">
              <w:t xml:space="preserve"> und Bekämpfung </w:t>
            </w:r>
            <w:r w:rsidRPr="00B30E13">
              <w:rPr>
                <w:b/>
                <w:i/>
              </w:rPr>
              <w:t>von Schleuserkriminalität und Menschenhandel</w:t>
            </w:r>
            <w:r w:rsidRPr="00B30E13">
              <w:t xml:space="preserve">, die Erleichterung </w:t>
            </w:r>
            <w:r w:rsidRPr="00B30E13">
              <w:rPr>
                <w:b/>
                <w:i/>
              </w:rPr>
              <w:t>einer menschenwürdigen und wirksamen Rückführung</w:t>
            </w:r>
            <w:r w:rsidRPr="00B30E13">
              <w:t xml:space="preserve">, Rückübernahme und Wiedereingliederung, die Förderung des integrierten Managements der Außengrenzen der Union sowie die Unterstützung der Steuerung der legalen Einwanderung oder von internationalen Schutzmechanismen </w:t>
            </w:r>
            <w:r w:rsidRPr="00B30E13">
              <w:rPr>
                <w:b/>
                <w:i/>
              </w:rPr>
              <w:t>unter uneingeschränkter Wahrung der humanitären Verpflichtungen und Menschenrechtsverpflichtungen</w:t>
            </w:r>
            <w:r w:rsidRPr="00B30E13">
              <w:t xml:space="preserve"> – von den Mitgliedstaaten allein nicht ausreichend verwirklicht werden können, sondern sich durch Koordinierung auf Unionsebene besser erreichen lassen, kann die Union im Einklang mit dem in Artikel 5 des Vertrags über die Europäische Union niedergelegten Subsidiaritätsprinzip tätig werden. Die vorliegende Verordnung geht im Einklang </w:t>
            </w:r>
            <w:r w:rsidRPr="00B30E13">
              <w:lastRenderedPageBreak/>
              <w:t>mit dem in demselben Artikel genannten Grundsatz der Verhältnismäßigkeit nicht über das für die Verwirklichung dieser Ziele erforderliche Maß hinaus.</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t xml:space="preserve">Diese Verordnung enthält Bestimmungen, mit denen die Koordinierung der von den Mitgliedstaaten, der Kommission und den Agenturen der Union in Drittländer entsandten Verbindungsbeamten für Einwanderungsfragen durch die Schaffung eines europäischen Netzes von Verbindungsbeamten für Einwanderungsfragen </w:t>
            </w:r>
            <w:r w:rsidRPr="00B30E13">
              <w:rPr>
                <w:b/>
                <w:i/>
              </w:rPr>
              <w:t>verbessert</w:t>
            </w:r>
            <w:r w:rsidRPr="00B30E13">
              <w:t xml:space="preserve"> werden soll.</w:t>
            </w:r>
          </w:p>
        </w:tc>
        <w:tc>
          <w:tcPr>
            <w:tcW w:w="4876" w:type="dxa"/>
            <w:hideMark/>
          </w:tcPr>
          <w:p w:rsidR="006B5375" w:rsidRPr="00B30E13" w:rsidRDefault="006B5375" w:rsidP="0045552B">
            <w:pPr>
              <w:pStyle w:val="Normal6"/>
              <w:rPr>
                <w:szCs w:val="24"/>
              </w:rPr>
            </w:pPr>
            <w:r w:rsidRPr="00B30E13">
              <w:t>(1)</w:t>
            </w:r>
            <w:r w:rsidRPr="00B30E13">
              <w:tab/>
              <w:t xml:space="preserve">Diese Verordnung enthält Bestimmungen, mit denen die </w:t>
            </w:r>
            <w:r w:rsidRPr="00B30E13">
              <w:rPr>
                <w:b/>
                <w:i/>
              </w:rPr>
              <w:t xml:space="preserve">Zusammenarbeit und </w:t>
            </w:r>
            <w:r w:rsidRPr="00B30E13">
              <w:t xml:space="preserve">Koordinierung der von den Mitgliedstaaten, der Kommission und den Agenturen der Union in Drittländer entsandten Verbindungsbeamten für Einwanderungsfragen durch die Schaffung eines europäischen Netzes von Verbindungsbeamten für Einwanderungsfragen </w:t>
            </w:r>
            <w:r w:rsidRPr="00B30E13">
              <w:rPr>
                <w:b/>
                <w:i/>
              </w:rPr>
              <w:t>unter Achtung der Menschenrechte verstärkt</w:t>
            </w:r>
            <w:r w:rsidRPr="00B30E13">
              <w:t xml:space="preserve"> werden soll.</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2 – Absatz 1 – Nummer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t>„Verbindungsbeamte für Einwanderungsfragen“</w:t>
            </w:r>
            <w:r w:rsidRPr="00B30E13">
              <w:rPr>
                <w:b/>
                <w:i/>
              </w:rPr>
              <w:t>:</w:t>
            </w:r>
          </w:p>
        </w:tc>
        <w:tc>
          <w:tcPr>
            <w:tcW w:w="4876" w:type="dxa"/>
            <w:hideMark/>
          </w:tcPr>
          <w:p w:rsidR="006B5375" w:rsidRPr="00B30E13" w:rsidRDefault="006B5375" w:rsidP="0045552B">
            <w:pPr>
              <w:pStyle w:val="Normal6"/>
              <w:rPr>
                <w:szCs w:val="24"/>
              </w:rPr>
            </w:pPr>
            <w:r w:rsidRPr="00B30E13">
              <w:t>(1)</w:t>
            </w:r>
            <w:r w:rsidRPr="00B30E13">
              <w:tab/>
              <w:t>„Verbindungsbeamte für Einwanderungsfragen“</w:t>
            </w:r>
            <w:r w:rsidRPr="00B30E13">
              <w:rPr>
                <w:b/>
                <w:i/>
              </w:rPr>
              <w:t xml:space="preserve"> Verbindungsbeamte, die von den zuständigen Behörden eines der Mitgliedstaaten, der Kommission oder einer Agentur der Union gemäß dem für die betreffende Agentur geltenden Rechtsakt der Union benannt und ins Ausland entsandt werden, um sich mit Einwanderungsfragen zu befassen;</w:t>
            </w:r>
          </w:p>
        </w:tc>
      </w:tr>
      <w:tr w:rsidR="006B5375" w:rsidRPr="00B30E13" w:rsidTr="0045552B">
        <w:trPr>
          <w:jc w:val="center"/>
        </w:trPr>
        <w:tc>
          <w:tcPr>
            <w:tcW w:w="4876" w:type="dxa"/>
          </w:tcPr>
          <w:p w:rsidR="006B5375" w:rsidRPr="00B30E13" w:rsidRDefault="006B5375" w:rsidP="0045552B">
            <w:pPr>
              <w:pStyle w:val="Normal6"/>
              <w:rPr>
                <w:b/>
                <w:i/>
              </w:rPr>
            </w:pPr>
            <w:r w:rsidRPr="00B30E13">
              <w:rPr>
                <w:b/>
                <w:i/>
              </w:rPr>
              <w:t xml:space="preserve">(a) Vertreter eines Mitgliedstaats, die von der Einwanderungsbehörde , einer Strafvollzugsbehörde oder einer anderen zuständigen Behörde ins Ausland entsandt werden, um Kontakte zu den </w:t>
            </w:r>
            <w:r w:rsidRPr="00B30E13">
              <w:rPr>
                <w:b/>
                <w:i/>
              </w:rPr>
              <w:lastRenderedPageBreak/>
              <w:t>Behörden eines Drittlandes herzustellen und aufrechtzuerhalten mit dem Ziel, zur Verhinderung und Bekämpfung der illegalen Einwanderung, zur Rückkehr illegal aufhältiger Drittstaatsangehöriger und zur Steuerung der legalen Einwanderung beizutragen;</w:t>
            </w:r>
          </w:p>
        </w:tc>
        <w:tc>
          <w:tcPr>
            <w:tcW w:w="4876" w:type="dxa"/>
          </w:tcPr>
          <w:p w:rsidR="006B5375" w:rsidRPr="00B30E13" w:rsidRDefault="006B5375" w:rsidP="0045552B">
            <w:pPr>
              <w:pStyle w:val="Normal6"/>
            </w:pPr>
          </w:p>
        </w:tc>
      </w:tr>
      <w:tr w:rsidR="006B5375" w:rsidRPr="00B30E13" w:rsidTr="0045552B">
        <w:trPr>
          <w:jc w:val="center"/>
        </w:trPr>
        <w:tc>
          <w:tcPr>
            <w:tcW w:w="4876" w:type="dxa"/>
          </w:tcPr>
          <w:p w:rsidR="006B5375" w:rsidRPr="00B30E13" w:rsidRDefault="006B5375" w:rsidP="0045552B">
            <w:pPr>
              <w:pStyle w:val="Normal6"/>
              <w:rPr>
                <w:b/>
                <w:i/>
              </w:rPr>
            </w:pPr>
            <w:r w:rsidRPr="00B30E13">
              <w:rPr>
                <w:b/>
                <w:i/>
              </w:rPr>
              <w:t>(b)</w:t>
            </w:r>
            <w:r w:rsidRPr="00B30E13">
              <w:rPr>
                <w:b/>
                <w:i/>
              </w:rPr>
              <w:tab/>
              <w:t>Verbindungsbeamte, die von der Kommission ins Ausland entsandt werden, um zwecks Klärung von Einwanderungsfragen Kontakte zu den Behörden des Drittlandes herzustellen und aufrechtzuerhalten;</w:t>
            </w:r>
          </w:p>
        </w:tc>
        <w:tc>
          <w:tcPr>
            <w:tcW w:w="4876" w:type="dxa"/>
          </w:tcPr>
          <w:p w:rsidR="006B5375" w:rsidRPr="00B30E13" w:rsidRDefault="006B5375" w:rsidP="0045552B">
            <w:pPr>
              <w:pStyle w:val="Normal6"/>
            </w:pPr>
          </w:p>
        </w:tc>
      </w:tr>
      <w:tr w:rsidR="006B5375" w:rsidRPr="00B30E13" w:rsidTr="0045552B">
        <w:trPr>
          <w:jc w:val="center"/>
        </w:trPr>
        <w:tc>
          <w:tcPr>
            <w:tcW w:w="4876" w:type="dxa"/>
          </w:tcPr>
          <w:p w:rsidR="006B5375" w:rsidRPr="00B30E13" w:rsidRDefault="006B5375" w:rsidP="0045552B">
            <w:pPr>
              <w:pStyle w:val="Normal6"/>
              <w:rPr>
                <w:b/>
                <w:i/>
              </w:rPr>
            </w:pPr>
            <w:r w:rsidRPr="00B30E13">
              <w:rPr>
                <w:b/>
                <w:i/>
              </w:rPr>
              <w:t>(c)</w:t>
            </w:r>
            <w:r w:rsidRPr="00B30E13">
              <w:rPr>
                <w:b/>
                <w:i/>
              </w:rPr>
              <w:tab/>
              <w:t>Verbindungsbeamte, die von den Agenturen der Union gemäß ihrer jeweiligen Rechtsgrundlage ins Ausland entsandt werden und sich mit Einwanderungsfragen befassen;</w:t>
            </w:r>
          </w:p>
        </w:tc>
        <w:tc>
          <w:tcPr>
            <w:tcW w:w="4876" w:type="dxa"/>
          </w:tcPr>
          <w:p w:rsidR="006B5375" w:rsidRPr="00B30E13" w:rsidRDefault="006B5375" w:rsidP="0045552B">
            <w:pPr>
              <w:pStyle w:val="Normal6"/>
            </w:pP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t>Die Verbindungsbeamten für Einwanderungsfragen</w:t>
            </w:r>
            <w:r w:rsidRPr="00B30E13">
              <w:rPr>
                <w:b/>
                <w:i/>
              </w:rPr>
              <w:t> </w:t>
            </w:r>
            <w:r w:rsidRPr="00B30E13">
              <w:t>stellen direkte Kontakte zu den zuständigen Behörden</w:t>
            </w:r>
            <w:r w:rsidRPr="00B30E13">
              <w:rPr>
                <w:b/>
                <w:i/>
              </w:rPr>
              <w:t> </w:t>
            </w:r>
            <w:r w:rsidRPr="00B30E13">
              <w:t>des</w:t>
            </w:r>
            <w:r w:rsidRPr="00B30E13">
              <w:rPr>
                <w:b/>
                <w:i/>
              </w:rPr>
              <w:t> </w:t>
            </w:r>
            <w:r w:rsidRPr="00B30E13">
              <w:t>Drittlandes</w:t>
            </w:r>
            <w:r w:rsidRPr="00B30E13">
              <w:rPr>
                <w:b/>
                <w:i/>
              </w:rPr>
              <w:t xml:space="preserve"> und gegebenenfalls</w:t>
            </w:r>
            <w:r w:rsidRPr="00B30E13">
              <w:t xml:space="preserve"> zu geeigneten Organisationen im</w:t>
            </w:r>
            <w:r w:rsidRPr="00B30E13">
              <w:rPr>
                <w:b/>
                <w:i/>
              </w:rPr>
              <w:t> </w:t>
            </w:r>
            <w:r w:rsidRPr="00B30E13">
              <w:t>Drittland her und</w:t>
            </w:r>
            <w:r w:rsidRPr="00B30E13">
              <w:rPr>
                <w:b/>
                <w:i/>
              </w:rPr>
              <w:t> </w:t>
            </w:r>
            <w:r w:rsidRPr="00B30E13">
              <w:t>erhalten diese aufrecht, um</w:t>
            </w:r>
            <w:r w:rsidRPr="00B30E13">
              <w:rPr>
                <w:b/>
                <w:i/>
              </w:rPr>
              <w:t> </w:t>
            </w:r>
            <w:r w:rsidRPr="00B30E13">
              <w:t>diese Verordnung umzusetzen</w:t>
            </w:r>
            <w:r w:rsidRPr="00B30E13">
              <w:rPr>
                <w:b/>
                <w:i/>
              </w:rPr>
              <w:t> </w:t>
            </w:r>
            <w:r w:rsidRPr="00B30E13">
              <w:t>.</w:t>
            </w:r>
          </w:p>
        </w:tc>
        <w:tc>
          <w:tcPr>
            <w:tcW w:w="4876" w:type="dxa"/>
            <w:hideMark/>
          </w:tcPr>
          <w:p w:rsidR="006B5375" w:rsidRPr="00B30E13" w:rsidRDefault="006B5375" w:rsidP="0045552B">
            <w:pPr>
              <w:pStyle w:val="Normal6"/>
              <w:rPr>
                <w:szCs w:val="24"/>
              </w:rPr>
            </w:pPr>
            <w:r w:rsidRPr="00B30E13">
              <w:t>(1)</w:t>
            </w:r>
            <w:r w:rsidRPr="00B30E13">
              <w:tab/>
              <w:t>Die Verbindungsbeamten für Einwanderungsfragen</w:t>
            </w:r>
            <w:r w:rsidRPr="00B30E13">
              <w:rPr>
                <w:b/>
                <w:i/>
              </w:rPr>
              <w:t xml:space="preserve"> </w:t>
            </w:r>
            <w:r w:rsidRPr="00B30E13">
              <w:t>stellen direkte Kontakte zu den zuständigen Behörden</w:t>
            </w:r>
            <w:r w:rsidRPr="00B30E13">
              <w:rPr>
                <w:b/>
                <w:i/>
              </w:rPr>
              <w:t xml:space="preserve"> </w:t>
            </w:r>
            <w:r w:rsidRPr="00B30E13">
              <w:t>des</w:t>
            </w:r>
            <w:r w:rsidRPr="00B30E13">
              <w:rPr>
                <w:b/>
                <w:i/>
              </w:rPr>
              <w:t xml:space="preserve"> </w:t>
            </w:r>
            <w:r w:rsidRPr="00B30E13">
              <w:t>Drittlandes</w:t>
            </w:r>
            <w:r w:rsidRPr="00B30E13">
              <w:rPr>
                <w:b/>
                <w:i/>
              </w:rPr>
              <w:t>, einschließlich der lokalen Behörden, und</w:t>
            </w:r>
            <w:r w:rsidRPr="00B30E13">
              <w:t xml:space="preserve"> zu geeigneten Organisationen im</w:t>
            </w:r>
            <w:r w:rsidRPr="00B30E13">
              <w:rPr>
                <w:b/>
                <w:i/>
              </w:rPr>
              <w:t xml:space="preserve"> </w:t>
            </w:r>
            <w:r w:rsidRPr="00B30E13">
              <w:t>Drittland</w:t>
            </w:r>
            <w:r w:rsidRPr="00B30E13">
              <w:rPr>
                <w:b/>
                <w:i/>
              </w:rPr>
              <w:t>, einschließlich relevanter internationaler Organisationen,</w:t>
            </w:r>
            <w:r w:rsidRPr="00B30E13">
              <w:t xml:space="preserve"> her und</w:t>
            </w:r>
            <w:r w:rsidRPr="00B30E13">
              <w:rPr>
                <w:b/>
                <w:i/>
              </w:rPr>
              <w:t xml:space="preserve"> </w:t>
            </w:r>
            <w:r w:rsidRPr="00B30E13">
              <w:t>erhalten diese aufrecht, um</w:t>
            </w:r>
            <w:r w:rsidRPr="00B30E13">
              <w:rPr>
                <w:b/>
                <w:i/>
              </w:rPr>
              <w:t xml:space="preserve"> </w:t>
            </w:r>
            <w:r w:rsidRPr="00B30E13">
              <w:t>diese Verordnung umzusetzen.</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lastRenderedPageBreak/>
        <w:t>Änderungsantrag</w:t>
      </w:r>
      <w:r w:rsidRPr="00B30E13">
        <w:tab/>
      </w:r>
      <w:r w:rsidRPr="00B30E13">
        <w:tab/>
        <w:t>25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Einleitung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w:t>
            </w:r>
            <w:r w:rsidRPr="00B30E13">
              <w:tab/>
              <w:t xml:space="preserve">Die Verbindungsbeamten für Einwanderungsfragen sammeln Informationen, die zur Nutzung entweder auf operativer oder strategischer Ebene oder auf beiden Ebenen bestimmt sind. Diese Informationen dürfen keine personenbezogenen Daten enthalten. Diese Informationen </w:t>
            </w:r>
            <w:r w:rsidRPr="00B30E13">
              <w:rPr>
                <w:b/>
                <w:i/>
              </w:rPr>
              <w:t>betreffen insbesondere</w:t>
            </w:r>
            <w:r w:rsidRPr="00B30E13">
              <w:t xml:space="preserve"> folgende Fragen:</w:t>
            </w:r>
          </w:p>
        </w:tc>
        <w:tc>
          <w:tcPr>
            <w:tcW w:w="4876" w:type="dxa"/>
            <w:hideMark/>
          </w:tcPr>
          <w:p w:rsidR="006B5375" w:rsidRPr="00B30E13" w:rsidRDefault="006B5375" w:rsidP="0045552B">
            <w:pPr>
              <w:pStyle w:val="Normal6"/>
              <w:rPr>
                <w:szCs w:val="24"/>
              </w:rPr>
            </w:pPr>
            <w:r w:rsidRPr="00B30E13">
              <w:t>(2)</w:t>
            </w:r>
            <w:r w:rsidRPr="00B30E13">
              <w:tab/>
            </w:r>
            <w:r w:rsidRPr="00B30E13">
              <w:rPr>
                <w:sz w:val="23"/>
                <w:szCs w:val="23"/>
              </w:rPr>
              <w:t xml:space="preserve">Die Verbindungsbeamten für Einwanderungsfragen sammeln Informationen, die zur Nutzung entweder auf operativer oder strategischer Ebene oder auf beiden Ebenen bestimmt sind. Diese Informationen dürfen keine personenbezogenen Daten enthalten. Diese Informationen </w:t>
            </w:r>
            <w:r w:rsidRPr="00B30E13">
              <w:rPr>
                <w:b/>
                <w:i/>
                <w:sz w:val="23"/>
                <w:szCs w:val="23"/>
              </w:rPr>
              <w:t>dürfen sich ausschließlich</w:t>
            </w:r>
            <w:r w:rsidRPr="00B30E13">
              <w:rPr>
                <w:sz w:val="23"/>
                <w:szCs w:val="23"/>
              </w:rPr>
              <w:t xml:space="preserve"> folgende Fragen</w:t>
            </w:r>
            <w:r w:rsidRPr="00B30E13">
              <w:rPr>
                <w:b/>
                <w:i/>
                <w:sz w:val="23"/>
                <w:szCs w:val="23"/>
              </w:rPr>
              <w:t xml:space="preserve"> beziehen</w:t>
            </w:r>
            <w:r w:rsidRPr="00B30E13">
              <w:rPr>
                <w:sz w:val="23"/>
                <w:szCs w:val="23"/>
              </w:rPr>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a)</w:t>
            </w:r>
            <w:r w:rsidRPr="00B30E13">
              <w:tab/>
              <w:t>Migrationsströme</w:t>
            </w:r>
            <w:r w:rsidRPr="00B30E13">
              <w:rPr>
                <w:b/>
                <w:i/>
              </w:rPr>
              <w:t> </w:t>
            </w:r>
            <w:r w:rsidRPr="00B30E13">
              <w:t>, die ihren Ursprung im</w:t>
            </w:r>
            <w:r w:rsidRPr="00B30E13">
              <w:rPr>
                <w:b/>
                <w:i/>
              </w:rPr>
              <w:t> </w:t>
            </w:r>
            <w:r w:rsidRPr="00B30E13">
              <w:t>Drittland nehmen oder das</w:t>
            </w:r>
            <w:r w:rsidRPr="00B30E13">
              <w:rPr>
                <w:b/>
                <w:i/>
              </w:rPr>
              <w:t> </w:t>
            </w:r>
            <w:r w:rsidRPr="00B30E13">
              <w:t>Drittland durchqueren;</w:t>
            </w:r>
          </w:p>
        </w:tc>
        <w:tc>
          <w:tcPr>
            <w:tcW w:w="4876" w:type="dxa"/>
            <w:hideMark/>
          </w:tcPr>
          <w:p w:rsidR="006B5375" w:rsidRPr="00B30E13" w:rsidRDefault="006B5375" w:rsidP="0045552B">
            <w:pPr>
              <w:pStyle w:val="Normal6"/>
              <w:rPr>
                <w:szCs w:val="24"/>
              </w:rPr>
            </w:pPr>
            <w:r w:rsidRPr="00B30E13">
              <w:t>a)</w:t>
            </w:r>
            <w:r w:rsidRPr="00B30E13">
              <w:tab/>
              <w:t>Migrationsströme, die ihren Ursprung im</w:t>
            </w:r>
            <w:r w:rsidRPr="00B30E13">
              <w:rPr>
                <w:b/>
                <w:i/>
              </w:rPr>
              <w:t xml:space="preserve"> </w:t>
            </w:r>
            <w:r w:rsidRPr="00B30E13">
              <w:t>Drittland nehmen oder das</w:t>
            </w:r>
            <w:r w:rsidRPr="00B30E13">
              <w:rPr>
                <w:b/>
                <w:i/>
              </w:rPr>
              <w:t xml:space="preserve"> </w:t>
            </w:r>
            <w:r w:rsidRPr="00B30E13">
              <w:t>Drittland durchqueren</w:t>
            </w:r>
            <w:r w:rsidRPr="00B30E13">
              <w:rPr>
                <w:b/>
                <w:i/>
              </w:rPr>
              <w:t>, einschließlich Informationen über das Alters- und Geschlechtsprofil der Migranten sowie über ihre geplanten Migrationsrouten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d)</w:t>
            </w:r>
            <w:r w:rsidRPr="00B30E13">
              <w:tab/>
              <w:t xml:space="preserve">Vorfälle und Ereignisse, die Anlass für neue Entwicklungen </w:t>
            </w:r>
            <w:r w:rsidRPr="00B30E13">
              <w:lastRenderedPageBreak/>
              <w:t>bei </w:t>
            </w:r>
            <w:r w:rsidRPr="00B30E13">
              <w:rPr>
                <w:b/>
                <w:i/>
              </w:rPr>
              <w:t>Migrationsströmen</w:t>
            </w:r>
            <w:r w:rsidRPr="00B30E13">
              <w:t xml:space="preserve"> sein oder werden können;</w:t>
            </w:r>
          </w:p>
        </w:tc>
        <w:tc>
          <w:tcPr>
            <w:tcW w:w="4876" w:type="dxa"/>
            <w:hideMark/>
          </w:tcPr>
          <w:p w:rsidR="006B5375" w:rsidRPr="00B30E13" w:rsidRDefault="006B5375" w:rsidP="0045552B">
            <w:pPr>
              <w:pStyle w:val="Normal6"/>
              <w:rPr>
                <w:szCs w:val="24"/>
              </w:rPr>
            </w:pPr>
            <w:r w:rsidRPr="00B30E13">
              <w:lastRenderedPageBreak/>
              <w:t>d)</w:t>
            </w:r>
            <w:r w:rsidRPr="00B30E13">
              <w:tab/>
              <w:t xml:space="preserve">Vorfälle und Ereignisse, die Anlass für neue Entwicklungen </w:t>
            </w:r>
            <w:r w:rsidRPr="00B30E13">
              <w:rPr>
                <w:b/>
                <w:i/>
              </w:rPr>
              <w:t xml:space="preserve">oder </w:t>
            </w:r>
            <w:r w:rsidRPr="00B30E13">
              <w:rPr>
                <w:b/>
                <w:i/>
              </w:rPr>
              <w:lastRenderedPageBreak/>
              <w:t xml:space="preserve">Veränderungen </w:t>
            </w:r>
            <w:r w:rsidRPr="00B30E13">
              <w:t>bei </w:t>
            </w:r>
            <w:r w:rsidRPr="00B30E13">
              <w:rPr>
                <w:b/>
                <w:i/>
              </w:rPr>
              <w:t>Migrationsbewegungen</w:t>
            </w:r>
            <w:r w:rsidRPr="00B30E13">
              <w:t xml:space="preserve"> sein oder werden können;</w:t>
            </w:r>
          </w:p>
        </w:tc>
      </w:tr>
    </w:tbl>
    <w:p w:rsidR="006B5375" w:rsidRPr="00B30E13" w:rsidRDefault="006B5375" w:rsidP="006B5375">
      <w:pPr>
        <w:pStyle w:val="JustificationTitle"/>
      </w:pPr>
      <w:r w:rsidRPr="00B30E13">
        <w:lastRenderedPageBreak/>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f)</w:t>
            </w:r>
            <w:r w:rsidRPr="00B30E13">
              <w:tab/>
              <w:t>Mittel und Wege, den Behörden im</w:t>
            </w:r>
            <w:r w:rsidRPr="00B30E13">
              <w:rPr>
                <w:b/>
                <w:i/>
              </w:rPr>
              <w:t> </w:t>
            </w:r>
            <w:r w:rsidRPr="00B30E13">
              <w:t xml:space="preserve">Drittland zu helfen, </w:t>
            </w:r>
            <w:r w:rsidRPr="00B30E13">
              <w:rPr>
                <w:b/>
                <w:i/>
              </w:rPr>
              <w:t>Ströme illegaler Einwanderer, die ihren Ursprung</w:t>
            </w:r>
            <w:r w:rsidRPr="00B30E13">
              <w:t xml:space="preserve"> im</w:t>
            </w:r>
            <w:r w:rsidRPr="00B30E13">
              <w:rPr>
                <w:b/>
                <w:i/>
              </w:rPr>
              <w:t> Drittland nehmen oder das Drittland durchqueren, zu verhindern</w:t>
            </w:r>
            <w:r w:rsidRPr="00B30E13">
              <w:t>;</w:t>
            </w:r>
          </w:p>
        </w:tc>
        <w:tc>
          <w:tcPr>
            <w:tcW w:w="4876" w:type="dxa"/>
            <w:hideMark/>
          </w:tcPr>
          <w:p w:rsidR="006B5375" w:rsidRPr="00B30E13" w:rsidRDefault="006B5375" w:rsidP="0045552B">
            <w:pPr>
              <w:pStyle w:val="Normal6"/>
              <w:rPr>
                <w:szCs w:val="24"/>
              </w:rPr>
            </w:pPr>
            <w:r w:rsidRPr="00B30E13">
              <w:t>f)</w:t>
            </w:r>
            <w:r w:rsidRPr="00B30E13">
              <w:tab/>
              <w:t>Mittel und Wege, den Behörden im</w:t>
            </w:r>
            <w:r w:rsidRPr="00B30E13">
              <w:rPr>
                <w:b/>
                <w:i/>
              </w:rPr>
              <w:t xml:space="preserve"> </w:t>
            </w:r>
            <w:r w:rsidRPr="00B30E13">
              <w:t xml:space="preserve">Drittland zu helfen, </w:t>
            </w:r>
            <w:r w:rsidRPr="00B30E13">
              <w:rPr>
                <w:b/>
                <w:i/>
              </w:rPr>
              <w:t>an den Außengrenzen eine angemessene Orientierungshilfe und Unterstützung</w:t>
            </w:r>
            <w:r w:rsidRPr="00B30E13">
              <w:t xml:space="preserve"> im</w:t>
            </w:r>
            <w:r w:rsidRPr="00B30E13">
              <w:rPr>
                <w:b/>
                <w:i/>
              </w:rPr>
              <w:t xml:space="preserve"> Hinblick auf die Überwachung von Migrationsbewegungen bereitzustellen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29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f a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fa)</w:t>
            </w:r>
            <w:r w:rsidRPr="00B30E13">
              <w:rPr>
                <w:b/>
                <w:i/>
              </w:rPr>
              <w:tab/>
              <w:t>Mittel und Wege, den Behörden im Drittland zu helfen, Personen, die auf legalen Wegen in der Union aufgenommen werden sollen, eine angemessene Orientierung und Unterstützung zu bieten;</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lastRenderedPageBreak/>
        <w:t>Artikel 3 – Absatz 2 – Buchstabe f b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fb)</w:t>
            </w:r>
            <w:r w:rsidRPr="00B30E13">
              <w:rPr>
                <w:b/>
                <w:i/>
              </w:rPr>
              <w:tab/>
              <w:t>Mittel und Wege, um die Behörden in Drittländern bei der Bewertung der allgemeinen Lage der Grundrechte in dem Drittland zu unterstützen, darunter auch Informationen über Standorte und Zustand von Aufnahme- und Haftzentren sowie über die Haftbedingungen;</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g)</w:t>
            </w:r>
            <w:r w:rsidRPr="00B30E13">
              <w:tab/>
              <w:t xml:space="preserve">Mittel und Wege, um </w:t>
            </w:r>
            <w:r w:rsidRPr="00B30E13">
              <w:rPr>
                <w:b/>
                <w:i/>
              </w:rPr>
              <w:t>Rückkehr</w:t>
            </w:r>
            <w:r w:rsidRPr="00B30E13">
              <w:t>, Rückübernahme und Wiedereingliederung zu erleichtern;</w:t>
            </w:r>
          </w:p>
        </w:tc>
        <w:tc>
          <w:tcPr>
            <w:tcW w:w="4876" w:type="dxa"/>
            <w:hideMark/>
          </w:tcPr>
          <w:p w:rsidR="006B5375" w:rsidRPr="00B30E13" w:rsidRDefault="006B5375" w:rsidP="0045552B">
            <w:pPr>
              <w:pStyle w:val="Normal6"/>
              <w:rPr>
                <w:szCs w:val="24"/>
              </w:rPr>
            </w:pPr>
            <w:r w:rsidRPr="00B30E13">
              <w:t>g)</w:t>
            </w:r>
            <w:r w:rsidRPr="00B30E13">
              <w:tab/>
              <w:t xml:space="preserve">Mittel und Wege, um </w:t>
            </w:r>
            <w:r w:rsidRPr="00B30E13">
              <w:rPr>
                <w:b/>
                <w:i/>
              </w:rPr>
              <w:t>eine menschenwürdige und menschenrechtskonforme Rückführung</w:t>
            </w:r>
            <w:r w:rsidRPr="00B30E13">
              <w:t>, Rückübernahme und Wiedereingliederung zu erleichtern</w:t>
            </w:r>
            <w:r w:rsidRPr="00B30E13">
              <w:rPr>
                <w:b/>
                <w:i/>
              </w:rPr>
              <w:t xml:space="preserve"> und, soweit möglich, die Lage der zurückkehrenden Drittstaatsangehörigen zu beobachten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h)</w:t>
            </w:r>
            <w:r w:rsidRPr="00B30E13">
              <w:tab/>
            </w:r>
            <w:r w:rsidRPr="00B30E13">
              <w:rPr>
                <w:b/>
                <w:i/>
              </w:rPr>
              <w:t>Zugang</w:t>
            </w:r>
            <w:r w:rsidRPr="00B30E13">
              <w:t xml:space="preserve"> von </w:t>
            </w:r>
            <w:r w:rsidRPr="00B30E13">
              <w:rPr>
                <w:b/>
                <w:i/>
              </w:rPr>
              <w:t>Asylbewerbern zu Schutz im Drittland</w:t>
            </w:r>
            <w:r w:rsidRPr="00B30E13">
              <w:t>;</w:t>
            </w:r>
          </w:p>
        </w:tc>
        <w:tc>
          <w:tcPr>
            <w:tcW w:w="4876" w:type="dxa"/>
            <w:hideMark/>
          </w:tcPr>
          <w:p w:rsidR="006B5375" w:rsidRPr="00B30E13" w:rsidRDefault="006B5375" w:rsidP="0045552B">
            <w:pPr>
              <w:pStyle w:val="Normal6"/>
              <w:rPr>
                <w:szCs w:val="24"/>
              </w:rPr>
            </w:pPr>
            <w:r w:rsidRPr="00B30E13">
              <w:t>h)</w:t>
            </w:r>
            <w:r w:rsidRPr="00B30E13">
              <w:tab/>
            </w:r>
            <w:r w:rsidRPr="00B30E13">
              <w:rPr>
                <w:b/>
                <w:i/>
              </w:rPr>
              <w:t>effektiver Zugang zu Schutzmaßnahmen, die das Drittland zugunsten</w:t>
            </w:r>
            <w:r w:rsidRPr="00B30E13">
              <w:t xml:space="preserve"> von </w:t>
            </w:r>
            <w:r w:rsidRPr="00B30E13">
              <w:rPr>
                <w:b/>
                <w:i/>
              </w:rPr>
              <w:t>schutzbedürftigen Personen verabschiedet oder ergriffen hat</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i)</w:t>
            </w:r>
            <w:r w:rsidRPr="00B30E13">
              <w:tab/>
            </w:r>
            <w:r w:rsidRPr="00B30E13">
              <w:rPr>
                <w:b/>
                <w:i/>
              </w:rPr>
              <w:t>mögliche</w:t>
            </w:r>
            <w:r w:rsidRPr="00B30E13">
              <w:t xml:space="preserve"> legale Einwanderungsstrategien und </w:t>
            </w:r>
            <w:r w:rsidRPr="00B30E13">
              <w:rPr>
                <w:b/>
                <w:i/>
              </w:rPr>
              <w:t>-kanäle</w:t>
            </w:r>
            <w:r w:rsidRPr="00B30E13">
              <w:t xml:space="preserve"> zwischen der Union und Drittländern, darunter Neuansiedlung und andere Schutzinstrumente sowie </w:t>
            </w:r>
            <w:r w:rsidRPr="00B30E13">
              <w:rPr>
                <w:b/>
                <w:i/>
              </w:rPr>
              <w:t>Kompetenzen und Bedarf auf dem Arbeitsmarkt</w:t>
            </w:r>
            <w:r w:rsidRPr="00B30E13">
              <w:t>;</w:t>
            </w:r>
          </w:p>
        </w:tc>
        <w:tc>
          <w:tcPr>
            <w:tcW w:w="4876" w:type="dxa"/>
            <w:hideMark/>
          </w:tcPr>
          <w:p w:rsidR="006B5375" w:rsidRPr="00B30E13" w:rsidRDefault="006B5375" w:rsidP="0045552B">
            <w:pPr>
              <w:pStyle w:val="Normal6"/>
              <w:rPr>
                <w:szCs w:val="24"/>
              </w:rPr>
            </w:pPr>
            <w:r w:rsidRPr="00B30E13">
              <w:t>i)</w:t>
            </w:r>
            <w:r w:rsidRPr="00B30E13">
              <w:tab/>
            </w:r>
            <w:r w:rsidRPr="00B30E13">
              <w:rPr>
                <w:b/>
                <w:i/>
              </w:rPr>
              <w:t>zu fördernde</w:t>
            </w:r>
            <w:r w:rsidRPr="00B30E13">
              <w:t xml:space="preserve"> legale Einwanderungsstrategien und </w:t>
            </w:r>
            <w:r w:rsidRPr="00B30E13">
              <w:rPr>
                <w:b/>
                <w:i/>
              </w:rPr>
              <w:t>vorhandene Kanäle oder zu entwickelnde Kanäle</w:t>
            </w:r>
            <w:r w:rsidRPr="00B30E13">
              <w:t xml:space="preserve"> zwischen der Union und Drittländern, darunter Neuansiedlung</w:t>
            </w:r>
            <w:r w:rsidRPr="00B30E13">
              <w:rPr>
                <w:b/>
                <w:i/>
              </w:rPr>
              <w:t>, von den Mitgliedstaaten ausgestellte humanitäre Visa</w:t>
            </w:r>
            <w:r w:rsidRPr="00B30E13">
              <w:t xml:space="preserve"> und andere Schutzinstrumente sowie </w:t>
            </w:r>
            <w:r w:rsidRPr="00B30E13">
              <w:rPr>
                <w:b/>
                <w:i/>
              </w:rPr>
              <w:t>Mobilitätspartnerschaften, Arbeitsmigration, Visa für Studenten und Familienzusammenführung</w:t>
            </w:r>
            <w:r w:rsidRPr="00B30E13">
              <w:t>;</w:t>
            </w:r>
          </w:p>
        </w:tc>
      </w:tr>
    </w:tbl>
    <w:p w:rsidR="006B5375" w:rsidRPr="00B30E13" w:rsidRDefault="006B5375" w:rsidP="006B5375"/>
    <w:p w:rsidR="006B5375" w:rsidRPr="00B30E13" w:rsidRDefault="006B5375" w:rsidP="006B5375">
      <w:pPr>
        <w:pStyle w:val="AMNumberTabs"/>
      </w:pPr>
      <w:r w:rsidRPr="00B30E13">
        <w:t>Änderungsantrag</w:t>
      </w:r>
      <w:r w:rsidRPr="00B30E13">
        <w:tab/>
      </w:r>
      <w:r w:rsidRPr="00B30E13">
        <w:tab/>
        <w:t>34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trHeight w:hRule="exact" w:val="240"/>
          <w:jc w:val="center"/>
        </w:trPr>
        <w:tc>
          <w:tcPr>
            <w:tcW w:w="9752" w:type="dxa"/>
            <w:gridSpan w:val="2"/>
          </w:tcPr>
          <w:p w:rsidR="006B5375" w:rsidRPr="00B30E13" w:rsidRDefault="006B5375" w:rsidP="0045552B"/>
        </w:tc>
      </w:tr>
      <w:tr w:rsidR="006B5375" w:rsidRPr="00B30E13" w:rsidTr="0045552B">
        <w:trPr>
          <w:trHeight w:val="240"/>
          <w:jc w:val="center"/>
        </w:trPr>
        <w:tc>
          <w:tcPr>
            <w:tcW w:w="4876" w:type="dxa"/>
          </w:tcPr>
          <w:p w:rsidR="006B5375" w:rsidRPr="00B30E13" w:rsidRDefault="006B5375" w:rsidP="0045552B">
            <w:pPr>
              <w:pStyle w:val="ColumnHeading"/>
            </w:pPr>
            <w:r w:rsidRPr="00B30E13">
              <w:t>Vorschlag der Kommission</w:t>
            </w:r>
          </w:p>
        </w:tc>
        <w:tc>
          <w:tcPr>
            <w:tcW w:w="4876" w:type="dxa"/>
          </w:tcPr>
          <w:p w:rsidR="006B5375" w:rsidRPr="00B30E13" w:rsidRDefault="006B5375" w:rsidP="0045552B">
            <w:pPr>
              <w:pStyle w:val="ColumnHeading"/>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j)</w:t>
            </w:r>
            <w:r w:rsidRPr="00B30E13">
              <w:tab/>
              <w:t xml:space="preserve">Maßnahmen zur Ausreisevorbereitung, die </w:t>
            </w:r>
            <w:r w:rsidRPr="00B30E13">
              <w:rPr>
                <w:b/>
                <w:i/>
              </w:rPr>
              <w:t>Einwanderern</w:t>
            </w:r>
            <w:r w:rsidRPr="00B30E13">
              <w:t xml:space="preserve"> in Herkunfts- oder Aufnahmedrittländern zur Verfügung stehen und die die erfolgreiche Integration nach der legalen Ankunft in den Mitgliedstaaten fördern;</w:t>
            </w:r>
          </w:p>
        </w:tc>
        <w:tc>
          <w:tcPr>
            <w:tcW w:w="4876" w:type="dxa"/>
          </w:tcPr>
          <w:p w:rsidR="006B5375" w:rsidRPr="00B30E13" w:rsidRDefault="006B5375" w:rsidP="0045552B">
            <w:pPr>
              <w:pStyle w:val="Normal6"/>
            </w:pPr>
            <w:r w:rsidRPr="00B30E13">
              <w:t>j)</w:t>
            </w:r>
            <w:r w:rsidRPr="00B30E13">
              <w:tab/>
              <w:t xml:space="preserve">Maßnahmen zur Ausreisevorbereitung, die </w:t>
            </w:r>
            <w:r w:rsidRPr="00B30E13">
              <w:rPr>
                <w:b/>
                <w:i/>
              </w:rPr>
              <w:t>Migranten</w:t>
            </w:r>
            <w:r w:rsidRPr="00B30E13">
              <w:t xml:space="preserve"> in Herkunfts- oder Aufnahmedrittländern zur Verfügung stehen und die die erfolgreiche Integration nach der legalen Ankunft in den Mitgliedstaaten fördern;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2 – Buchstabe 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k)</w:t>
            </w:r>
            <w:r w:rsidRPr="00B30E13">
              <w:tab/>
            </w:r>
            <w:r w:rsidRPr="00B30E13">
              <w:rPr>
                <w:b/>
                <w:i/>
              </w:rPr>
              <w:t>Kapazitäten, Fähigkeit, politische Strategien</w:t>
            </w:r>
            <w:r w:rsidRPr="00B30E13">
              <w:t>, Rechtsvorschriften und Rechtspraktiken von Drittländern , die für die in den Buchstaben a bis j genannten Fragen von Bedeutung sind.</w:t>
            </w:r>
          </w:p>
        </w:tc>
        <w:tc>
          <w:tcPr>
            <w:tcW w:w="4876" w:type="dxa"/>
            <w:hideMark/>
          </w:tcPr>
          <w:p w:rsidR="006B5375" w:rsidRPr="00B30E13" w:rsidRDefault="006B5375" w:rsidP="0045552B">
            <w:pPr>
              <w:pStyle w:val="Normal6"/>
              <w:rPr>
                <w:szCs w:val="24"/>
              </w:rPr>
            </w:pPr>
            <w:r w:rsidRPr="00B30E13">
              <w:t>k)</w:t>
            </w:r>
            <w:r w:rsidRPr="00B30E13">
              <w:tab/>
            </w:r>
            <w:r w:rsidRPr="00B30E13">
              <w:rPr>
                <w:b/>
                <w:i/>
              </w:rPr>
              <w:t>Praktiken</w:t>
            </w:r>
            <w:r w:rsidRPr="00B30E13">
              <w:t>, Rechtsvorschriften und Rechtspraktiken von Drittländern , die für die in den Buchstaben a bis j genannten Fragen von Bedeutung sind.</w:t>
            </w:r>
          </w:p>
        </w:tc>
      </w:tr>
    </w:tbl>
    <w:p w:rsidR="006B5375" w:rsidRPr="00B30E13" w:rsidRDefault="006B5375" w:rsidP="006B5375"/>
    <w:p w:rsidR="006B5375" w:rsidRPr="00B30E13" w:rsidRDefault="006B5375" w:rsidP="006B5375">
      <w:pPr>
        <w:pStyle w:val="AMNumberTabs"/>
        <w:keepNext/>
      </w:pPr>
      <w:r w:rsidRPr="00B30E13">
        <w:lastRenderedPageBreak/>
        <w:t>Änderungsantrag</w:t>
      </w:r>
      <w:r w:rsidRPr="00B30E13">
        <w:tab/>
      </w:r>
      <w:r w:rsidRPr="00B30E13">
        <w:tab/>
        <w:t>36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4 – Einleitung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(4)</w:t>
            </w:r>
            <w:r w:rsidRPr="00B30E13">
              <w:tab/>
              <w:t>Die Verbindungsbeamten für Einwanderungsfragen</w:t>
            </w:r>
            <w:r w:rsidRPr="00B30E13">
              <w:rPr>
                <w:b/>
                <w:i/>
              </w:rPr>
              <w:t> </w:t>
            </w:r>
            <w:r w:rsidRPr="00B30E13">
              <w:t>können Unterstützung leisten bei:</w:t>
            </w:r>
          </w:p>
        </w:tc>
        <w:tc>
          <w:tcPr>
            <w:tcW w:w="4876" w:type="dxa"/>
            <w:hideMark/>
          </w:tcPr>
          <w:p w:rsidR="006B5375" w:rsidRPr="00B30E13" w:rsidRDefault="006B5375" w:rsidP="0045552B">
            <w:pPr>
              <w:pStyle w:val="Normal6"/>
              <w:rPr>
                <w:szCs w:val="24"/>
              </w:rPr>
            </w:pPr>
            <w:r w:rsidRPr="00B30E13">
              <w:t>(4)</w:t>
            </w:r>
            <w:r w:rsidRPr="00B30E13">
              <w:tab/>
              <w:t>Die Verbindungsbeamten für Einwanderungsfragen</w:t>
            </w:r>
            <w:r w:rsidRPr="00B30E13">
              <w:rPr>
                <w:b/>
                <w:i/>
              </w:rPr>
              <w:t xml:space="preserve"> </w:t>
            </w:r>
            <w:r w:rsidRPr="00B30E13">
              <w:t>können</w:t>
            </w:r>
            <w:r w:rsidRPr="00B30E13">
              <w:rPr>
                <w:b/>
                <w:i/>
              </w:rPr>
              <w:t xml:space="preserve"> im Rahmen ihrer Fachkenntnisse und ihrer Schulung</w:t>
            </w:r>
            <w:r w:rsidRPr="00B30E13">
              <w:t xml:space="preserve"> Unterstützung leisten bei:</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4 – Buchstabe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a)</w:t>
            </w:r>
            <w:r w:rsidRPr="00B30E13">
              <w:tab/>
              <w:t xml:space="preserve">der Feststellung der Identität von illegal aufhältigen Drittstaatsangehörigen </w:t>
            </w:r>
            <w:r w:rsidRPr="00B30E13">
              <w:rPr>
                <w:b/>
                <w:i/>
              </w:rPr>
              <w:t xml:space="preserve">und der Erleichterung der Rückkehr </w:t>
            </w:r>
            <w:r w:rsidRPr="00B30E13">
              <w:t>gemäß der Richtlinie 2008/115/EG;</w:t>
            </w:r>
          </w:p>
        </w:tc>
        <w:tc>
          <w:tcPr>
            <w:tcW w:w="4876" w:type="dxa"/>
            <w:hideMark/>
          </w:tcPr>
          <w:p w:rsidR="006B5375" w:rsidRPr="00B30E13" w:rsidRDefault="006B5375" w:rsidP="0045552B">
            <w:pPr>
              <w:pStyle w:val="Normal6"/>
              <w:rPr>
                <w:szCs w:val="24"/>
              </w:rPr>
            </w:pPr>
            <w:r w:rsidRPr="00B30E13">
              <w:t>a)</w:t>
            </w:r>
            <w:r w:rsidRPr="00B30E13">
              <w:tab/>
              <w:t>der Feststellung der Identität von illegal aufhältigen Drittstaatsangehörigen gemäß der Richtlinie 2008/115/EG</w:t>
            </w:r>
            <w:r w:rsidRPr="00B30E13">
              <w:rPr>
                <w:b/>
                <w:i/>
              </w:rPr>
              <w:t>, um die Wiedereingliederung von zurückkehrenden Drittstaatsangehörigen zu erleichtern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4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b)</w:t>
            </w:r>
            <w:r w:rsidRPr="00B30E13">
              <w:tab/>
              <w:t xml:space="preserve">der Bestätigung der Identität und der Erleichterung der Neuansiedlung von Personen, die internationalen Schutz benötigen, </w:t>
            </w:r>
            <w:r w:rsidRPr="00B30E13">
              <w:rPr>
                <w:b/>
                <w:i/>
              </w:rPr>
              <w:t>in</w:t>
            </w:r>
            <w:r w:rsidRPr="00B30E13">
              <w:t xml:space="preserve"> der </w:t>
            </w:r>
            <w:r w:rsidRPr="00B30E13">
              <w:rPr>
                <w:b/>
                <w:i/>
              </w:rPr>
              <w:t>Union</w:t>
            </w:r>
            <w:r w:rsidRPr="00B30E13">
              <w:t>;</w:t>
            </w:r>
          </w:p>
        </w:tc>
        <w:tc>
          <w:tcPr>
            <w:tcW w:w="4876" w:type="dxa"/>
            <w:hideMark/>
          </w:tcPr>
          <w:p w:rsidR="006B5375" w:rsidRPr="00B30E13" w:rsidRDefault="006B5375" w:rsidP="0045552B">
            <w:pPr>
              <w:pStyle w:val="Normal6"/>
              <w:rPr>
                <w:szCs w:val="24"/>
              </w:rPr>
            </w:pPr>
            <w:r w:rsidRPr="00B30E13">
              <w:t>b)</w:t>
            </w:r>
            <w:r w:rsidRPr="00B30E13">
              <w:tab/>
              <w:t xml:space="preserve">der Bestätigung der Identität und der Erleichterung der Neuansiedlung </w:t>
            </w:r>
            <w:r w:rsidRPr="00B30E13">
              <w:rPr>
                <w:b/>
                <w:i/>
              </w:rPr>
              <w:t xml:space="preserve">oder Aufnahme </w:t>
            </w:r>
            <w:r w:rsidRPr="00B30E13">
              <w:t xml:space="preserve">von Personen, </w:t>
            </w:r>
            <w:r w:rsidRPr="00B30E13">
              <w:rPr>
                <w:b/>
                <w:i/>
              </w:rPr>
              <w:t xml:space="preserve">insbesondere besonders schutzbedürftigen Personen, </w:t>
            </w:r>
            <w:r w:rsidRPr="00B30E13">
              <w:t xml:space="preserve">die internationalen Schutz </w:t>
            </w:r>
            <w:r w:rsidRPr="00B30E13">
              <w:rPr>
                <w:b/>
                <w:i/>
              </w:rPr>
              <w:t xml:space="preserve">in der Union </w:t>
            </w:r>
            <w:r w:rsidRPr="00B30E13">
              <w:t>benötigen</w:t>
            </w:r>
            <w:r w:rsidRPr="00B30E13">
              <w:rPr>
                <w:b/>
                <w:i/>
              </w:rPr>
              <w:t xml:space="preserve"> oder begehren</w:t>
            </w:r>
            <w:r w:rsidRPr="00B30E13">
              <w:t xml:space="preserve">, </w:t>
            </w:r>
            <w:r w:rsidRPr="00B30E13">
              <w:rPr>
                <w:b/>
                <w:i/>
              </w:rPr>
              <w:t>indem ihnen vor</w:t>
            </w:r>
            <w:r w:rsidRPr="00B30E13">
              <w:t xml:space="preserve"> der </w:t>
            </w:r>
            <w:r w:rsidRPr="00B30E13">
              <w:rPr>
                <w:b/>
                <w:i/>
              </w:rPr>
              <w:t xml:space="preserve">Abreise angemessene </w:t>
            </w:r>
            <w:r w:rsidRPr="00B30E13">
              <w:rPr>
                <w:b/>
                <w:i/>
              </w:rPr>
              <w:lastRenderedPageBreak/>
              <w:t>Orientierungshilfen, Informationen und Unterstützung angeboten werden</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39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4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c)</w:t>
            </w:r>
            <w:r w:rsidRPr="00B30E13">
              <w:tab/>
              <w:t>der Bestätigung der Identität und der Erleichterung der Durchführung von Unionsmaßnahmen im Hinblick auf die Aufnahme legaler Einwanderer</w:t>
            </w:r>
            <w:r w:rsidRPr="00B30E13">
              <w:rPr>
                <w:b/>
                <w:i/>
              </w:rPr>
              <w:t>.</w:t>
            </w:r>
          </w:p>
        </w:tc>
        <w:tc>
          <w:tcPr>
            <w:tcW w:w="4876" w:type="dxa"/>
            <w:hideMark/>
          </w:tcPr>
          <w:p w:rsidR="006B5375" w:rsidRPr="00B30E13" w:rsidRDefault="006B5375" w:rsidP="0045552B">
            <w:pPr>
              <w:pStyle w:val="Normal6"/>
              <w:rPr>
                <w:szCs w:val="24"/>
              </w:rPr>
            </w:pPr>
            <w:r w:rsidRPr="00B30E13">
              <w:t>c)</w:t>
            </w:r>
            <w:r w:rsidRPr="00B30E13">
              <w:tab/>
              <w:t>der Bestätigung der Identität und der Erleichterung der Durchführung von Unionsmaßnahmen im Hinblick auf die Aufnahme legaler Einwanderer</w:t>
            </w:r>
            <w:r w:rsidRPr="00B30E13">
              <w:rPr>
                <w:b/>
                <w:i/>
              </w:rPr>
              <w:t>, einschließlich Orientierungshilfen vor der Abreise von Arbeitsmigranten, Studenten und Familienmitgliedern, die in der Union aufgenommen werden;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4 – Buchstabe c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ca)</w:t>
            </w:r>
            <w:r w:rsidRPr="00B30E13">
              <w:rPr>
                <w:b/>
                <w:i/>
              </w:rPr>
              <w:tab/>
              <w:t>Erleichterung der Umsetzung der Maßnahmen der Union zur Bekämpfung von Schleuserkriminalität und Menschenhandel durch Weitergabe der im Zuge ihrer Pflichten erhaltenen Informationen an die Netzwerke von Verbindungsbeamten für Einwanderungsfragen und die zuständigen Behörden in den Mitgliedstaaten, einschließlich Strafverfolgungsbehörden.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3 – Absatz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(5)</w:t>
            </w:r>
            <w:r w:rsidRPr="00B30E13">
              <w:tab/>
              <w:t xml:space="preserve">Die Verbindungsbeamten für </w:t>
            </w:r>
            <w:r w:rsidRPr="00B30E13">
              <w:lastRenderedPageBreak/>
              <w:t>Einwanderungsfragen nehmen die ihnen obliegenden Aufgaben im Rahmen ihrer Zuständigkeiten und gemäß</w:t>
            </w:r>
            <w:r w:rsidRPr="00B30E13">
              <w:rPr>
                <w:b/>
                <w:i/>
              </w:rPr>
              <w:t> </w:t>
            </w:r>
            <w:r w:rsidRPr="00B30E13">
              <w:t>dem Unionsrecht und den nationalen Rechtsvorschriften oder den mit den Drittländern oder internationalen Organisationen geschlossenen Vereinbarungen oder Übereinkünften, einschließlich jener über den Schutz personenbezogener Daten, wahr.</w:t>
            </w:r>
          </w:p>
        </w:tc>
        <w:tc>
          <w:tcPr>
            <w:tcW w:w="4876" w:type="dxa"/>
            <w:hideMark/>
          </w:tcPr>
          <w:p w:rsidR="006B5375" w:rsidRPr="00B30E13" w:rsidRDefault="006B5375" w:rsidP="0045552B">
            <w:pPr>
              <w:pStyle w:val="Normal6"/>
              <w:rPr>
                <w:szCs w:val="24"/>
              </w:rPr>
            </w:pPr>
            <w:r w:rsidRPr="00B30E13">
              <w:lastRenderedPageBreak/>
              <w:t>(5)</w:t>
            </w:r>
            <w:r w:rsidRPr="00B30E13">
              <w:tab/>
              <w:t xml:space="preserve">Die Verbindungsbeamten für </w:t>
            </w:r>
            <w:r w:rsidRPr="00B30E13">
              <w:lastRenderedPageBreak/>
              <w:t xml:space="preserve">Einwanderungsfragen nehmen die ihnen obliegenden Aufgaben im Rahmen ihrer </w:t>
            </w:r>
            <w:r w:rsidRPr="00B30E13">
              <w:rPr>
                <w:b/>
                <w:i/>
              </w:rPr>
              <w:t xml:space="preserve">von den entsendenden Behörden festgelegten </w:t>
            </w:r>
            <w:r w:rsidRPr="00B30E13">
              <w:t xml:space="preserve">Zuständigkeiten </w:t>
            </w:r>
            <w:r w:rsidRPr="00B30E13">
              <w:rPr>
                <w:b/>
                <w:i/>
              </w:rPr>
              <w:t xml:space="preserve">unter uneingeschränkter Achtung der Menschenwürde </w:t>
            </w:r>
            <w:r w:rsidRPr="00B30E13">
              <w:t xml:space="preserve">und </w:t>
            </w:r>
            <w:r w:rsidRPr="00B30E13">
              <w:rPr>
                <w:b/>
                <w:i/>
              </w:rPr>
              <w:t xml:space="preserve">der Grundrechte und unter besonderer Berücksichtigung schutzbedürftiger Personen </w:t>
            </w:r>
            <w:r w:rsidRPr="00B30E13">
              <w:t>gemäß</w:t>
            </w:r>
            <w:r w:rsidRPr="00B30E13">
              <w:rPr>
                <w:b/>
                <w:i/>
              </w:rPr>
              <w:t xml:space="preserve"> </w:t>
            </w:r>
            <w:r w:rsidRPr="00B30E13">
              <w:t>dem Unionsrecht</w:t>
            </w:r>
            <w:r w:rsidRPr="00B30E13">
              <w:rPr>
                <w:b/>
                <w:i/>
              </w:rPr>
              <w:t xml:space="preserve"> und den</w:t>
            </w:r>
            <w:r w:rsidRPr="00B30E13">
              <w:t xml:space="preserve"> und den nationalen Rechtsvorschriften oder den mit den Drittländern oder internationalen Organisationen geschlossenen Vereinbarungen oder Übereinkünften, einschließlich jener über den Schutz personenbezogener Daten, wahr. </w:t>
            </w:r>
            <w:r w:rsidRPr="00B30E13">
              <w:rPr>
                <w:b/>
                <w:i/>
              </w:rPr>
              <w:t>Die Verbindungsbeamten für Einwanderungsfragen berücksichtigen bei der Wahrnehmung ihrer Aufgaben geschlechtsspezifische Aspekte.</w:t>
            </w:r>
          </w:p>
        </w:tc>
      </w:tr>
    </w:tbl>
    <w:p w:rsidR="006B5375" w:rsidRPr="00B30E13" w:rsidRDefault="006B5375" w:rsidP="006B5375">
      <w:pPr>
        <w:pStyle w:val="JustificationTitle"/>
      </w:pPr>
      <w:r w:rsidRPr="00B30E13">
        <w:lastRenderedPageBreak/>
        <w:t>Begründung</w:t>
      </w:r>
    </w:p>
    <w:p w:rsidR="006B5375" w:rsidRPr="00B30E13" w:rsidRDefault="006B5375" w:rsidP="006B5375">
      <w:pPr>
        <w:pStyle w:val="Normal12Italic"/>
      </w:pPr>
      <w:r w:rsidRPr="00B30E13">
        <w:t>Die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4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t>Die Mitgliedstaaten, die Kommission und die Agenturen der Union unterrichten den Lenkungsausschuss über die von ihnen geplanten Entsendungen von Verbindungsbeamten für Einwanderungsfragen einschließlich der Beschreibung ihrer Aufgaben und der Dauer ihrer Entsendung.</w:t>
            </w:r>
          </w:p>
        </w:tc>
        <w:tc>
          <w:tcPr>
            <w:tcW w:w="4876" w:type="dxa"/>
            <w:hideMark/>
          </w:tcPr>
          <w:p w:rsidR="006B5375" w:rsidRPr="00B30E13" w:rsidRDefault="006B5375" w:rsidP="0045552B">
            <w:pPr>
              <w:pStyle w:val="Normal6"/>
              <w:rPr>
                <w:szCs w:val="24"/>
              </w:rPr>
            </w:pPr>
            <w:r w:rsidRPr="00B30E13">
              <w:t>(1)</w:t>
            </w:r>
            <w:r w:rsidRPr="00B30E13">
              <w:tab/>
              <w:t xml:space="preserve">Die Mitgliedstaaten, die Kommission und die Agenturen der Union unterrichten den Lenkungsausschuss über die von ihnen geplanten Entsendungen von Verbindungsbeamten für Einwanderungsfragen einschließlich der Beschreibung ihrer Aufgaben und der Dauer ihrer Entsendung. </w:t>
            </w:r>
            <w:r w:rsidRPr="00B30E13">
              <w:rPr>
                <w:b/>
                <w:i/>
              </w:rPr>
              <w:t>Die Mitteilung über die Entsendung von Verbindungsbeamten ist unverzüglich dem Europäischen Parlament zu übermitteln.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lastRenderedPageBreak/>
        <w:t>Artikel 4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w:t>
            </w:r>
            <w:r w:rsidRPr="00B30E13">
              <w:tab/>
              <w:t xml:space="preserve">Die in Absatz 1 genannten Informationen werden über die sichere web-gestützte Plattform für den Austausch von Informationen </w:t>
            </w:r>
            <w:r w:rsidRPr="00B30E13">
              <w:rPr>
                <w:b/>
                <w:i/>
              </w:rPr>
              <w:t>nach</w:t>
            </w:r>
            <w:r w:rsidRPr="00B30E13">
              <w:t xml:space="preserve"> Artikel 9 zur Verfügung gestellt.</w:t>
            </w:r>
          </w:p>
        </w:tc>
        <w:tc>
          <w:tcPr>
            <w:tcW w:w="4876" w:type="dxa"/>
            <w:hideMark/>
          </w:tcPr>
          <w:p w:rsidR="006B5375" w:rsidRPr="00B30E13" w:rsidRDefault="006B5375" w:rsidP="0045552B">
            <w:pPr>
              <w:pStyle w:val="Normal6"/>
              <w:rPr>
                <w:szCs w:val="24"/>
              </w:rPr>
            </w:pPr>
            <w:r w:rsidRPr="00B30E13">
              <w:t>(2)</w:t>
            </w:r>
            <w:r w:rsidRPr="00B30E13">
              <w:tab/>
              <w:t xml:space="preserve">Die in Absatz 1 genannten Informationen werden über die sichere web-gestützte Plattform für den Austausch von Informationen </w:t>
            </w:r>
            <w:r w:rsidRPr="00B30E13">
              <w:rPr>
                <w:b/>
                <w:i/>
              </w:rPr>
              <w:t>gemäß</w:t>
            </w:r>
            <w:r w:rsidRPr="00B30E13">
              <w:t xml:space="preserve"> Artikel 9 zur Verfügung gestellt.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1 – Buchstabe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c)</w:t>
            </w:r>
            <w:r w:rsidRPr="00B30E13">
              <w:tab/>
              <w:t xml:space="preserve">gegebenenfalls Informationen über Erfahrungen im Zusammenhang mit dem Zugang zu </w:t>
            </w:r>
            <w:r w:rsidRPr="00B30E13">
              <w:rPr>
                <w:b/>
                <w:i/>
              </w:rPr>
              <w:t>Schutz für Asylbewerber</w:t>
            </w:r>
            <w:r w:rsidRPr="00B30E13">
              <w:t xml:space="preserve"> auszutauschen;</w:t>
            </w:r>
          </w:p>
        </w:tc>
        <w:tc>
          <w:tcPr>
            <w:tcW w:w="4876" w:type="dxa"/>
            <w:hideMark/>
          </w:tcPr>
          <w:p w:rsidR="006B5375" w:rsidRPr="00B30E13" w:rsidRDefault="006B5375" w:rsidP="0045552B">
            <w:pPr>
              <w:pStyle w:val="Normal6"/>
              <w:rPr>
                <w:szCs w:val="24"/>
              </w:rPr>
            </w:pPr>
            <w:r w:rsidRPr="00B30E13">
              <w:t>c)</w:t>
            </w:r>
            <w:r w:rsidRPr="00B30E13">
              <w:tab/>
              <w:t xml:space="preserve">gegebenenfalls Informationen über Erfahrungen im Zusammenhang mit dem Zugang zu </w:t>
            </w:r>
            <w:r w:rsidRPr="00B30E13">
              <w:rPr>
                <w:b/>
                <w:i/>
              </w:rPr>
              <w:t>internationalem Schutz</w:t>
            </w:r>
            <w:r w:rsidRPr="00B30E13">
              <w:t xml:space="preserve"> auszutauschen;</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1 – Buchstabe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rPr>
                <w:b/>
                <w:i/>
              </w:rPr>
              <w:t>d)</w:t>
            </w:r>
            <w:r w:rsidRPr="00B30E13">
              <w:rPr>
                <w:b/>
                <w:i/>
              </w:rPr>
              <w:tab/>
              <w:t>gegebenenfalls die bei Kontakten mit Beförderungsunternehmen zu vertretenden Standpunkte zu koordinieren;</w:t>
            </w:r>
          </w:p>
        </w:tc>
        <w:tc>
          <w:tcPr>
            <w:tcW w:w="4876" w:type="dxa"/>
            <w:hideMark/>
          </w:tcPr>
          <w:p w:rsidR="006B5375" w:rsidRPr="00B30E13" w:rsidRDefault="006B5375" w:rsidP="0045552B">
            <w:pPr>
              <w:pStyle w:val="Normal6"/>
              <w:rPr>
                <w:szCs w:val="24"/>
              </w:rPr>
            </w:pPr>
            <w:r w:rsidRPr="00B30E13">
              <w:rPr>
                <w:b/>
                <w:i/>
              </w:rPr>
              <w:t>entfällt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1 – Buchstabe 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e)</w:t>
            </w:r>
            <w:r w:rsidRPr="00B30E13">
              <w:tab/>
            </w:r>
            <w:r w:rsidRPr="00B30E13">
              <w:rPr>
                <w:b/>
                <w:i/>
              </w:rPr>
              <w:t>gegebenenfalls gemeinsame spezifische Schulungskurse</w:t>
            </w:r>
            <w:r w:rsidRPr="00B30E13">
              <w:t xml:space="preserve"> zu </w:t>
            </w:r>
            <w:r w:rsidRPr="00B30E13">
              <w:rPr>
                <w:b/>
                <w:i/>
              </w:rPr>
              <w:t>besuchen</w:t>
            </w:r>
            <w:r w:rsidRPr="00B30E13">
              <w:t>;</w:t>
            </w:r>
          </w:p>
        </w:tc>
        <w:tc>
          <w:tcPr>
            <w:tcW w:w="4876" w:type="dxa"/>
            <w:hideMark/>
          </w:tcPr>
          <w:p w:rsidR="006B5375" w:rsidRPr="00B30E13" w:rsidRDefault="006B5375" w:rsidP="0045552B">
            <w:pPr>
              <w:pStyle w:val="Normal6"/>
              <w:rPr>
                <w:szCs w:val="24"/>
              </w:rPr>
            </w:pPr>
            <w:r w:rsidRPr="00B30E13">
              <w:t>e)</w:t>
            </w:r>
            <w:r w:rsidRPr="00B30E13">
              <w:tab/>
            </w:r>
            <w:r w:rsidRPr="00B30E13">
              <w:rPr>
                <w:b/>
                <w:i/>
              </w:rPr>
              <w:t>an gemeinsamen spezifischen Schulungen teilzunehmen, insbesondere</w:t>
            </w:r>
            <w:r w:rsidRPr="00B30E13">
              <w:t xml:space="preserve"> zu </w:t>
            </w:r>
            <w:r w:rsidRPr="00B30E13">
              <w:rPr>
                <w:b/>
                <w:i/>
              </w:rPr>
              <w:t>Grundrechten und Asylverfahren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1 – Buchstabe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f)</w:t>
            </w:r>
            <w:r w:rsidRPr="00B30E13">
              <w:tab/>
              <w:t xml:space="preserve">gegebenenfalls Informationstreffen und </w:t>
            </w:r>
            <w:r w:rsidRPr="00B30E13">
              <w:rPr>
                <w:b/>
                <w:i/>
              </w:rPr>
              <w:t>Schulungskurse</w:t>
            </w:r>
            <w:r w:rsidRPr="00B30E13">
              <w:t xml:space="preserve"> für</w:t>
            </w:r>
            <w:r w:rsidRPr="00B30E13">
              <w:rPr>
                <w:b/>
                <w:i/>
              </w:rPr>
              <w:t xml:space="preserve"> die</w:t>
            </w:r>
            <w:r w:rsidRPr="00B30E13">
              <w:t xml:space="preserve"> Mitglieder des diplomatischen und konsularischen Personals der Vertretungen der Mitgliedstaaten im</w:t>
            </w:r>
            <w:r w:rsidRPr="00B30E13">
              <w:rPr>
                <w:b/>
                <w:i/>
              </w:rPr>
              <w:t> </w:t>
            </w:r>
            <w:r w:rsidRPr="00B30E13">
              <w:t>Drittland</w:t>
            </w:r>
            <w:r w:rsidRPr="00B30E13">
              <w:rPr>
                <w:b/>
                <w:i/>
              </w:rPr>
              <w:t> </w:t>
            </w:r>
            <w:r w:rsidRPr="00B30E13">
              <w:t>zu veranstalten;</w:t>
            </w:r>
          </w:p>
        </w:tc>
        <w:tc>
          <w:tcPr>
            <w:tcW w:w="4876" w:type="dxa"/>
            <w:hideMark/>
          </w:tcPr>
          <w:p w:rsidR="006B5375" w:rsidRPr="00B30E13" w:rsidRDefault="006B5375" w:rsidP="0045552B">
            <w:pPr>
              <w:pStyle w:val="Normal6"/>
              <w:rPr>
                <w:szCs w:val="24"/>
              </w:rPr>
            </w:pPr>
            <w:r w:rsidRPr="00B30E13">
              <w:t>f)</w:t>
            </w:r>
            <w:r w:rsidRPr="00B30E13">
              <w:tab/>
              <w:t xml:space="preserve">gegebenenfalls Informationstreffen und </w:t>
            </w:r>
            <w:r w:rsidRPr="00B30E13">
              <w:rPr>
                <w:b/>
                <w:i/>
              </w:rPr>
              <w:t>Schulungen</w:t>
            </w:r>
            <w:r w:rsidRPr="00B30E13">
              <w:t xml:space="preserve"> für Mitglieder des diplomatischen und konsularischen Personals der Vertretungen der Mitgliedstaaten im</w:t>
            </w:r>
            <w:r w:rsidRPr="00B30E13">
              <w:rPr>
                <w:b/>
                <w:i/>
              </w:rPr>
              <w:t xml:space="preserve"> </w:t>
            </w:r>
            <w:r w:rsidRPr="00B30E13">
              <w:t>Drittland</w:t>
            </w:r>
            <w:r w:rsidRPr="00B30E13">
              <w:rPr>
                <w:b/>
                <w:i/>
              </w:rPr>
              <w:t xml:space="preserve"> </w:t>
            </w:r>
            <w:r w:rsidRPr="00B30E13">
              <w:t>zu veranstalten</w:t>
            </w:r>
            <w:r w:rsidRPr="00B30E13">
              <w:rPr>
                <w:b/>
                <w:i/>
              </w:rPr>
              <w:t>, darunter auch spezielle Schulungen zu Asylverfahren und zum Schutz von Personen in prekären Situationen</w:t>
            </w:r>
            <w:r w:rsidRPr="00B30E13">
              <w:t>;</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Diese Änderung ist aus zwingenden Gründen der internen Logik des Texts erforderlich.</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48</w:t>
      </w:r>
    </w:p>
    <w:p w:rsidR="006B5375" w:rsidRPr="00B30E13" w:rsidRDefault="006B5375" w:rsidP="006B5375">
      <w:pPr>
        <w:pStyle w:val="NormalBold12b"/>
        <w:keepNext/>
      </w:pPr>
      <w:r w:rsidRPr="00B30E13">
        <w:t>Vorschlag für eine Verordnung</w:t>
      </w:r>
    </w:p>
    <w:p w:rsidR="006B5375" w:rsidRPr="00B30E13" w:rsidRDefault="006B5375" w:rsidP="006B5375">
      <w:pPr>
        <w:pStyle w:val="NormalBold"/>
      </w:pPr>
      <w:r w:rsidRPr="00B30E13">
        <w:t>Artikel 5 – Absatz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(1a)</w:t>
            </w:r>
            <w:r w:rsidRPr="00B30E13">
              <w:rPr>
                <w:b/>
                <w:i/>
              </w:rPr>
              <w:tab/>
              <w:t xml:space="preserve">Dem Netz von Verbindungsbeamten für Einwanderungsfragen gehören, sofern erforderlich und verfügbar, Verbindungsbeamte für Einwanderungsfragen an, die über Sachkompetenz in den Bereichen Kindesschutz, Bekämpfung des Menschenhandels, Gleichstellung der Geschlechter und Schutz vor </w:t>
            </w:r>
            <w:r w:rsidRPr="00B30E13">
              <w:rPr>
                <w:b/>
                <w:i/>
              </w:rPr>
              <w:lastRenderedPageBreak/>
              <w:t>geschlechtsspezifischer Gewalt verfügen.</w:t>
            </w:r>
          </w:p>
        </w:tc>
      </w:tr>
    </w:tbl>
    <w:p w:rsidR="006B5375" w:rsidRPr="00B30E13" w:rsidRDefault="006B5375" w:rsidP="006B5375">
      <w:pPr>
        <w:pStyle w:val="JustificationTitle"/>
      </w:pPr>
      <w:r w:rsidRPr="00B30E13">
        <w:lastRenderedPageBreak/>
        <w:t>Begründung</w:t>
      </w:r>
    </w:p>
    <w:p w:rsidR="006B5375" w:rsidRPr="00B30E13" w:rsidRDefault="006B5375" w:rsidP="006B5375">
      <w:pPr>
        <w:pStyle w:val="Normal12Italic"/>
      </w:pPr>
      <w:r w:rsidRPr="00B30E13">
        <w:t>Die Situation schutzbedürftiger Personen muss von Verbindungsbeamten für Einwanderungsfragen bewertet werden, die über ausreichend Sachkompetenz im Bereich der Grundrechte verfügen.</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49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w:t>
            </w:r>
            <w:r w:rsidRPr="00B30E13">
              <w:tab/>
              <w:t xml:space="preserve">Die von der Kommission entsandten Verbindungsbeamten für Einwanderungsfragen koordinieren </w:t>
            </w:r>
            <w:r w:rsidRPr="00B30E13">
              <w:rPr>
                <w:b/>
                <w:i/>
              </w:rPr>
              <w:t>die Netze nach</w:t>
            </w:r>
            <w:r w:rsidRPr="00B30E13">
              <w:t xml:space="preserve"> Absatz 1. An Standorten, an die die Kommission keine Verbindungsbeamten für Einwanderungsfragen entsendet, </w:t>
            </w:r>
            <w:r w:rsidRPr="00B30E13">
              <w:rPr>
                <w:b/>
                <w:i/>
              </w:rPr>
              <w:t>erfolgt</w:t>
            </w:r>
            <w:r w:rsidRPr="00B30E13">
              <w:t xml:space="preserve"> die Koordinierung in Abstimmung mit den Mitgliedern des Netzes durch </w:t>
            </w:r>
            <w:r w:rsidRPr="00B30E13">
              <w:rPr>
                <w:b/>
                <w:i/>
              </w:rPr>
              <w:t>einen</w:t>
            </w:r>
            <w:r w:rsidRPr="00B30E13">
              <w:t xml:space="preserve"> Verbindungsbeamten.</w:t>
            </w:r>
          </w:p>
        </w:tc>
        <w:tc>
          <w:tcPr>
            <w:tcW w:w="4876" w:type="dxa"/>
            <w:hideMark/>
          </w:tcPr>
          <w:p w:rsidR="006B5375" w:rsidRPr="00B30E13" w:rsidRDefault="006B5375" w:rsidP="0045552B">
            <w:pPr>
              <w:pStyle w:val="Normal6"/>
              <w:rPr>
                <w:szCs w:val="24"/>
              </w:rPr>
            </w:pPr>
            <w:r w:rsidRPr="00B30E13">
              <w:t>(2)</w:t>
            </w:r>
            <w:r w:rsidRPr="00B30E13">
              <w:tab/>
              <w:t xml:space="preserve">Die von der Kommission entsandten Verbindungsbeamten für Einwanderungsfragen koordinieren </w:t>
            </w:r>
            <w:r w:rsidRPr="00B30E13">
              <w:rPr>
                <w:b/>
                <w:i/>
              </w:rPr>
              <w:t>und unterstützen die in</w:t>
            </w:r>
            <w:r w:rsidRPr="00B30E13">
              <w:t xml:space="preserve"> Absatz 1</w:t>
            </w:r>
            <w:r w:rsidRPr="00B30E13">
              <w:rPr>
                <w:b/>
                <w:i/>
              </w:rPr>
              <w:t xml:space="preserve"> genannten Netze</w:t>
            </w:r>
            <w:r w:rsidRPr="00B30E13">
              <w:t xml:space="preserve">. An Standorten, an die die Kommission keine Verbindungsbeamten für Einwanderungsfragen entsendet, </w:t>
            </w:r>
            <w:r w:rsidRPr="00B30E13">
              <w:rPr>
                <w:b/>
                <w:i/>
              </w:rPr>
              <w:t>übernimmt der von der Agentur der Union entsandte Verbindungsbeamte für Einwanderungsfragen</w:t>
            </w:r>
            <w:r w:rsidRPr="00B30E13">
              <w:t xml:space="preserve"> die Koordinierung </w:t>
            </w:r>
            <w:r w:rsidRPr="00B30E13">
              <w:rPr>
                <w:b/>
                <w:i/>
              </w:rPr>
              <w:t xml:space="preserve">des Netzes. An Standorten, an die weder die Kommission noch die Agenturen der Union Verbindungsbeamte für Einwanderungsfragen entsenden, wird das Netz </w:t>
            </w:r>
            <w:r w:rsidRPr="00B30E13">
              <w:t xml:space="preserve">in Abstimmung mit den Mitgliedern des Netzes </w:t>
            </w:r>
            <w:r w:rsidRPr="00B30E13">
              <w:rPr>
                <w:b/>
                <w:i/>
              </w:rPr>
              <w:t xml:space="preserve">und nach Billigung </w:t>
            </w:r>
            <w:r w:rsidRPr="00B30E13">
              <w:t xml:space="preserve">durch </w:t>
            </w:r>
            <w:r w:rsidRPr="00B30E13">
              <w:rPr>
                <w:b/>
                <w:i/>
              </w:rPr>
              <w:t>die Kommission von einem</w:t>
            </w:r>
            <w:r w:rsidRPr="00B30E13">
              <w:t xml:space="preserve"> Verbindungsbeamten</w:t>
            </w:r>
            <w:r w:rsidRPr="00B30E13">
              <w:rPr>
                <w:b/>
                <w:i/>
              </w:rPr>
              <w:t xml:space="preserve"> unterstützt</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5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(3)</w:t>
            </w:r>
            <w:r w:rsidRPr="00B30E13">
              <w:tab/>
              <w:t>Der Lenkungsausschuss wird vom Koordinator über die Ernennung der Netzkoordinatoren unterrichtet.</w:t>
            </w:r>
          </w:p>
        </w:tc>
        <w:tc>
          <w:tcPr>
            <w:tcW w:w="4876" w:type="dxa"/>
            <w:hideMark/>
          </w:tcPr>
          <w:p w:rsidR="006B5375" w:rsidRPr="00B30E13" w:rsidRDefault="006B5375" w:rsidP="0045552B">
            <w:pPr>
              <w:pStyle w:val="Normal6"/>
              <w:rPr>
                <w:szCs w:val="24"/>
              </w:rPr>
            </w:pPr>
            <w:r w:rsidRPr="00B30E13">
              <w:t>(3)</w:t>
            </w:r>
            <w:r w:rsidRPr="00B30E13">
              <w:tab/>
              <w:t xml:space="preserve">Der Lenkungsausschuss wird vom Koordinator </w:t>
            </w:r>
            <w:r w:rsidRPr="00B30E13">
              <w:rPr>
                <w:b/>
                <w:i/>
              </w:rPr>
              <w:t xml:space="preserve">mindestens 15 Tage bevor dieser die Aufgaben eines Netzkoordinators übernimmt </w:t>
            </w:r>
            <w:r w:rsidRPr="00B30E13">
              <w:t>über die Ernennung der Netzkoordinatoren unterrichtet.</w:t>
            </w:r>
          </w:p>
        </w:tc>
      </w:tr>
    </w:tbl>
    <w:p w:rsidR="006B5375" w:rsidRPr="00B30E13" w:rsidRDefault="006B5375" w:rsidP="006B5375"/>
    <w:p w:rsidR="006B5375" w:rsidRPr="00B30E13" w:rsidRDefault="006B5375" w:rsidP="006B5375">
      <w:pPr>
        <w:pStyle w:val="AMNumberTabs"/>
      </w:pPr>
      <w:r w:rsidRPr="00B30E13">
        <w:t>Änderungsantrag</w:t>
      </w:r>
      <w:r w:rsidRPr="00B30E13">
        <w:tab/>
      </w:r>
      <w:r w:rsidRPr="00B30E13">
        <w:tab/>
        <w:t>51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6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trHeight w:hRule="exact" w:val="240"/>
          <w:jc w:val="center"/>
        </w:trPr>
        <w:tc>
          <w:tcPr>
            <w:tcW w:w="9752" w:type="dxa"/>
            <w:gridSpan w:val="2"/>
          </w:tcPr>
          <w:p w:rsidR="006B5375" w:rsidRPr="00B30E13" w:rsidRDefault="006B5375" w:rsidP="0045552B"/>
        </w:tc>
      </w:tr>
      <w:tr w:rsidR="006B5375" w:rsidRPr="00B30E13" w:rsidTr="0045552B">
        <w:trPr>
          <w:trHeight w:val="240"/>
          <w:jc w:val="center"/>
        </w:trPr>
        <w:tc>
          <w:tcPr>
            <w:tcW w:w="4876" w:type="dxa"/>
          </w:tcPr>
          <w:p w:rsidR="006B5375" w:rsidRPr="00B30E13" w:rsidRDefault="006B5375" w:rsidP="0045552B">
            <w:pPr>
              <w:pStyle w:val="ColumnHeading"/>
            </w:pPr>
            <w:r w:rsidRPr="00B30E13">
              <w:t>Vorschlag der Kommission</w:t>
            </w:r>
          </w:p>
        </w:tc>
        <w:tc>
          <w:tcPr>
            <w:tcW w:w="4876" w:type="dxa"/>
          </w:tcPr>
          <w:p w:rsidR="006B5375" w:rsidRPr="00B30E13" w:rsidRDefault="006B5375" w:rsidP="0045552B">
            <w:pPr>
              <w:pStyle w:val="ColumnHeading"/>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(2)</w:t>
            </w:r>
            <w:r w:rsidRPr="00B30E13">
              <w:tab/>
              <w:t>Die Mitgliedstaaten können ferner vereinbaren, dass ihre Verbindungsbeamten für Einwanderungsfragen bestimmte Aufgaben unter sich aufteilen.</w:t>
            </w:r>
          </w:p>
        </w:tc>
        <w:tc>
          <w:tcPr>
            <w:tcW w:w="4876" w:type="dxa"/>
          </w:tcPr>
          <w:p w:rsidR="006B5375" w:rsidRPr="00B30E13" w:rsidRDefault="006B5375" w:rsidP="0045552B">
            <w:pPr>
              <w:pStyle w:val="Normal6"/>
            </w:pPr>
            <w:r w:rsidRPr="00B30E13">
              <w:t>(2)</w:t>
            </w:r>
            <w:r w:rsidRPr="00B30E13">
              <w:tab/>
              <w:t xml:space="preserve">Die Mitgliedstaaten können ferner vereinbaren, dass ihre Verbindungsbeamten für Einwanderungsfragen bestimmte Aufgaben </w:t>
            </w:r>
            <w:r w:rsidRPr="00B30E13">
              <w:rPr>
                <w:b/>
                <w:i/>
              </w:rPr>
              <w:t xml:space="preserve">auf der Grundlage des Fachwissens oder der spezifischen Schulung ihrer Verbindungsbeamten </w:t>
            </w:r>
            <w:r w:rsidRPr="00B30E13">
              <w:t>unter sich aufteilen.</w:t>
            </w:r>
          </w:p>
        </w:tc>
      </w:tr>
    </w:tbl>
    <w:p w:rsidR="006B5375" w:rsidRPr="00B30E13" w:rsidRDefault="006B5375" w:rsidP="006B5375">
      <w:pPr>
        <w:pStyle w:val="JustificationTitle"/>
      </w:pPr>
      <w:r w:rsidRPr="00B30E13">
        <w:t>Begründung</w:t>
      </w:r>
    </w:p>
    <w:p w:rsidR="006B5375" w:rsidRPr="00B30E13" w:rsidRDefault="006B5375" w:rsidP="006B5375">
      <w:pPr>
        <w:pStyle w:val="Normal12Italic"/>
      </w:pPr>
      <w:r w:rsidRPr="00B30E13">
        <w:t>Die Ausweitung des Aufgabenfeldes von Verbindungsbeamten für Einwanderungsfragen muss Hand in Hand gehen mit einem Abgleich zwischen dem spezifischen Fachwissen oder den spezifischen Schulungen des Verbindungsbeamten und den Aufgaben, für die er oder sie zuständig ist.</w:t>
      </w:r>
    </w:p>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7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(3)</w:t>
            </w:r>
            <w:r w:rsidRPr="00B30E13">
              <w:tab/>
            </w:r>
            <w:r w:rsidRPr="00B30E13">
              <w:rPr>
                <w:b/>
                <w:i/>
              </w:rPr>
              <w:t>Vertreter</w:t>
            </w:r>
            <w:r w:rsidRPr="00B30E13">
              <w:t xml:space="preserve"> von Drittländern, die bei der Umsetzung, Anwendung und Weiterentwicklung des Schengen-Besitzstands assoziiert sind, beteiligen sich als Beobachter am Lenkungsrat.</w:t>
            </w:r>
          </w:p>
        </w:tc>
        <w:tc>
          <w:tcPr>
            <w:tcW w:w="4876" w:type="dxa"/>
            <w:hideMark/>
          </w:tcPr>
          <w:p w:rsidR="006B5375" w:rsidRPr="00B30E13" w:rsidRDefault="006B5375" w:rsidP="0045552B">
            <w:pPr>
              <w:pStyle w:val="Normal6"/>
              <w:rPr>
                <w:szCs w:val="24"/>
              </w:rPr>
            </w:pPr>
            <w:r w:rsidRPr="00B30E13">
              <w:t>(3)</w:t>
            </w:r>
            <w:r w:rsidRPr="00B30E13">
              <w:tab/>
            </w:r>
            <w:r w:rsidRPr="00B30E13">
              <w:rPr>
                <w:b/>
                <w:i/>
              </w:rPr>
              <w:t>Ein Mitglied des Europäischen Parlaments und Vertreter</w:t>
            </w:r>
            <w:r w:rsidRPr="00B30E13">
              <w:t xml:space="preserve"> von Drittländern, die bei der Umsetzung, Anwendung und Weiterentwicklung des Schengen-Besitzstands assoziiert sind, beteiligen sich als Beobachter am Lenkungsrat.</w:t>
            </w:r>
          </w:p>
        </w:tc>
      </w:tr>
    </w:tbl>
    <w:p w:rsidR="006B5375" w:rsidRPr="00B30E13" w:rsidRDefault="006B5375" w:rsidP="006B5375"/>
    <w:p w:rsidR="006B5375" w:rsidRPr="00B30E13" w:rsidRDefault="006B5375" w:rsidP="006B5375">
      <w:pPr>
        <w:pStyle w:val="AMNumberTabs"/>
      </w:pPr>
      <w:r w:rsidRPr="00B30E13">
        <w:t>Änderungsantrag</w:t>
      </w:r>
      <w:r w:rsidRPr="00B30E13">
        <w:tab/>
      </w:r>
      <w:r w:rsidRPr="00B30E13">
        <w:tab/>
        <w:t>53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trHeight w:hRule="exact" w:val="240"/>
          <w:jc w:val="center"/>
        </w:trPr>
        <w:tc>
          <w:tcPr>
            <w:tcW w:w="9752" w:type="dxa"/>
            <w:gridSpan w:val="2"/>
          </w:tcPr>
          <w:p w:rsidR="006B5375" w:rsidRPr="00B30E13" w:rsidRDefault="006B5375" w:rsidP="0045552B"/>
        </w:tc>
      </w:tr>
      <w:tr w:rsidR="006B5375" w:rsidRPr="00B30E13" w:rsidTr="0045552B">
        <w:trPr>
          <w:trHeight w:val="240"/>
          <w:jc w:val="center"/>
        </w:trPr>
        <w:tc>
          <w:tcPr>
            <w:tcW w:w="4876" w:type="dxa"/>
          </w:tcPr>
          <w:p w:rsidR="006B5375" w:rsidRPr="00B30E13" w:rsidRDefault="006B5375" w:rsidP="0045552B">
            <w:pPr>
              <w:pStyle w:val="ColumnHeading"/>
            </w:pPr>
            <w:r w:rsidRPr="00B30E13">
              <w:t>Vorschlag der Kommission</w:t>
            </w:r>
          </w:p>
        </w:tc>
        <w:tc>
          <w:tcPr>
            <w:tcW w:w="4876" w:type="dxa"/>
          </w:tcPr>
          <w:p w:rsidR="006B5375" w:rsidRPr="00B30E13" w:rsidRDefault="006B5375" w:rsidP="0045552B">
            <w:pPr>
              <w:pStyle w:val="ColumnHeading"/>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r w:rsidRPr="00B30E13">
              <w:t>(1)</w:t>
            </w:r>
            <w:r w:rsidRPr="00B30E13">
              <w:tab/>
              <w:t xml:space="preserve">Der Lenkungsausschuss gibt sich innerhalb von drei Monaten nach seiner </w:t>
            </w:r>
            <w:r w:rsidRPr="00B30E13">
              <w:lastRenderedPageBreak/>
              <w:t>ersten Sitzung auf Vorschlag des Vorsitzes eine Geschäftsordnung. In der Geschäftsordnung sind die Abstimmungsmodalitäten festgelegt.</w:t>
            </w:r>
          </w:p>
        </w:tc>
        <w:tc>
          <w:tcPr>
            <w:tcW w:w="4876" w:type="dxa"/>
          </w:tcPr>
          <w:p w:rsidR="006B5375" w:rsidRPr="00B30E13" w:rsidRDefault="006B5375" w:rsidP="0045552B">
            <w:pPr>
              <w:pStyle w:val="Normal6"/>
            </w:pPr>
            <w:r w:rsidRPr="00B30E13">
              <w:lastRenderedPageBreak/>
              <w:t>(1)</w:t>
            </w:r>
            <w:r w:rsidRPr="00B30E13">
              <w:tab/>
              <w:t xml:space="preserve">Der Lenkungsausschuss gibt sich innerhalb von drei Monaten nach seiner </w:t>
            </w:r>
            <w:r w:rsidRPr="00B30E13">
              <w:lastRenderedPageBreak/>
              <w:t xml:space="preserve">ersten Sitzung auf Vorschlag des Vorsitzes </w:t>
            </w:r>
            <w:r w:rsidRPr="00B30E13">
              <w:rPr>
                <w:b/>
                <w:i/>
              </w:rPr>
              <w:t xml:space="preserve">nach vorheriger Konsultation der Mitgliedstaaten </w:t>
            </w:r>
            <w:r w:rsidRPr="00B30E13">
              <w:t>eine Geschäftsordnung. In der Geschäftsordnung sind die Abstimmungsmodalitäten</w:t>
            </w:r>
            <w:r w:rsidRPr="00B30E13">
              <w:rPr>
                <w:b/>
                <w:i/>
              </w:rPr>
              <w:t xml:space="preserve"> sowie die Verfahren für die Zusammenarbeit zwischen Kommission und Mitgliedstaaten im Hinblick auf den vorgesehenen Austausch von strategischen und operativen Analyseprodukten</w:t>
            </w:r>
            <w:r w:rsidRPr="00B30E13">
              <w:t xml:space="preserve"> festgelegt.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2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w:t>
            </w:r>
            <w:r w:rsidRPr="00B30E13">
              <w:tab/>
              <w:t>Unter Berücksichtigung der Prioritäten der Union im Bereich der Einwanderung und im Rahmen der in dieser Verordnung festgelegten Aufgaben der Verbindungsbeamten für Einwanderungsfragen führt der Lenkungsausschuss die folgenden Tätigkeiten durch:</w:t>
            </w:r>
          </w:p>
        </w:tc>
        <w:tc>
          <w:tcPr>
            <w:tcW w:w="4876" w:type="dxa"/>
            <w:hideMark/>
          </w:tcPr>
          <w:p w:rsidR="006B5375" w:rsidRPr="00B30E13" w:rsidRDefault="006B5375" w:rsidP="0045552B">
            <w:pPr>
              <w:pStyle w:val="Normal6"/>
              <w:rPr>
                <w:szCs w:val="24"/>
              </w:rPr>
            </w:pPr>
            <w:r w:rsidRPr="00B30E13">
              <w:t>(2)</w:t>
            </w:r>
            <w:r w:rsidRPr="00B30E13">
              <w:tab/>
              <w:t xml:space="preserve">Unter Berücksichtigung der Prioritäten der Union im Bereich der Einwanderung und </w:t>
            </w:r>
            <w:r w:rsidRPr="00B30E13">
              <w:rPr>
                <w:b/>
                <w:i/>
              </w:rPr>
              <w:t xml:space="preserve">der von den einschlägigen Agenturen der Union bereitgestellten Analysen und </w:t>
            </w:r>
            <w:r w:rsidRPr="00B30E13">
              <w:t>im Rahmen der in dieser Verordnung festgelegten Aufgaben der Verbindungsbeamten für Einwanderungsfragen führt der Lenkungsausschuss die folgenden Tätigkeiten durch:</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(a)</w:t>
            </w:r>
            <w:r w:rsidRPr="00B30E13">
              <w:tab/>
              <w:t xml:space="preserve">Festlegung von Prioritäten und Tätigkeiten durch Annahme eines </w:t>
            </w:r>
            <w:r w:rsidRPr="00B30E13">
              <w:rPr>
                <w:b/>
                <w:i/>
              </w:rPr>
              <w:t>zweijährigen</w:t>
            </w:r>
            <w:r w:rsidRPr="00B30E13">
              <w:t xml:space="preserve"> Arbeitsprogramms, in dem die für die Unterstützung dieser Arbeit erforderlichen Ressourcen angegeben werden;</w:t>
            </w:r>
          </w:p>
        </w:tc>
        <w:tc>
          <w:tcPr>
            <w:tcW w:w="4876" w:type="dxa"/>
            <w:hideMark/>
          </w:tcPr>
          <w:p w:rsidR="006B5375" w:rsidRPr="00B30E13" w:rsidRDefault="006B5375" w:rsidP="0045552B">
            <w:pPr>
              <w:pStyle w:val="Normal6"/>
              <w:rPr>
                <w:szCs w:val="24"/>
              </w:rPr>
            </w:pPr>
            <w:r w:rsidRPr="00B30E13">
              <w:t>(a)</w:t>
            </w:r>
            <w:r w:rsidRPr="00B30E13">
              <w:tab/>
              <w:t xml:space="preserve">Festlegung von Prioritäten und Tätigkeiten durch Annahme eines </w:t>
            </w:r>
            <w:r w:rsidRPr="00B30E13">
              <w:rPr>
                <w:b/>
                <w:i/>
              </w:rPr>
              <w:t>jährlichen</w:t>
            </w:r>
            <w:r w:rsidRPr="00B30E13">
              <w:t xml:space="preserve"> Arbeitsprogramms, in dem die für die Unterstützung dieser Arbeit erforderlichen Ressourcen angegeben werden</w:t>
            </w:r>
            <w:r w:rsidRPr="00B30E13">
              <w:rPr>
                <w:b/>
                <w:i/>
              </w:rPr>
              <w:t>, und unverzügliche Übermittlung dieses Programms an das Europäische Parlament</w:t>
            </w:r>
            <w:r w:rsidRPr="00B30E13">
              <w:t>;</w:t>
            </w:r>
          </w:p>
        </w:tc>
      </w:tr>
    </w:tbl>
    <w:p w:rsidR="006B5375" w:rsidRPr="00B30E13" w:rsidRDefault="006B5375" w:rsidP="006B5375"/>
    <w:p w:rsidR="006B5375" w:rsidRPr="00B30E13" w:rsidRDefault="006B5375" w:rsidP="006B5375">
      <w:pPr>
        <w:pStyle w:val="AMNumberTabs"/>
        <w:keepNext/>
      </w:pPr>
      <w:r w:rsidRPr="00B30E13">
        <w:lastRenderedPageBreak/>
        <w:t>Änderungsantrag</w:t>
      </w:r>
      <w:r w:rsidRPr="00B30E13">
        <w:tab/>
      </w:r>
      <w:r w:rsidRPr="00B30E13">
        <w:tab/>
        <w:t>56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2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(b)</w:t>
            </w:r>
            <w:r w:rsidRPr="00B30E13">
              <w:tab/>
              <w:t xml:space="preserve">Überprüfung der Durchführung der im </w:t>
            </w:r>
            <w:r w:rsidRPr="00B30E13">
              <w:rPr>
                <w:b/>
                <w:i/>
              </w:rPr>
              <w:t>zweijährigen</w:t>
            </w:r>
            <w:r w:rsidRPr="00B30E13">
              <w:t xml:space="preserve"> Arbeitsprogramm festgelegten Tätigkeiten, der Ernennung der Netzkoordinatoren und der Fortschritte, die von den Netzen von Verbindungsbeamten für Einwanderungsfragen bei ihrer Zusammenarbeit mit den zuständigen Behörden in Drittländern erzielt wurden;</w:t>
            </w:r>
          </w:p>
        </w:tc>
        <w:tc>
          <w:tcPr>
            <w:tcW w:w="4876" w:type="dxa"/>
            <w:hideMark/>
          </w:tcPr>
          <w:p w:rsidR="006B5375" w:rsidRPr="00B30E13" w:rsidRDefault="006B5375" w:rsidP="0045552B">
            <w:pPr>
              <w:pStyle w:val="Normal6"/>
              <w:rPr>
                <w:szCs w:val="24"/>
              </w:rPr>
            </w:pPr>
            <w:r w:rsidRPr="00B30E13">
              <w:t>(b)</w:t>
            </w:r>
            <w:r w:rsidRPr="00B30E13">
              <w:tab/>
              <w:t xml:space="preserve">Überprüfung der Durchführung der im </w:t>
            </w:r>
            <w:r w:rsidRPr="00B30E13">
              <w:rPr>
                <w:b/>
                <w:i/>
              </w:rPr>
              <w:t>jährlichen</w:t>
            </w:r>
            <w:r w:rsidRPr="00B30E13">
              <w:t xml:space="preserve"> Arbeitsprogramm festgelegten Tätigkeiten, der Ernennung der Netzkoordinatoren und der Fortschritte, die von den Netzen von Verbindungsbeamten für Einwanderungsfragen bei ihrer Zusammenarbeit mit den zuständigen Behörden in Drittländern erzielt wurden;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2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(c)</w:t>
            </w:r>
            <w:r w:rsidRPr="00B30E13">
              <w:tab/>
              <w:t xml:space="preserve">Annahme des </w:t>
            </w:r>
            <w:r w:rsidRPr="00B30E13">
              <w:rPr>
                <w:b/>
                <w:i/>
              </w:rPr>
              <w:t>zweijährigen</w:t>
            </w:r>
            <w:r w:rsidRPr="00B30E13">
              <w:t xml:space="preserve"> Tätigkeitsberichts;</w:t>
            </w:r>
          </w:p>
        </w:tc>
        <w:tc>
          <w:tcPr>
            <w:tcW w:w="4876" w:type="dxa"/>
            <w:hideMark/>
          </w:tcPr>
          <w:p w:rsidR="006B5375" w:rsidRPr="00B30E13" w:rsidRDefault="006B5375" w:rsidP="0045552B">
            <w:pPr>
              <w:pStyle w:val="Normal6"/>
              <w:rPr>
                <w:szCs w:val="24"/>
              </w:rPr>
            </w:pPr>
            <w:r w:rsidRPr="00B30E13">
              <w:t>(c)</w:t>
            </w:r>
            <w:r w:rsidRPr="00B30E13">
              <w:tab/>
              <w:t xml:space="preserve">Annahme des </w:t>
            </w:r>
            <w:r w:rsidRPr="00B30E13">
              <w:rPr>
                <w:b/>
                <w:i/>
              </w:rPr>
              <w:t>jährlichen</w:t>
            </w:r>
            <w:r w:rsidRPr="00B30E13">
              <w:t xml:space="preserve"> Tätigkeitsberichts</w:t>
            </w:r>
            <w:r w:rsidRPr="00B30E13">
              <w:rPr>
                <w:b/>
                <w:i/>
              </w:rPr>
              <w:t>, der unverzüglich dem Parlament zu übermitteln ist</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3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(c)</w:t>
            </w:r>
            <w:r w:rsidRPr="00B30E13">
              <w:tab/>
              <w:t xml:space="preserve">Er unterstützt die Entwicklung der Fähigkeiten von Verbindungsbeamten für Einwanderungsfragen, unter anderem durch die Entwicklung gemeinsamer Basislehrpläne, Schulungen zur Vorbereitung auf die Entsendung und die Veranstaltung gemeinsamer Seminare zu den in Artikel 3 </w:t>
            </w:r>
            <w:r w:rsidRPr="00B30E13">
              <w:rPr>
                <w:b/>
                <w:i/>
              </w:rPr>
              <w:t xml:space="preserve">Absatz 2 </w:t>
            </w:r>
            <w:r w:rsidRPr="00B30E13">
              <w:t>genannten Themen</w:t>
            </w:r>
            <w:r w:rsidRPr="00B30E13">
              <w:rPr>
                <w:b/>
                <w:i/>
              </w:rPr>
              <w:t>.</w:t>
            </w:r>
          </w:p>
        </w:tc>
        <w:tc>
          <w:tcPr>
            <w:tcW w:w="4876" w:type="dxa"/>
            <w:hideMark/>
          </w:tcPr>
          <w:p w:rsidR="006B5375" w:rsidRPr="00B30E13" w:rsidRDefault="006B5375" w:rsidP="0045552B">
            <w:pPr>
              <w:pStyle w:val="Normal6"/>
              <w:rPr>
                <w:szCs w:val="24"/>
              </w:rPr>
            </w:pPr>
            <w:r w:rsidRPr="00B30E13">
              <w:t>(c)</w:t>
            </w:r>
            <w:r w:rsidRPr="00B30E13">
              <w:tab/>
              <w:t>Er unterstützt die Entwicklung der Fähigkeiten von Verbindungsbeamten für Einwanderungsfragen, unter anderem durch die Entwicklung gemeinsamer Basislehrpläne, Schulungen zur Vorbereitung auf die Entsendung und die Veranstaltung gemeinsamer Seminare zu den in Artikel 3 genannten Themen</w:t>
            </w:r>
            <w:r w:rsidRPr="00B30E13">
              <w:rPr>
                <w:b/>
                <w:i/>
              </w:rPr>
              <w:t xml:space="preserve">, und zwar auf der Grundlage von bereits verfügbaren oder neuen spezifischen Schulungsinstrumenten, die von der Agentur der Europäischen Union für Grundrechte (FRA) und den zuständigen </w:t>
            </w:r>
            <w:r w:rsidRPr="00B30E13">
              <w:rPr>
                <w:b/>
                <w:i/>
              </w:rPr>
              <w:lastRenderedPageBreak/>
              <w:t>Agenturen der Union oder anderen einschlägigen internationalen Organisationen im Hinblick auf das Unions- und Völkerrecht im Bereich der Grundrechte und Asylverfahren entwickelt wurden, wobei jede Überschneidung mit von diesen Agenturen angebotenen Schulungen zu vermeiden ist;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59</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3 – Buchstabe c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(ca)</w:t>
            </w:r>
            <w:r w:rsidRPr="00B30E13">
              <w:rPr>
                <w:b/>
                <w:i/>
              </w:rPr>
              <w:tab/>
              <w:t>Er erarbeitet und entwickelt in Zusammenarbeit mit der FRA für alle Verbindungsbeamten geltende Leitlinien, die Orientierung geben sollen, wie unter besonderer Berücksichtigung von schutzbedürftigen Personen die Achtung der Grundrechte gewährleistet werden kann;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60</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8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(4)</w:t>
            </w:r>
            <w:r w:rsidRPr="00B30E13">
              <w:tab/>
              <w:t>Für die Durchführung der in den Absätzen 2 und 3 genannten Tätigkeiten können die Mitgliedstaaten die finanzielle Unterstützung der Union nach der Verordnung (EU) Nr. 515/2014 erhalten.</w:t>
            </w:r>
          </w:p>
        </w:tc>
        <w:tc>
          <w:tcPr>
            <w:tcW w:w="4876" w:type="dxa"/>
            <w:hideMark/>
          </w:tcPr>
          <w:p w:rsidR="006B5375" w:rsidRPr="00B30E13" w:rsidRDefault="006B5375" w:rsidP="0045552B">
            <w:pPr>
              <w:pStyle w:val="Normal6"/>
              <w:rPr>
                <w:szCs w:val="24"/>
              </w:rPr>
            </w:pPr>
            <w:r w:rsidRPr="00B30E13">
              <w:t>(4)</w:t>
            </w:r>
            <w:r w:rsidRPr="00B30E13">
              <w:tab/>
              <w:t xml:space="preserve">Für die Durchführung der in den Absätzen 2 und 3 genannten Tätigkeiten können die Mitgliedstaaten eine finanzielle Unterstützung der Union gemäß der Verordnung (EU) Nr. 515/2014 erhalten. </w:t>
            </w:r>
            <w:r w:rsidRPr="00B30E13">
              <w:rPr>
                <w:b/>
                <w:i/>
              </w:rPr>
              <w:t>Die Kommission trifft operative Vorkehrungen, um die Anträge der Mitgliedstaaten auf finanzielle Unterstützung der Union zu erleichtern.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61</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lastRenderedPageBreak/>
        <w:t>Artikel 9 – Absatz 1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t>Die Verbindungsbeamten für Einwanderungsfragen und die Mitglieder des Lenkungsausschusses stellen sicher, dass alle einschlägigen Informationen und Statistiken über die von der Kommission eingerichtete und gewartete sichere web-gestützte Plattform für den Austausch von Informationen hochgeladen und ausgetauscht werden. Diese Informationen umfassen mindestens Folgendes:</w:t>
            </w:r>
          </w:p>
        </w:tc>
        <w:tc>
          <w:tcPr>
            <w:tcW w:w="4876" w:type="dxa"/>
            <w:hideMark/>
          </w:tcPr>
          <w:p w:rsidR="006B5375" w:rsidRPr="00B30E13" w:rsidRDefault="006B5375" w:rsidP="0045552B">
            <w:pPr>
              <w:pStyle w:val="Normal6"/>
              <w:rPr>
                <w:szCs w:val="24"/>
              </w:rPr>
            </w:pPr>
            <w:r w:rsidRPr="00B30E13">
              <w:t>(1)</w:t>
            </w:r>
            <w:r w:rsidRPr="00B30E13">
              <w:tab/>
              <w:t xml:space="preserve">Die Verbindungsbeamten für Einwanderungsfragen und die Mitglieder des Lenkungsausschusses stellen sicher, dass alle einschlägigen Informationen und Statistiken über die von der Kommission eingerichtete und gewartete sichere web-gestützte Plattform für den Austausch von Informationen hochgeladen und ausgetauscht werden. </w:t>
            </w:r>
            <w:r w:rsidRPr="00B30E13">
              <w:rPr>
                <w:b/>
                <w:i/>
              </w:rPr>
              <w:t xml:space="preserve">Der in Artikel 5 Absatz 2 genannte Netzbetreuer stellt sicher, dass alle einschlägigen Informationen und Statistiken über die sichere web-gestützte Plattform für den Austausch von Informationen hochgeladen werden. Beim Austausch von streng vertraulichen Informationen ist auf höchste Sorgfalt zu achten. Dem Mitglied des Europäischen Parlaments, das als Beobachter zur Teilnahme am Lenkungsausschuss benannt wurde, wird Zugang zur Plattform für den Informationsaustausch gewährt. </w:t>
            </w:r>
            <w:r w:rsidRPr="00B30E13">
              <w:t>Diese Informationen umfassen mindestens Folgendes:</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62</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9 – Absatz 1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(a)</w:t>
            </w:r>
            <w:r w:rsidRPr="00B30E13">
              <w:tab/>
              <w:t xml:space="preserve">einschlägige Dokumente, Berichte und Analyseprodukte im </w:t>
            </w:r>
            <w:r w:rsidRPr="00B30E13">
              <w:rPr>
                <w:b/>
                <w:i/>
              </w:rPr>
              <w:t>Bereich der Einwanderung</w:t>
            </w:r>
            <w:r w:rsidRPr="00B30E13">
              <w:t>, insbesondere Sachinformationen über die Länder oder Regionen, in die Verbindungsbeamte für Einwanderungsfragen entsandt werden;</w:t>
            </w:r>
          </w:p>
        </w:tc>
        <w:tc>
          <w:tcPr>
            <w:tcW w:w="4876" w:type="dxa"/>
            <w:hideMark/>
          </w:tcPr>
          <w:p w:rsidR="006B5375" w:rsidRPr="00B30E13" w:rsidRDefault="006B5375" w:rsidP="0045552B">
            <w:pPr>
              <w:pStyle w:val="Normal6"/>
              <w:rPr>
                <w:szCs w:val="24"/>
              </w:rPr>
            </w:pPr>
            <w:r w:rsidRPr="00B30E13">
              <w:t>(a)</w:t>
            </w:r>
            <w:r w:rsidRPr="00B30E13">
              <w:tab/>
              <w:t xml:space="preserve">einschlägige Dokumente, Berichte und Analyseprodukte </w:t>
            </w:r>
            <w:r w:rsidRPr="00B30E13">
              <w:rPr>
                <w:b/>
                <w:i/>
              </w:rPr>
              <w:t xml:space="preserve">zu Fragen </w:t>
            </w:r>
            <w:r w:rsidRPr="00B30E13">
              <w:t xml:space="preserve">im </w:t>
            </w:r>
            <w:r w:rsidRPr="00B30E13">
              <w:rPr>
                <w:b/>
                <w:i/>
              </w:rPr>
              <w:t>Zusammenhang mit Zuwanderung</w:t>
            </w:r>
            <w:r w:rsidRPr="00B30E13">
              <w:t>, insbesondere Sachinformationen über die Länder oder Regionen, in die Verbindungsbeamte für Einwanderungsfragen entsandt werden;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63</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lastRenderedPageBreak/>
        <w:t>Artikel 10 – Absatz 3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(a)</w:t>
            </w:r>
            <w:r w:rsidRPr="00B30E13">
              <w:tab/>
              <w:t xml:space="preserve">biometrische oder biografische Daten, </w:t>
            </w:r>
            <w:r w:rsidRPr="00B30E13">
              <w:rPr>
                <w:b/>
                <w:i/>
              </w:rPr>
              <w:t>wenn dies zur Bestätigung der Identität und Staatsangehörigkeit von Drittstaatsangehörigen</w:t>
            </w:r>
            <w:r w:rsidRPr="00B30E13">
              <w:t xml:space="preserve"> für die </w:t>
            </w:r>
            <w:r w:rsidRPr="00B30E13">
              <w:rPr>
                <w:b/>
                <w:i/>
              </w:rPr>
              <w:t>Zwecke</w:t>
            </w:r>
            <w:r w:rsidRPr="00B30E13">
              <w:t xml:space="preserve"> der </w:t>
            </w:r>
            <w:r w:rsidRPr="00B30E13">
              <w:rPr>
                <w:b/>
                <w:i/>
              </w:rPr>
              <w:t>Rückkehr erforderlich ist, einschließlich aller Arten von Dokumenten,</w:t>
            </w:r>
            <w:r w:rsidRPr="00B30E13">
              <w:t xml:space="preserve"> die </w:t>
            </w:r>
            <w:r w:rsidRPr="00B30E13">
              <w:rPr>
                <w:b/>
                <w:i/>
              </w:rPr>
              <w:t>als Nachweis oder Anscheinsbeweis der Staatsangehörigkeit angesehen werden können</w:t>
            </w:r>
            <w:r w:rsidRPr="00B30E13">
              <w:t>;</w:t>
            </w:r>
          </w:p>
        </w:tc>
        <w:tc>
          <w:tcPr>
            <w:tcW w:w="4876" w:type="dxa"/>
            <w:hideMark/>
          </w:tcPr>
          <w:p w:rsidR="006B5375" w:rsidRPr="00B30E13" w:rsidRDefault="006B5375" w:rsidP="0045552B">
            <w:pPr>
              <w:pStyle w:val="Normal6"/>
              <w:rPr>
                <w:szCs w:val="24"/>
              </w:rPr>
            </w:pPr>
            <w:r w:rsidRPr="00B30E13">
              <w:t>(a)</w:t>
            </w:r>
            <w:r w:rsidRPr="00B30E13">
              <w:tab/>
              <w:t xml:space="preserve">biometrische oder biografische Daten, </w:t>
            </w:r>
            <w:r w:rsidRPr="00B30E13">
              <w:rPr>
                <w:b/>
                <w:i/>
              </w:rPr>
              <w:t>soweit diese</w:t>
            </w:r>
            <w:r w:rsidRPr="00B30E13">
              <w:t xml:space="preserve"> für die </w:t>
            </w:r>
            <w:r w:rsidRPr="00B30E13">
              <w:rPr>
                <w:b/>
                <w:i/>
              </w:rPr>
              <w:t>Feststellung</w:t>
            </w:r>
            <w:r w:rsidRPr="00B30E13">
              <w:t xml:space="preserve"> der </w:t>
            </w:r>
            <w:r w:rsidRPr="00B30E13">
              <w:rPr>
                <w:b/>
                <w:i/>
              </w:rPr>
              <w:t>Identität der betreffenden Person und</w:t>
            </w:r>
            <w:r w:rsidRPr="00B30E13">
              <w:t xml:space="preserve"> die </w:t>
            </w:r>
            <w:r w:rsidRPr="00B30E13">
              <w:rPr>
                <w:b/>
                <w:i/>
              </w:rPr>
              <w:t>Prävention und Bekämpfung von Schleuserkriminalität und Menschenhandel erforderlich sind</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64</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10 – Absatz 3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(b)</w:t>
            </w:r>
            <w:r w:rsidRPr="00B30E13">
              <w:tab/>
              <w:t>Passagierlisten von Rückkehrflügen in Drittländer;</w:t>
            </w:r>
          </w:p>
        </w:tc>
        <w:tc>
          <w:tcPr>
            <w:tcW w:w="4876" w:type="dxa"/>
            <w:hideMark/>
          </w:tcPr>
          <w:p w:rsidR="006B5375" w:rsidRPr="00B30E13" w:rsidRDefault="006B5375" w:rsidP="0045552B">
            <w:pPr>
              <w:pStyle w:val="Normal6"/>
              <w:rPr>
                <w:szCs w:val="24"/>
              </w:rPr>
            </w:pPr>
            <w:r w:rsidRPr="00B30E13">
              <w:t>(b)</w:t>
            </w:r>
            <w:r w:rsidRPr="00B30E13">
              <w:tab/>
              <w:t xml:space="preserve">Passagierlisten von Rückkehrflügen </w:t>
            </w:r>
            <w:r w:rsidRPr="00B30E13">
              <w:rPr>
                <w:b/>
                <w:i/>
              </w:rPr>
              <w:t xml:space="preserve">aus der Union </w:t>
            </w:r>
            <w:r w:rsidRPr="00B30E13">
              <w:t>in Drittländer</w:t>
            </w:r>
            <w:r w:rsidRPr="00B30E13">
              <w:rPr>
                <w:b/>
                <w:i/>
              </w:rPr>
              <w:t>, um rückkehrenden Drittstaatsangehörigen einen effektiven Zugang zu Wiedereingliederungsmaßnahmen zu ermöglichen</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65</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10 – Absatz 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tcPr>
          <w:p w:rsidR="006B5375" w:rsidRPr="00B30E13" w:rsidRDefault="006B5375" w:rsidP="0045552B">
            <w:pPr>
              <w:pStyle w:val="Normal6"/>
            </w:pPr>
          </w:p>
        </w:tc>
        <w:tc>
          <w:tcPr>
            <w:tcW w:w="4876" w:type="dxa"/>
            <w:hideMark/>
          </w:tcPr>
          <w:p w:rsidR="006B5375" w:rsidRPr="00B30E13" w:rsidRDefault="006B5375" w:rsidP="0045552B">
            <w:pPr>
              <w:pStyle w:val="Normal6"/>
              <w:rPr>
                <w:szCs w:val="24"/>
              </w:rPr>
            </w:pPr>
            <w:r w:rsidRPr="00B30E13">
              <w:rPr>
                <w:b/>
                <w:i/>
              </w:rPr>
              <w:t>(3a)</w:t>
            </w:r>
            <w:r w:rsidRPr="00B30E13">
              <w:rPr>
                <w:b/>
                <w:i/>
              </w:rPr>
              <w:tab/>
              <w:t>Der Austausch personenbezogener Daten hat sich auf das für die Zwecke dieser Verordnung unbedingt erforderliche Maß zu beschränken.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66</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10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(4)</w:t>
            </w:r>
            <w:r w:rsidRPr="00B30E13">
              <w:tab/>
              <w:t>Die Übermittlung personenbezogener Daten durch Verbindungsbeamte für Einwanderungsfragen an Drittländer und internationale Organisationen gemäß diesem Artikel erfolgt im Einklang mit Kapitel V der Verordnung (EU) 2016/679 oder mit den nationalen Vorschriften zur Umsetzung des Kapitels V der Richtlinie (EU) 2016/680.</w:t>
            </w:r>
          </w:p>
        </w:tc>
        <w:tc>
          <w:tcPr>
            <w:tcW w:w="4876" w:type="dxa"/>
            <w:hideMark/>
          </w:tcPr>
          <w:p w:rsidR="006B5375" w:rsidRPr="00B30E13" w:rsidRDefault="006B5375" w:rsidP="0045552B">
            <w:pPr>
              <w:pStyle w:val="Normal6"/>
              <w:rPr>
                <w:szCs w:val="24"/>
              </w:rPr>
            </w:pPr>
            <w:r w:rsidRPr="00B30E13">
              <w:t>(4)</w:t>
            </w:r>
            <w:r w:rsidRPr="00B30E13">
              <w:tab/>
              <w:t xml:space="preserve">Die Übermittlung personenbezogener Daten durch Verbindungsbeamte für Einwanderungsfragen an Drittländer und internationale Organisationen gemäß diesem Artikel erfolgt im Einklang mit Kapitel V der Verordnung (EU) 2016/679 oder mit den nationalen Vorschriften zur Umsetzung des Kapitels V der Richtlinie (EU) 2016/680. </w:t>
            </w:r>
            <w:r w:rsidRPr="00B30E13">
              <w:rPr>
                <w:b/>
                <w:i/>
              </w:rPr>
              <w:t>Es ist untersagt, personenbezogene Daten auszutauschen, die dazu verwendet werden könnten, Personen oder Gruppen von Personen ausfindig zu machen, deren Antrag auf internationalen Schutz noch geprüft wird oder die große Gefahr laufen, Opfer von Folter, einer unmenschlichen oder erniedrigenden Behandlung oder Strafe oder einer anderen Verletzung der Grundrechte zu werden.</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67</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12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(1)</w:t>
            </w:r>
            <w:r w:rsidRPr="00B30E13">
              <w:tab/>
            </w:r>
            <w:r w:rsidRPr="00B30E13">
              <w:rPr>
                <w:b/>
                <w:i/>
              </w:rPr>
              <w:t>Fünf</w:t>
            </w:r>
            <w:r w:rsidRPr="00B30E13">
              <w:t xml:space="preserve"> Jahre nach </w:t>
            </w:r>
            <w:r w:rsidRPr="00B30E13">
              <w:rPr>
                <w:b/>
                <w:i/>
              </w:rPr>
              <w:t>dem Tag der Annahme dieser Verordnung</w:t>
            </w:r>
            <w:r w:rsidRPr="00B30E13">
              <w:t xml:space="preserve"> erstattet die Kommission dem Europäischen Parlament und dem Rat Bericht über deren Anwendung.</w:t>
            </w:r>
          </w:p>
        </w:tc>
        <w:tc>
          <w:tcPr>
            <w:tcW w:w="4876" w:type="dxa"/>
            <w:hideMark/>
          </w:tcPr>
          <w:p w:rsidR="006B5375" w:rsidRPr="00B30E13" w:rsidRDefault="006B5375" w:rsidP="0045552B">
            <w:pPr>
              <w:pStyle w:val="Normal6"/>
              <w:rPr>
                <w:szCs w:val="24"/>
              </w:rPr>
            </w:pPr>
            <w:r w:rsidRPr="00B30E13">
              <w:t>(1)</w:t>
            </w:r>
            <w:r w:rsidRPr="00B30E13">
              <w:tab/>
            </w:r>
            <w:r w:rsidRPr="00B30E13">
              <w:rPr>
                <w:b/>
                <w:i/>
              </w:rPr>
              <w:t>Spätestens zwei</w:t>
            </w:r>
            <w:r w:rsidRPr="00B30E13">
              <w:t xml:space="preserve"> Jahre nach </w:t>
            </w:r>
            <w:r w:rsidRPr="00B30E13">
              <w:rPr>
                <w:b/>
                <w:i/>
              </w:rPr>
              <w:t>Verabschiedung dieser Verordnung und anschließend alle zwei Jahre</w:t>
            </w:r>
            <w:r w:rsidRPr="00B30E13">
              <w:t xml:space="preserve"> erstattet die Kommission dem Europäischen Parlament und dem </w:t>
            </w:r>
            <w:r w:rsidRPr="00B30E13">
              <w:rPr>
                <w:b/>
                <w:i/>
              </w:rPr>
              <w:t xml:space="preserve">Europäischen </w:t>
            </w:r>
            <w:r w:rsidRPr="00B30E13">
              <w:t>Rat Bericht über deren Anwendung</w:t>
            </w:r>
            <w:r w:rsidRPr="00B30E13">
              <w:rPr>
                <w:b/>
                <w:i/>
              </w:rPr>
              <w:t xml:space="preserve"> und über ihre Auswirkungen auf die Grundrechte</w:t>
            </w:r>
            <w:r w:rsidRPr="00B30E13">
              <w:t>.</w:t>
            </w:r>
          </w:p>
        </w:tc>
      </w:tr>
    </w:tbl>
    <w:p w:rsidR="006B5375" w:rsidRPr="00B30E13" w:rsidRDefault="006B5375" w:rsidP="006B5375"/>
    <w:p w:rsidR="006B5375" w:rsidRPr="00B30E13" w:rsidRDefault="006B5375" w:rsidP="006B5375">
      <w:pPr>
        <w:pStyle w:val="AMNumberTabs"/>
        <w:keepNext/>
      </w:pPr>
      <w:r w:rsidRPr="00B30E13">
        <w:t>Änderungsantrag</w:t>
      </w:r>
      <w:r w:rsidRPr="00B30E13">
        <w:tab/>
      </w:r>
      <w:r w:rsidRPr="00B30E13">
        <w:tab/>
        <w:t>68</w:t>
      </w:r>
    </w:p>
    <w:p w:rsidR="006B5375" w:rsidRPr="00B30E13" w:rsidRDefault="006B5375" w:rsidP="006B5375">
      <w:pPr>
        <w:pStyle w:val="NormalBold12b"/>
      </w:pPr>
      <w:r w:rsidRPr="00B30E13">
        <w:t>Vorschlag für eine Verordnung</w:t>
      </w:r>
    </w:p>
    <w:p w:rsidR="006B5375" w:rsidRPr="00B30E13" w:rsidRDefault="006B5375" w:rsidP="006B5375">
      <w:pPr>
        <w:pStyle w:val="NormalBold"/>
      </w:pPr>
      <w:r w:rsidRPr="00B30E13">
        <w:t>Artikel 12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B5375" w:rsidRPr="00B30E13" w:rsidTr="0045552B">
        <w:trPr>
          <w:jc w:val="center"/>
        </w:trPr>
        <w:tc>
          <w:tcPr>
            <w:tcW w:w="9752" w:type="dxa"/>
            <w:gridSpan w:val="2"/>
          </w:tcPr>
          <w:p w:rsidR="006B5375" w:rsidRPr="00B30E13" w:rsidRDefault="006B5375" w:rsidP="0045552B">
            <w:pPr>
              <w:keepNext/>
            </w:pPr>
          </w:p>
        </w:tc>
      </w:tr>
      <w:tr w:rsidR="006B5375" w:rsidRPr="00B30E13" w:rsidTr="0045552B">
        <w:trPr>
          <w:jc w:val="center"/>
        </w:trPr>
        <w:tc>
          <w:tcPr>
            <w:tcW w:w="4876" w:type="dxa"/>
            <w:hideMark/>
          </w:tcPr>
          <w:p w:rsidR="006B5375" w:rsidRPr="00B30E13" w:rsidRDefault="006B5375" w:rsidP="0045552B">
            <w:pPr>
              <w:pStyle w:val="ColumnHeading"/>
              <w:keepNext/>
            </w:pPr>
            <w:r w:rsidRPr="00B30E13">
              <w:t>Vorschlag der Kommission</w:t>
            </w:r>
          </w:p>
        </w:tc>
        <w:tc>
          <w:tcPr>
            <w:tcW w:w="4876" w:type="dxa"/>
            <w:hideMark/>
          </w:tcPr>
          <w:p w:rsidR="006B5375" w:rsidRPr="00B30E13" w:rsidRDefault="006B5375" w:rsidP="0045552B">
            <w:pPr>
              <w:pStyle w:val="ColumnHeading"/>
              <w:keepNext/>
            </w:pPr>
            <w:r w:rsidRPr="00B30E13">
              <w:t>Geänderter Text</w:t>
            </w:r>
          </w:p>
        </w:tc>
      </w:tr>
      <w:tr w:rsidR="006B5375" w:rsidRPr="00B30E13" w:rsidTr="0045552B">
        <w:trPr>
          <w:jc w:val="center"/>
        </w:trPr>
        <w:tc>
          <w:tcPr>
            <w:tcW w:w="4876" w:type="dxa"/>
            <w:hideMark/>
          </w:tcPr>
          <w:p w:rsidR="006B5375" w:rsidRPr="00B30E13" w:rsidRDefault="006B5375" w:rsidP="0045552B">
            <w:pPr>
              <w:pStyle w:val="Normal6"/>
            </w:pPr>
            <w:r w:rsidRPr="00B30E13">
              <w:t>(2)</w:t>
            </w:r>
            <w:r w:rsidRPr="00B30E13">
              <w:tab/>
              <w:t xml:space="preserve">Die Mitgliedstaaten stellen der Kommission die erforderlichen </w:t>
            </w:r>
            <w:r w:rsidRPr="00B30E13">
              <w:lastRenderedPageBreak/>
              <w:t>Informationen für die Erstellung des Berichts über die Anwendung der Verordnung bereit.</w:t>
            </w:r>
          </w:p>
        </w:tc>
        <w:tc>
          <w:tcPr>
            <w:tcW w:w="4876" w:type="dxa"/>
            <w:hideMark/>
          </w:tcPr>
          <w:p w:rsidR="006B5375" w:rsidRPr="00B30E13" w:rsidRDefault="006B5375" w:rsidP="0045552B">
            <w:pPr>
              <w:pStyle w:val="Normal6"/>
              <w:rPr>
                <w:szCs w:val="24"/>
              </w:rPr>
            </w:pPr>
            <w:r w:rsidRPr="00B30E13">
              <w:lastRenderedPageBreak/>
              <w:t>(2)</w:t>
            </w:r>
            <w:r w:rsidRPr="00B30E13">
              <w:tab/>
              <w:t xml:space="preserve">Die Mitgliedstaaten </w:t>
            </w:r>
            <w:r w:rsidRPr="00B30E13">
              <w:rPr>
                <w:b/>
                <w:i/>
              </w:rPr>
              <w:t xml:space="preserve">und die Agenturen der Union </w:t>
            </w:r>
            <w:r w:rsidRPr="00B30E13">
              <w:t xml:space="preserve">stellen der </w:t>
            </w:r>
            <w:r w:rsidRPr="00B30E13">
              <w:lastRenderedPageBreak/>
              <w:t>Kommission die erforderlichen Informationen für die Erstellung des Berichts über die Anwendung der Verordnung bereit.</w:t>
            </w:r>
          </w:p>
        </w:tc>
      </w:tr>
    </w:tbl>
    <w:p w:rsidR="006B5375" w:rsidRPr="00B30E13" w:rsidRDefault="006B5375" w:rsidP="006B5375"/>
    <w:p w:rsidR="006B5375" w:rsidRPr="00B30E13" w:rsidRDefault="006B5375" w:rsidP="006B5375"/>
    <w:p w:rsidR="006B5375" w:rsidRPr="00B30E13" w:rsidRDefault="006B5375" w:rsidP="006B5375"/>
    <w:p w:rsidR="006B5375" w:rsidRPr="00B30E13" w:rsidRDefault="006B5375" w:rsidP="006B5375"/>
    <w:p w:rsidR="00E365E1" w:rsidRPr="00B30E13" w:rsidRDefault="00E365E1" w:rsidP="006B5375">
      <w:bookmarkStart w:id="1" w:name="TextBodyEnd"/>
      <w:bookmarkEnd w:id="1"/>
    </w:p>
    <w:sectPr w:rsidR="00E365E1" w:rsidRPr="00B30E13" w:rsidSect="00F230C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D8" w:rsidRPr="00F230C8" w:rsidRDefault="00CA46D8">
      <w:r w:rsidRPr="00F230C8">
        <w:separator/>
      </w:r>
    </w:p>
  </w:endnote>
  <w:endnote w:type="continuationSeparator" w:id="0">
    <w:p w:rsidR="00CA46D8" w:rsidRPr="00F230C8" w:rsidRDefault="00CA46D8">
      <w:r w:rsidRPr="00F230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3" w:rsidRDefault="00B30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C8" w:rsidRDefault="00F230C8" w:rsidP="00B30E13">
    <w:pPr>
      <w:pStyle w:val="Footer"/>
      <w:tabs>
        <w:tab w:val="clear" w:pos="9639"/>
        <w:tab w:val="right" w:pos="9184"/>
      </w:tabs>
    </w:pPr>
  </w:p>
  <w:p w:rsidR="00B30E13" w:rsidRDefault="00B30E13" w:rsidP="00B30E13">
    <w:pPr>
      <w:pStyle w:val="Footer"/>
      <w:pBdr>
        <w:top w:val="single" w:sz="2" w:space="1" w:color="000000"/>
      </w:pBdr>
      <w:tabs>
        <w:tab w:val="clear" w:pos="9639"/>
        <w:tab w:val="right" w:pos="9184"/>
      </w:tabs>
    </w:pPr>
    <w:r>
      <w:tab/>
    </w:r>
    <w:r w:rsidRPr="00B30E13">
      <w:rPr>
        <w:rStyle w:val="HideTWBExt"/>
      </w:rPr>
      <w:t>&lt;NuPE&gt;</w:t>
    </w:r>
    <w:r>
      <w:t>PE637.729</w:t>
    </w:r>
    <w:r w:rsidRPr="00B30E13">
      <w:rPr>
        <w:rStyle w:val="HideTWBExt"/>
      </w:rPr>
      <w:t>&lt;/NuPE&gt;</w:t>
    </w:r>
    <w:r>
      <w:t xml:space="preserve">/ </w:t>
    </w:r>
    <w:r>
      <w:fldChar w:fldCharType="begin"/>
    </w:r>
    <w:r>
      <w:instrText xml:space="preserve"> PAGE  \* MERGEFORMAT </w:instrText>
    </w:r>
    <w:r>
      <w:fldChar w:fldCharType="separate"/>
    </w:r>
    <w:r w:rsidR="00257FDD">
      <w:rPr>
        <w:noProof/>
      </w:rPr>
      <w:t>1</w:t>
    </w:r>
    <w:r>
      <w:fldChar w:fldCharType="end"/>
    </w:r>
  </w:p>
  <w:p w:rsidR="00B30E13" w:rsidRPr="00B30E13" w:rsidRDefault="00B30E13" w:rsidP="00B30E1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3" w:rsidRDefault="00B3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D8" w:rsidRPr="00F230C8" w:rsidRDefault="00CA46D8">
      <w:r w:rsidRPr="00F230C8">
        <w:separator/>
      </w:r>
    </w:p>
  </w:footnote>
  <w:footnote w:type="continuationSeparator" w:id="0">
    <w:p w:rsidR="00CA46D8" w:rsidRPr="00F230C8" w:rsidRDefault="00CA46D8">
      <w:r w:rsidRPr="00F230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3" w:rsidRDefault="00B30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3" w:rsidRDefault="00B30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3" w:rsidRDefault="00B3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0/2019"/>
    <w:docVar w:name="dvlangue" w:val="DE"/>
    <w:docVar w:name="dvnumam" w:val="68"/>
    <w:docVar w:name="dvpe" w:val="629.479"/>
    <w:docVar w:name="dvrapporteur" w:val="Berichterstatterin: "/>
    <w:docVar w:name="dvtitre" w:val="Legislative Entschließung des Europäischen Parlaments vom XX. XXX 2018 zu dem Vorschlag für eine Verordnung des Europäischen Parlaments und des Rates zur Schaffung eines europäischen Netzes von Verbindungsbeamten für Einwanderungsfragen (Neufassung)(COM(2018)0303 – C8-0184/2018 – 2018/0153(COD))"/>
    <w:docVar w:name="TA_Comm_A5Nr" w:val="A8-0040/2019"/>
    <w:docVar w:name="TA_Comm_Langue" w:val="DE"/>
    <w:docVar w:name="TA_Comm_NrAM" w:val="001-068"/>
    <w:docVar w:name="TA_Type" w:val="TA_COMM"/>
  </w:docVars>
  <w:rsids>
    <w:rsidRoot w:val="00CA46D8"/>
    <w:rsid w:val="00002272"/>
    <w:rsid w:val="000677B9"/>
    <w:rsid w:val="000E7DD9"/>
    <w:rsid w:val="0010095E"/>
    <w:rsid w:val="00125B37"/>
    <w:rsid w:val="00257FDD"/>
    <w:rsid w:val="002767FF"/>
    <w:rsid w:val="002B5493"/>
    <w:rsid w:val="00361C00"/>
    <w:rsid w:val="00395FA1"/>
    <w:rsid w:val="003E15D4"/>
    <w:rsid w:val="00411CCE"/>
    <w:rsid w:val="0041666E"/>
    <w:rsid w:val="00421060"/>
    <w:rsid w:val="00494A28"/>
    <w:rsid w:val="0050519A"/>
    <w:rsid w:val="005072A1"/>
    <w:rsid w:val="005130B1"/>
    <w:rsid w:val="00514517"/>
    <w:rsid w:val="006037C0"/>
    <w:rsid w:val="00680577"/>
    <w:rsid w:val="006B5375"/>
    <w:rsid w:val="006F74FA"/>
    <w:rsid w:val="00731ADD"/>
    <w:rsid w:val="00734777"/>
    <w:rsid w:val="00751A4A"/>
    <w:rsid w:val="00756632"/>
    <w:rsid w:val="007D1690"/>
    <w:rsid w:val="007D6B81"/>
    <w:rsid w:val="00865F67"/>
    <w:rsid w:val="00881A7B"/>
    <w:rsid w:val="008840E5"/>
    <w:rsid w:val="008C2AC6"/>
    <w:rsid w:val="009509D8"/>
    <w:rsid w:val="00981893"/>
    <w:rsid w:val="00A4678D"/>
    <w:rsid w:val="00AF3B82"/>
    <w:rsid w:val="00B30E13"/>
    <w:rsid w:val="00B558F0"/>
    <w:rsid w:val="00BC0E7C"/>
    <w:rsid w:val="00BC2305"/>
    <w:rsid w:val="00BD7BD8"/>
    <w:rsid w:val="00C05BFE"/>
    <w:rsid w:val="00C23CD4"/>
    <w:rsid w:val="00C941CB"/>
    <w:rsid w:val="00C942DC"/>
    <w:rsid w:val="00CA46D8"/>
    <w:rsid w:val="00CC2357"/>
    <w:rsid w:val="00D058B8"/>
    <w:rsid w:val="00D834A0"/>
    <w:rsid w:val="00D91E21"/>
    <w:rsid w:val="00E365E1"/>
    <w:rsid w:val="00ED4235"/>
    <w:rsid w:val="00F04346"/>
    <w:rsid w:val="00F075DC"/>
    <w:rsid w:val="00F230C8"/>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4292F-0CE8-4E4B-AF94-6A4F05F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B537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6B5375"/>
    <w:rPr>
      <w:sz w:val="24"/>
      <w:lang w:val="fr-FR" w:eastAsia="fr-FR"/>
    </w:rPr>
  </w:style>
  <w:style w:type="character" w:customStyle="1" w:styleId="Heading3Char">
    <w:name w:val="Heading 3 Char"/>
    <w:link w:val="Heading3"/>
    <w:rsid w:val="006B5375"/>
    <w:rPr>
      <w:rFonts w:ascii="Arial" w:hAnsi="Arial"/>
      <w:sz w:val="24"/>
      <w:lang w:val="fr-FR" w:eastAsia="fr-FR"/>
    </w:rPr>
  </w:style>
  <w:style w:type="character" w:customStyle="1" w:styleId="Heading4Char">
    <w:name w:val="Heading 4 Char"/>
    <w:link w:val="Heading4"/>
    <w:rsid w:val="006B5375"/>
    <w:rPr>
      <w:sz w:val="24"/>
      <w:lang w:val="en-US" w:eastAsia="fr-FR"/>
    </w:rPr>
  </w:style>
  <w:style w:type="character" w:customStyle="1" w:styleId="Heading5Char">
    <w:name w:val="Heading 5 Char"/>
    <w:link w:val="Heading5"/>
    <w:rsid w:val="006B5375"/>
    <w:rPr>
      <w:sz w:val="24"/>
      <w:lang w:val="en-US" w:eastAsia="fr-FR"/>
    </w:rPr>
  </w:style>
  <w:style w:type="character" w:customStyle="1" w:styleId="Heading6Char">
    <w:name w:val="Heading 6 Char"/>
    <w:link w:val="Heading6"/>
    <w:rsid w:val="006B5375"/>
    <w:rPr>
      <w:i/>
      <w:sz w:val="22"/>
      <w:lang w:val="de-DE"/>
    </w:rPr>
  </w:style>
  <w:style w:type="character" w:customStyle="1" w:styleId="Heading7Char">
    <w:name w:val="Heading 7 Char"/>
    <w:link w:val="Heading7"/>
    <w:rsid w:val="006B5375"/>
    <w:rPr>
      <w:rFonts w:ascii="Arial" w:hAnsi="Arial"/>
      <w:sz w:val="24"/>
      <w:lang w:val="de-DE"/>
    </w:rPr>
  </w:style>
  <w:style w:type="character" w:customStyle="1" w:styleId="Heading8Char">
    <w:name w:val="Heading 8 Char"/>
    <w:link w:val="Heading8"/>
    <w:rsid w:val="006B5375"/>
    <w:rPr>
      <w:rFonts w:ascii="Arial" w:hAnsi="Arial"/>
      <w:i/>
      <w:sz w:val="24"/>
      <w:lang w:val="de-DE"/>
    </w:rPr>
  </w:style>
  <w:style w:type="character" w:customStyle="1" w:styleId="Heading9Char">
    <w:name w:val="Heading 9 Char"/>
    <w:link w:val="Heading9"/>
    <w:rsid w:val="006B5375"/>
    <w:rPr>
      <w:rFonts w:ascii="Arial" w:hAnsi="Arial"/>
      <w:b/>
      <w:i/>
      <w:sz w:val="18"/>
      <w:lang w:val="de-DE"/>
    </w:rPr>
  </w:style>
  <w:style w:type="character" w:customStyle="1" w:styleId="FooterChar">
    <w:name w:val="Footer Char"/>
    <w:link w:val="Footer"/>
    <w:rsid w:val="006B5375"/>
    <w:rPr>
      <w:sz w:val="22"/>
      <w:lang w:val="fr-FR" w:eastAsia="fr-FR"/>
    </w:rPr>
  </w:style>
  <w:style w:type="character" w:customStyle="1" w:styleId="PageHeadingChar">
    <w:name w:val="PageHeading Char"/>
    <w:link w:val="PageHeading"/>
    <w:rsid w:val="006B5375"/>
    <w:rPr>
      <w:rFonts w:ascii="Arial" w:hAnsi="Arial"/>
      <w:b/>
      <w:sz w:val="24"/>
      <w:lang w:val="de-DE"/>
    </w:rPr>
  </w:style>
  <w:style w:type="character" w:customStyle="1" w:styleId="NormalBoldChar">
    <w:name w:val="NormalBold Char"/>
    <w:link w:val="NormalBold"/>
    <w:rsid w:val="006B5375"/>
    <w:rPr>
      <w:b/>
      <w:sz w:val="24"/>
      <w:lang w:val="de-DE"/>
    </w:rPr>
  </w:style>
  <w:style w:type="paragraph" w:customStyle="1" w:styleId="Normal12Centre">
    <w:name w:val="Normal12Centre"/>
    <w:basedOn w:val="Normal12"/>
    <w:rsid w:val="006B5375"/>
    <w:pPr>
      <w:jc w:val="center"/>
    </w:pPr>
  </w:style>
  <w:style w:type="paragraph" w:customStyle="1" w:styleId="Normal12Keep">
    <w:name w:val="Normal12Keep"/>
    <w:basedOn w:val="Normal12"/>
    <w:rsid w:val="006B5375"/>
    <w:pPr>
      <w:keepNext/>
    </w:pPr>
  </w:style>
  <w:style w:type="paragraph" w:customStyle="1" w:styleId="Normal12Tab">
    <w:name w:val="Normal12Tab"/>
    <w:basedOn w:val="Normal12"/>
    <w:rsid w:val="006B5375"/>
    <w:pPr>
      <w:tabs>
        <w:tab w:val="left" w:pos="567"/>
      </w:tabs>
    </w:pPr>
  </w:style>
  <w:style w:type="paragraph" w:customStyle="1" w:styleId="Cover48">
    <w:name w:val="Cover48"/>
    <w:basedOn w:val="CoverNormal"/>
    <w:rsid w:val="006B5375"/>
    <w:pPr>
      <w:spacing w:after="960"/>
    </w:pPr>
  </w:style>
  <w:style w:type="paragraph" w:customStyle="1" w:styleId="StarsAndIs">
    <w:name w:val="StarsAndIs"/>
    <w:basedOn w:val="Normal"/>
    <w:rsid w:val="006B5375"/>
    <w:pPr>
      <w:ind w:left="1418"/>
    </w:pPr>
    <w:rPr>
      <w:rFonts w:ascii="Arial" w:hAnsi="Arial"/>
      <w:b/>
      <w:sz w:val="48"/>
    </w:rPr>
  </w:style>
  <w:style w:type="paragraph" w:customStyle="1" w:styleId="TypeDoc">
    <w:name w:val="TypeDoc"/>
    <w:basedOn w:val="Normal24"/>
    <w:rsid w:val="006B5375"/>
    <w:pPr>
      <w:ind w:left="1418"/>
    </w:pPr>
    <w:rPr>
      <w:rFonts w:ascii="Arial" w:hAnsi="Arial"/>
      <w:b/>
      <w:sz w:val="48"/>
    </w:rPr>
  </w:style>
  <w:style w:type="paragraph" w:customStyle="1" w:styleId="ZDate">
    <w:name w:val="ZDate"/>
    <w:basedOn w:val="Normal"/>
    <w:rsid w:val="006B5375"/>
    <w:pPr>
      <w:spacing w:after="1200"/>
    </w:pPr>
  </w:style>
  <w:style w:type="character" w:customStyle="1" w:styleId="HeaderChar">
    <w:name w:val="Header Char"/>
    <w:link w:val="Header"/>
    <w:rsid w:val="006B5375"/>
    <w:rPr>
      <w:sz w:val="24"/>
      <w:lang w:val="fr-FR" w:eastAsia="fr-FR"/>
    </w:rPr>
  </w:style>
  <w:style w:type="paragraph" w:customStyle="1" w:styleId="PageHeadingCaps">
    <w:name w:val="PageHeadingCaps"/>
    <w:basedOn w:val="PageHeading"/>
    <w:next w:val="Normal"/>
    <w:link w:val="PageHeadingCapsChar"/>
    <w:rsid w:val="006B5375"/>
    <w:rPr>
      <w:caps/>
      <w:szCs w:val="24"/>
    </w:rPr>
  </w:style>
  <w:style w:type="character" w:customStyle="1" w:styleId="PageHeadingCapsChar">
    <w:name w:val="PageHeadingCaps Char"/>
    <w:link w:val="PageHeadingCaps"/>
    <w:rsid w:val="006B5375"/>
    <w:rPr>
      <w:rFonts w:ascii="Arial" w:hAnsi="Arial"/>
      <w:b/>
      <w:caps/>
      <w:sz w:val="24"/>
      <w:szCs w:val="24"/>
      <w:lang w:val="de-DE"/>
    </w:rPr>
  </w:style>
  <w:style w:type="paragraph" w:customStyle="1" w:styleId="NormalBoldTabs">
    <w:name w:val="NormalBoldTabs"/>
    <w:basedOn w:val="Normal"/>
    <w:rsid w:val="006B5375"/>
    <w:pPr>
      <w:tabs>
        <w:tab w:val="right" w:pos="3686"/>
        <w:tab w:val="left" w:pos="3827"/>
      </w:tabs>
    </w:pPr>
    <w:rPr>
      <w:b/>
    </w:rPr>
  </w:style>
  <w:style w:type="paragraph" w:customStyle="1" w:styleId="AnnexDate">
    <w:name w:val="AnnexDate"/>
    <w:basedOn w:val="Normal"/>
    <w:rsid w:val="006B5375"/>
    <w:pPr>
      <w:spacing w:before="240" w:after="240"/>
      <w:jc w:val="right"/>
    </w:pPr>
  </w:style>
  <w:style w:type="paragraph" w:customStyle="1" w:styleId="WorkingParty">
    <w:name w:val="WorkingParty"/>
    <w:basedOn w:val="Normal"/>
    <w:rsid w:val="006B5375"/>
    <w:rPr>
      <w:smallCaps/>
      <w:sz w:val="20"/>
    </w:rPr>
  </w:style>
  <w:style w:type="paragraph" w:customStyle="1" w:styleId="NormalCentreBold12a12b">
    <w:name w:val="NormalCentreBold12a12b"/>
    <w:basedOn w:val="Normal"/>
    <w:rsid w:val="006B5375"/>
    <w:pPr>
      <w:spacing w:before="240" w:after="240"/>
      <w:jc w:val="center"/>
    </w:pPr>
    <w:rPr>
      <w:b/>
    </w:rPr>
  </w:style>
  <w:style w:type="paragraph" w:customStyle="1" w:styleId="NormalBold24b">
    <w:name w:val="NormalBold24b"/>
    <w:basedOn w:val="Normal"/>
    <w:rsid w:val="006B5375"/>
    <w:pPr>
      <w:spacing w:before="480"/>
    </w:pPr>
    <w:rPr>
      <w:b/>
    </w:rPr>
  </w:style>
  <w:style w:type="character" w:customStyle="1" w:styleId="Normal6Char">
    <w:name w:val="Normal6 Char"/>
    <w:link w:val="Normal6"/>
    <w:rsid w:val="006B5375"/>
    <w:rPr>
      <w:sz w:val="24"/>
      <w:lang w:val="de-DE"/>
    </w:rPr>
  </w:style>
  <w:style w:type="paragraph" w:customStyle="1" w:styleId="Normal12Italic">
    <w:name w:val="Normal12Italic"/>
    <w:basedOn w:val="Normal"/>
    <w:rsid w:val="006B5375"/>
    <w:pPr>
      <w:spacing w:before="240"/>
    </w:pPr>
    <w:rPr>
      <w:i/>
    </w:rPr>
  </w:style>
  <w:style w:type="paragraph" w:customStyle="1" w:styleId="CrossRef">
    <w:name w:val="CrossRef"/>
    <w:basedOn w:val="Normal"/>
    <w:rsid w:val="006B5375"/>
    <w:pPr>
      <w:spacing w:before="240"/>
      <w:jc w:val="center"/>
    </w:pPr>
    <w:rPr>
      <w:i/>
    </w:rPr>
  </w:style>
  <w:style w:type="paragraph" w:customStyle="1" w:styleId="JustificationTitle">
    <w:name w:val="JustificationTitle"/>
    <w:basedOn w:val="Normal"/>
    <w:next w:val="Normal"/>
    <w:rsid w:val="006B5375"/>
    <w:pPr>
      <w:keepNext/>
      <w:spacing w:before="240"/>
      <w:jc w:val="center"/>
    </w:pPr>
    <w:rPr>
      <w:i/>
    </w:rPr>
  </w:style>
  <w:style w:type="paragraph" w:customStyle="1" w:styleId="Olang">
    <w:name w:val="Olang"/>
    <w:basedOn w:val="Normal"/>
    <w:rsid w:val="006B5375"/>
    <w:pPr>
      <w:spacing w:before="240" w:after="240"/>
      <w:jc w:val="right"/>
    </w:pPr>
    <w:rPr>
      <w:noProof/>
    </w:rPr>
  </w:style>
  <w:style w:type="paragraph" w:customStyle="1" w:styleId="ColumnHeading">
    <w:name w:val="ColumnHeading"/>
    <w:basedOn w:val="Normal"/>
    <w:rsid w:val="006B5375"/>
    <w:pPr>
      <w:spacing w:after="240"/>
      <w:jc w:val="center"/>
    </w:pPr>
    <w:rPr>
      <w:i/>
    </w:rPr>
  </w:style>
  <w:style w:type="paragraph" w:customStyle="1" w:styleId="AMNumberTabs">
    <w:name w:val="AMNumberTabs"/>
    <w:basedOn w:val="Normal"/>
    <w:rsid w:val="006B537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B5375"/>
    <w:pPr>
      <w:spacing w:before="240"/>
    </w:pPr>
    <w:rPr>
      <w:b/>
    </w:rPr>
  </w:style>
  <w:style w:type="paragraph" w:customStyle="1" w:styleId="ZCommittee">
    <w:name w:val="ZCommittee"/>
    <w:basedOn w:val="Normal"/>
    <w:next w:val="Normal"/>
    <w:rsid w:val="006B5375"/>
    <w:pPr>
      <w:jc w:val="center"/>
    </w:pPr>
    <w:rPr>
      <w:rFonts w:ascii="Arial" w:hAnsi="Arial" w:cs="Arial"/>
      <w:i/>
      <w:sz w:val="22"/>
      <w:szCs w:val="22"/>
    </w:rPr>
  </w:style>
  <w:style w:type="paragraph" w:customStyle="1" w:styleId="Lgendesigne">
    <w:name w:val="Légende signe"/>
    <w:basedOn w:val="Normal"/>
    <w:rsid w:val="006B5375"/>
    <w:pPr>
      <w:tabs>
        <w:tab w:val="right" w:pos="454"/>
        <w:tab w:val="left" w:pos="737"/>
      </w:tabs>
      <w:ind w:left="737" w:hanging="737"/>
    </w:pPr>
    <w:rPr>
      <w:snapToGrid w:val="0"/>
      <w:sz w:val="18"/>
      <w:lang w:eastAsia="en-US"/>
    </w:rPr>
  </w:style>
  <w:style w:type="paragraph" w:customStyle="1" w:styleId="Lgendetitre">
    <w:name w:val="Légende titre"/>
    <w:basedOn w:val="Normal"/>
    <w:rsid w:val="006B5375"/>
    <w:pPr>
      <w:spacing w:before="240" w:after="240"/>
    </w:pPr>
    <w:rPr>
      <w:b/>
      <w:i/>
      <w:snapToGrid w:val="0"/>
      <w:lang w:eastAsia="en-US"/>
    </w:rPr>
  </w:style>
  <w:style w:type="paragraph" w:customStyle="1" w:styleId="Lgendestandard">
    <w:name w:val="Légende standard"/>
    <w:basedOn w:val="Lgendesigne"/>
    <w:rsid w:val="006B5375"/>
    <w:pPr>
      <w:ind w:left="0" w:firstLine="0"/>
    </w:pPr>
  </w:style>
  <w:style w:type="paragraph" w:customStyle="1" w:styleId="msonormal0">
    <w:name w:val="msonormal"/>
    <w:basedOn w:val="Normal"/>
    <w:rsid w:val="006B5375"/>
    <w:pPr>
      <w:widowControl/>
      <w:spacing w:before="100" w:beforeAutospacing="1" w:after="100" w:afterAutospacing="1"/>
    </w:pPr>
    <w:rPr>
      <w:szCs w:val="24"/>
    </w:rPr>
  </w:style>
  <w:style w:type="character" w:customStyle="1" w:styleId="Normal12Char">
    <w:name w:val="Normal12 Char"/>
    <w:link w:val="Normal12"/>
    <w:locked/>
    <w:rsid w:val="006B5375"/>
    <w:rPr>
      <w:sz w:val="24"/>
      <w:lang w:val="de-DE"/>
    </w:rPr>
  </w:style>
  <w:style w:type="paragraph" w:customStyle="1" w:styleId="CommitteeAM">
    <w:name w:val="CommitteeAM"/>
    <w:basedOn w:val="Normal"/>
    <w:rsid w:val="006B5375"/>
    <w:pPr>
      <w:spacing w:before="240" w:after="600"/>
      <w:jc w:val="center"/>
    </w:pPr>
    <w:rPr>
      <w:i/>
    </w:rPr>
  </w:style>
  <w:style w:type="paragraph" w:customStyle="1" w:styleId="ZDateAM">
    <w:name w:val="ZDateAM"/>
    <w:basedOn w:val="Normal"/>
    <w:rsid w:val="006B5375"/>
    <w:pPr>
      <w:tabs>
        <w:tab w:val="right" w:pos="9356"/>
      </w:tabs>
      <w:spacing w:after="480"/>
    </w:pPr>
    <w:rPr>
      <w:noProof/>
    </w:rPr>
  </w:style>
  <w:style w:type="paragraph" w:customStyle="1" w:styleId="ProjRap">
    <w:name w:val="ProjRap"/>
    <w:basedOn w:val="Normal"/>
    <w:rsid w:val="006B5375"/>
    <w:pPr>
      <w:tabs>
        <w:tab w:val="right" w:pos="9356"/>
      </w:tabs>
    </w:pPr>
    <w:rPr>
      <w:b/>
      <w:noProof/>
    </w:rPr>
  </w:style>
  <w:style w:type="character" w:customStyle="1" w:styleId="Footer2Middle">
    <w:name w:val="Footer2Middle"/>
    <w:rsid w:val="006B5375"/>
    <w:rPr>
      <w:rFonts w:ascii="Arial" w:hAnsi="Arial" w:cs="Arial" w:hint="default"/>
      <w:b w:val="0"/>
      <w:bCs w:val="0"/>
      <w:i/>
      <w:iCs w:val="0"/>
      <w:color w:val="C0C0C0"/>
      <w:sz w:val="22"/>
    </w:rPr>
  </w:style>
  <w:style w:type="character" w:styleId="CommentReference">
    <w:name w:val="annotation reference"/>
    <w:rsid w:val="006B5375"/>
    <w:rPr>
      <w:sz w:val="16"/>
      <w:szCs w:val="16"/>
    </w:rPr>
  </w:style>
  <w:style w:type="paragraph" w:styleId="CommentText">
    <w:name w:val="annotation text"/>
    <w:basedOn w:val="Normal"/>
    <w:link w:val="CommentTextChar"/>
    <w:rsid w:val="006B5375"/>
    <w:rPr>
      <w:sz w:val="20"/>
    </w:rPr>
  </w:style>
  <w:style w:type="character" w:customStyle="1" w:styleId="CommentTextChar">
    <w:name w:val="Comment Text Char"/>
    <w:basedOn w:val="DefaultParagraphFont"/>
    <w:link w:val="CommentText"/>
    <w:rsid w:val="006B5375"/>
    <w:rPr>
      <w:lang w:val="de-DE"/>
    </w:rPr>
  </w:style>
  <w:style w:type="paragraph" w:styleId="CommentSubject">
    <w:name w:val="annotation subject"/>
    <w:basedOn w:val="CommentText"/>
    <w:next w:val="CommentText"/>
    <w:link w:val="CommentSubjectChar"/>
    <w:rsid w:val="006B5375"/>
    <w:rPr>
      <w:b/>
      <w:bCs/>
    </w:rPr>
  </w:style>
  <w:style w:type="character" w:customStyle="1" w:styleId="CommentSubjectChar">
    <w:name w:val="Comment Subject Char"/>
    <w:basedOn w:val="CommentTextChar"/>
    <w:link w:val="CommentSubject"/>
    <w:rsid w:val="006B5375"/>
    <w:rPr>
      <w:b/>
      <w:bCs/>
      <w:lang w:val="de-DE"/>
    </w:rPr>
  </w:style>
  <w:style w:type="paragraph" w:styleId="Revision">
    <w:name w:val="Revision"/>
    <w:hidden/>
    <w:uiPriority w:val="99"/>
    <w:semiHidden/>
    <w:rsid w:val="006B5375"/>
    <w:rPr>
      <w:sz w:val="24"/>
      <w:lang w:val="de-DE"/>
    </w:rPr>
  </w:style>
  <w:style w:type="paragraph" w:styleId="BalloonText">
    <w:name w:val="Balloon Text"/>
    <w:basedOn w:val="Normal"/>
    <w:link w:val="BalloonTextChar"/>
    <w:rsid w:val="006B5375"/>
    <w:rPr>
      <w:rFonts w:ascii="Segoe UI" w:hAnsi="Segoe UI" w:cs="Segoe UI"/>
      <w:sz w:val="18"/>
      <w:szCs w:val="18"/>
    </w:rPr>
  </w:style>
  <w:style w:type="character" w:customStyle="1" w:styleId="BalloonTextChar">
    <w:name w:val="Balloon Text Char"/>
    <w:basedOn w:val="DefaultParagraphFont"/>
    <w:link w:val="BalloonText"/>
    <w:rsid w:val="006B5375"/>
    <w:rPr>
      <w:rFonts w:ascii="Segoe UI" w:hAnsi="Segoe UI" w:cs="Segoe UI"/>
      <w:sz w:val="18"/>
      <w:szCs w:val="18"/>
      <w:lang w:val="de-DE"/>
    </w:rPr>
  </w:style>
  <w:style w:type="paragraph" w:customStyle="1" w:styleId="NormalTabs">
    <w:name w:val="NormalTabs"/>
    <w:basedOn w:val="Normal"/>
    <w:qFormat/>
    <w:rsid w:val="006B5375"/>
    <w:pPr>
      <w:tabs>
        <w:tab w:val="center" w:pos="284"/>
        <w:tab w:val="left" w:pos="426"/>
      </w:tabs>
    </w:pPr>
    <w:rPr>
      <w:snapToGrid w:val="0"/>
      <w:lang w:eastAsia="en-US"/>
    </w:rPr>
  </w:style>
  <w:style w:type="paragraph" w:styleId="Date">
    <w:name w:val="Date"/>
    <w:basedOn w:val="Normal"/>
    <w:next w:val="Normal"/>
    <w:link w:val="DateChar"/>
    <w:unhideWhenUsed/>
    <w:rsid w:val="006B5375"/>
    <w:pPr>
      <w:widowControl/>
      <w:ind w:left="5103" w:right="-567"/>
    </w:pPr>
  </w:style>
  <w:style w:type="character" w:customStyle="1" w:styleId="DateChar">
    <w:name w:val="Date Char"/>
    <w:basedOn w:val="DefaultParagraphFont"/>
    <w:link w:val="Date"/>
    <w:rsid w:val="006B5375"/>
    <w:rPr>
      <w:sz w:val="24"/>
      <w:lang w:val="de-DE"/>
    </w:rPr>
  </w:style>
  <w:style w:type="paragraph" w:customStyle="1" w:styleId="ZDGName">
    <w:name w:val="Z_DGName"/>
    <w:basedOn w:val="Normal"/>
    <w:rsid w:val="006B5375"/>
    <w:pPr>
      <w:snapToGrid w:val="0"/>
      <w:ind w:right="85"/>
      <w:jc w:val="both"/>
    </w:pPr>
    <w:rPr>
      <w:rFonts w:ascii="Arial" w:hAnsi="Arial"/>
      <w:sz w:val="16"/>
      <w:lang w:eastAsia="en-US"/>
    </w:rPr>
  </w:style>
  <w:style w:type="paragraph" w:customStyle="1" w:styleId="ZCom">
    <w:name w:val="Z_Com"/>
    <w:basedOn w:val="Normal"/>
    <w:next w:val="ZDGName"/>
    <w:rsid w:val="006B5375"/>
    <w:pPr>
      <w:snapToGrid w:val="0"/>
      <w:ind w:right="85"/>
      <w:jc w:val="both"/>
    </w:pPr>
    <w:rPr>
      <w:rFonts w:ascii="Arial" w:hAnsi="Arial"/>
      <w:lang w:eastAsia="en-US"/>
    </w:rPr>
  </w:style>
  <w:style w:type="paragraph" w:customStyle="1" w:styleId="StyleAnnexRight">
    <w:name w:val="Style Annex + Right"/>
    <w:basedOn w:val="Normal"/>
    <w:rsid w:val="006B5375"/>
    <w:pPr>
      <w:spacing w:before="480" w:after="2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7284</Words>
  <Characters>51850</Characters>
  <Application>Microsoft Office Word</Application>
  <DocSecurity>0</DocSecurity>
  <Lines>2074</Lines>
  <Paragraphs>609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FOISSY Elfriede</cp:lastModifiedBy>
  <cp:revision>2</cp:revision>
  <cp:lastPrinted>2004-11-19T15:42:00Z</cp:lastPrinted>
  <dcterms:created xsi:type="dcterms:W3CDTF">2019-04-09T13:25:00Z</dcterms:created>
  <dcterms:modified xsi:type="dcterms:W3CDTF">2019-04-09T13:25:00Z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A8-0040/2019</vt:lpwstr>
  </property>
  <property fmtid="{D5CDD505-2E9C-101B-9397-08002B2CF9AE}" pid="4" name="&lt;Type&gt;">
    <vt:lpwstr>RR</vt:lpwstr>
  </property>
</Properties>
</file>