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630E2F" w:rsidRDefault="003C72D2">
      <w:pPr>
        <w:pStyle w:val="Interstitial1"/>
      </w:pPr>
      <w:r w:rsidRPr="00630E2F">
        <w:rPr>
          <w:rStyle w:val="HideTWBExt"/>
        </w:rPr>
        <w:t>&lt;RepeatBlock-Amend&gt;&lt;Amend&gt;&lt;Date&gt;</w:t>
      </w:r>
      <w:r w:rsidRPr="00630E2F">
        <w:rPr>
          <w:rStyle w:val="HideTWBInt"/>
          <w:color w:val="auto"/>
        </w:rPr>
        <w:t>{07/02/2019}</w:t>
      </w:r>
      <w:r w:rsidRPr="00630E2F">
        <w:rPr>
          <w:color w:val="auto"/>
        </w:rPr>
        <w:t>7.2.2019</w:t>
      </w:r>
      <w:r w:rsidRPr="00630E2F">
        <w:rPr>
          <w:rStyle w:val="HideTWBExt"/>
        </w:rPr>
        <w:t>&lt;/Date&gt;</w:t>
      </w:r>
      <w:r w:rsidRPr="00630E2F">
        <w:rPr>
          <w:color w:val="auto"/>
        </w:rPr>
        <w:tab/>
      </w:r>
      <w:r w:rsidRPr="00630E2F">
        <w:rPr>
          <w:rStyle w:val="HideTWBExt"/>
        </w:rPr>
        <w:t>&lt;ANo&gt;</w:t>
      </w:r>
      <w:r w:rsidRPr="00630E2F">
        <w:rPr>
          <w:color w:val="auto"/>
        </w:rPr>
        <w:t>A8-0043</w:t>
      </w:r>
      <w:r w:rsidRPr="00630E2F">
        <w:rPr>
          <w:rStyle w:val="HideTWBExt"/>
        </w:rPr>
        <w:t>&lt;/ANo&gt;</w:t>
      </w:r>
      <w:r w:rsidRPr="00630E2F">
        <w:rPr>
          <w:color w:val="auto"/>
        </w:rPr>
        <w:t>/</w:t>
      </w:r>
      <w:r w:rsidRPr="00630E2F">
        <w:rPr>
          <w:rStyle w:val="HideTWBExt"/>
        </w:rPr>
        <w:t>&lt;NumAm&gt;</w:t>
      </w:r>
      <w:r w:rsidRPr="00630E2F">
        <w:rPr>
          <w:color w:val="auto"/>
        </w:rPr>
        <w:t>428</w:t>
      </w:r>
      <w:r w:rsidRPr="00630E2F">
        <w:rPr>
          <w:rStyle w:val="HideTWBExt"/>
        </w:rPr>
        <w:t>&lt;/NumAm&gt;</w:t>
      </w:r>
    </w:p>
    <w:p w:rsidR="00C21589" w:rsidRPr="00630E2F" w:rsidRDefault="003C72D2">
      <w:pPr>
        <w:pStyle w:val="AMNumberTabs"/>
      </w:pPr>
      <w:r w:rsidRPr="00630E2F">
        <w:rPr>
          <w:color w:val="auto"/>
        </w:rPr>
        <w:t>Amendement</w:t>
      </w:r>
      <w:r w:rsidRPr="00630E2F">
        <w:rPr>
          <w:color w:val="auto"/>
        </w:rPr>
        <w:tab/>
      </w:r>
      <w:r w:rsidRPr="00630E2F">
        <w:rPr>
          <w:color w:val="auto"/>
        </w:rPr>
        <w:tab/>
      </w:r>
      <w:r w:rsidRPr="00630E2F">
        <w:rPr>
          <w:rStyle w:val="HideTWBExt"/>
        </w:rPr>
        <w:t>&lt;NumAm&gt;</w:t>
      </w:r>
      <w:r w:rsidRPr="00630E2F">
        <w:rPr>
          <w:color w:val="auto"/>
        </w:rPr>
        <w:t>428</w:t>
      </w:r>
      <w:r w:rsidRPr="00630E2F">
        <w:rPr>
          <w:rStyle w:val="HideTWBExt"/>
        </w:rPr>
        <w:t>&lt;/NumAm&gt;</w:t>
      </w:r>
    </w:p>
    <w:p w:rsidR="00C21589" w:rsidRPr="00630E2F" w:rsidRDefault="003C72D2">
      <w:pPr>
        <w:pStyle w:val="NormalBold"/>
      </w:pPr>
      <w:r w:rsidRPr="00630E2F">
        <w:rPr>
          <w:rStyle w:val="HideTWBExt"/>
        </w:rPr>
        <w:t>&lt;RepeatBlock-By&gt;&lt;Members&gt;</w:t>
      </w:r>
      <w:r w:rsidRPr="00630E2F">
        <w:rPr>
          <w:color w:val="auto"/>
        </w:rPr>
        <w:t>Constanze Krehl</w:t>
      </w:r>
      <w:r w:rsidRPr="00630E2F">
        <w:rPr>
          <w:rStyle w:val="HideTWBExt"/>
        </w:rPr>
        <w:t>&lt;/Members&gt;</w:t>
      </w:r>
    </w:p>
    <w:p w:rsidR="00C21589" w:rsidRPr="00630E2F" w:rsidRDefault="003C72D2">
      <w:r w:rsidRPr="00630E2F">
        <w:rPr>
          <w:rStyle w:val="HideTWBExt"/>
        </w:rPr>
        <w:t>&lt;AuNomDe&gt;</w:t>
      </w:r>
      <w:r w:rsidRPr="00630E2F">
        <w:rPr>
          <w:rStyle w:val="HideTWBInt"/>
          <w:color w:val="auto"/>
        </w:rPr>
        <w:t>{S&amp;D}</w:t>
      </w:r>
      <w:r w:rsidRPr="00630E2F">
        <w:t>namens de S&amp;D-Fractie</w:t>
      </w:r>
      <w:r w:rsidRPr="00630E2F">
        <w:rPr>
          <w:rStyle w:val="HideTWBExt"/>
        </w:rPr>
        <w:t>&lt;/AuNomDe&gt;</w:t>
      </w:r>
    </w:p>
    <w:p w:rsidR="00C21589" w:rsidRPr="00630E2F" w:rsidRDefault="003C72D2">
      <w:pPr>
        <w:pStyle w:val="NormalBold"/>
      </w:pPr>
      <w:r w:rsidRPr="00630E2F">
        <w:rPr>
          <w:rStyle w:val="HideTWBExt"/>
        </w:rPr>
        <w:t>&lt;Members&gt;</w:t>
      </w:r>
      <w:r w:rsidRPr="00630E2F">
        <w:rPr>
          <w:color w:val="auto"/>
        </w:rPr>
        <w:t>Andrey Novakov, Lambert van Nistelrooij</w:t>
      </w:r>
      <w:r w:rsidRPr="00630E2F">
        <w:rPr>
          <w:rStyle w:val="HideTWBExt"/>
        </w:rPr>
        <w:t>&lt;/Members&gt;</w:t>
      </w:r>
    </w:p>
    <w:p w:rsidR="00C21589" w:rsidRPr="00630E2F" w:rsidRDefault="003C72D2">
      <w:r w:rsidRPr="00630E2F">
        <w:rPr>
          <w:rStyle w:val="HideTWBExt"/>
        </w:rPr>
        <w:t>&lt;AuNomDe&gt;</w:t>
      </w:r>
      <w:r w:rsidRPr="00630E2F">
        <w:rPr>
          <w:rStyle w:val="HideTWBInt"/>
          <w:color w:val="auto"/>
        </w:rPr>
        <w:t>{PPE}</w:t>
      </w:r>
      <w:r w:rsidRPr="00630E2F">
        <w:t>namens de PPE-Fractie</w:t>
      </w:r>
      <w:r w:rsidRPr="00630E2F">
        <w:rPr>
          <w:rStyle w:val="HideTWBExt"/>
        </w:rPr>
        <w:t>&lt;/AuNomDe&gt;</w:t>
      </w:r>
    </w:p>
    <w:p w:rsidR="00C21589" w:rsidRPr="00630E2F" w:rsidRDefault="003C72D2">
      <w:r w:rsidRPr="00630E2F">
        <w:rPr>
          <w:rStyle w:val="HideTWBExt"/>
        </w:rPr>
        <w:t>&lt;/RepeatBlock-By&gt;</w:t>
      </w:r>
    </w:p>
    <w:p w:rsidR="00C21589" w:rsidRPr="00630E2F" w:rsidRDefault="003C72D2">
      <w:pPr>
        <w:pStyle w:val="ProjRap"/>
      </w:pPr>
      <w:r w:rsidRPr="00630E2F">
        <w:rPr>
          <w:rStyle w:val="HideTWBExt"/>
        </w:rPr>
        <w:t>&lt;TitreType&gt;</w:t>
      </w:r>
      <w:r w:rsidRPr="00630E2F">
        <w:t>Verslag</w:t>
      </w:r>
      <w:r w:rsidRPr="00630E2F">
        <w:rPr>
          <w:rStyle w:val="HideTWBExt"/>
        </w:rPr>
        <w:t>&lt;/TitreType&gt;</w:t>
      </w:r>
      <w:r w:rsidRPr="00630E2F">
        <w:tab/>
        <w:t>A8-0043/2019</w:t>
      </w:r>
    </w:p>
    <w:p w:rsidR="00C21589" w:rsidRPr="00630E2F" w:rsidRDefault="003C72D2">
      <w:pPr>
        <w:pStyle w:val="NormalBold"/>
      </w:pPr>
      <w:r w:rsidRPr="00630E2F">
        <w:rPr>
          <w:rStyle w:val="HideTWBExt"/>
        </w:rPr>
        <w:t>&lt;Rapporteur&gt;</w:t>
      </w:r>
      <w:r w:rsidRPr="00630E2F">
        <w:rPr>
          <w:color w:val="auto"/>
        </w:rPr>
        <w:t>Andrey Novakov</w:t>
      </w:r>
      <w:r w:rsidRPr="00630E2F">
        <w:rPr>
          <w:rStyle w:val="HideTWBExt"/>
        </w:rPr>
        <w:t>&lt;/Rapporteur&gt;</w:t>
      </w:r>
    </w:p>
    <w:p w:rsidR="00C21589" w:rsidRPr="00630E2F" w:rsidRDefault="003C72D2">
      <w:pPr>
        <w:pStyle w:val="Normal12"/>
      </w:pPr>
      <w:r w:rsidRPr="00630E2F">
        <w:rPr>
          <w:rStyle w:val="HideTWBExt"/>
        </w:rPr>
        <w:t>&lt;Titre&gt;</w:t>
      </w:r>
      <w:r w:rsidRPr="00630E2F">
        <w:t>Gemeenschappelijke bepalingen inzake het Europees Fonds voor regionale ontwikkeling, het Europees Sociaal Fonds Plus, het Cohesiefonds, en het Europees Fonds voor maritieme zaken en visserij en de financiële regels voor die fondsen</w:t>
      </w:r>
      <w:r w:rsidRPr="00630E2F">
        <w:rPr>
          <w:rStyle w:val="HideTWBExt"/>
        </w:rPr>
        <w:t>&lt;/Titre&gt;</w:t>
      </w:r>
    </w:p>
    <w:p w:rsidR="00C21589" w:rsidRPr="00630E2F" w:rsidRDefault="003C72D2">
      <w:pPr>
        <w:pStyle w:val="Normal12"/>
      </w:pPr>
      <w:r w:rsidRPr="00630E2F">
        <w:rPr>
          <w:rStyle w:val="HideTWBExt"/>
        </w:rPr>
        <w:t>&lt;DocRef&gt;</w:t>
      </w:r>
      <w:r w:rsidRPr="00630E2F">
        <w:rPr>
          <w:color w:val="auto"/>
        </w:rPr>
        <w:t>(COM(2018)0375 – C8-0230/2018 – 2018/0196(COD))</w:t>
      </w:r>
      <w:r w:rsidRPr="00630E2F">
        <w:rPr>
          <w:rStyle w:val="HideTWBExt"/>
        </w:rPr>
        <w:t>&lt;/DocRef&gt;</w:t>
      </w:r>
    </w:p>
    <w:p w:rsidR="00C21589" w:rsidRPr="00630E2F" w:rsidRDefault="00C21589">
      <w:pPr>
        <w:pStyle w:val="Normal12"/>
      </w:pPr>
    </w:p>
    <w:p w:rsidR="00C21589" w:rsidRPr="00630E2F" w:rsidRDefault="003C72D2">
      <w:pPr>
        <w:pStyle w:val="NormalBold"/>
      </w:pPr>
      <w:r w:rsidRPr="00630E2F">
        <w:rPr>
          <w:rStyle w:val="HideTWBExt"/>
        </w:rPr>
        <w:t>&lt;DocAmend&gt;</w:t>
      </w:r>
      <w:r w:rsidRPr="00630E2F">
        <w:rPr>
          <w:color w:val="auto"/>
        </w:rPr>
        <w:t>Voorstel voor een verordening</w:t>
      </w:r>
      <w:r w:rsidRPr="00630E2F">
        <w:rPr>
          <w:rStyle w:val="HideTWBExt"/>
        </w:rPr>
        <w:t>&lt;/DocAmend&gt;</w:t>
      </w:r>
    </w:p>
    <w:p w:rsidR="00C21589" w:rsidRPr="00630E2F" w:rsidRDefault="003C72D2">
      <w:pPr>
        <w:pStyle w:val="NormalBold"/>
      </w:pPr>
      <w:r w:rsidRPr="00630E2F">
        <w:rPr>
          <w:rStyle w:val="HideTWBExt"/>
        </w:rPr>
        <w:t>&lt;Article&gt;</w:t>
      </w:r>
      <w:r w:rsidRPr="00630E2F">
        <w:rPr>
          <w:color w:val="auto"/>
        </w:rPr>
        <w:t>Artikel 10 – lid 1</w:t>
      </w:r>
      <w:r w:rsidRPr="00630E2F">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21589" w:rsidRPr="00630E2F">
        <w:trPr>
          <w:trHeight w:hRule="exact" w:val="240"/>
          <w:jc w:val="center"/>
        </w:trPr>
        <w:tc>
          <w:tcPr>
            <w:tcW w:w="9752" w:type="dxa"/>
            <w:gridSpan w:val="2"/>
          </w:tcPr>
          <w:p w:rsidR="00C21589" w:rsidRPr="00630E2F" w:rsidRDefault="00C21589"/>
        </w:tc>
      </w:tr>
      <w:tr w:rsidR="00C21589" w:rsidRPr="00630E2F">
        <w:trPr>
          <w:trHeight w:val="240"/>
          <w:jc w:val="center"/>
        </w:trPr>
        <w:tc>
          <w:tcPr>
            <w:tcW w:w="4876" w:type="dxa"/>
          </w:tcPr>
          <w:p w:rsidR="00C21589" w:rsidRPr="00630E2F" w:rsidRDefault="003C72D2">
            <w:pPr>
              <w:pStyle w:val="ColumnHeading"/>
              <w:rPr>
                <w:color w:val="auto"/>
              </w:rPr>
            </w:pPr>
            <w:r w:rsidRPr="00630E2F">
              <w:rPr>
                <w:color w:val="auto"/>
              </w:rPr>
              <w:t>Door de Commissie voorgestelde tekst</w:t>
            </w:r>
          </w:p>
        </w:tc>
        <w:tc>
          <w:tcPr>
            <w:tcW w:w="4876" w:type="dxa"/>
          </w:tcPr>
          <w:p w:rsidR="00C21589" w:rsidRPr="00630E2F" w:rsidRDefault="003C72D2">
            <w:pPr>
              <w:pStyle w:val="ColumnHeading"/>
              <w:rPr>
                <w:color w:val="auto"/>
              </w:rPr>
            </w:pPr>
            <w:r w:rsidRPr="00630E2F">
              <w:rPr>
                <w:color w:val="auto"/>
              </w:rPr>
              <w:t>Amendement</w:t>
            </w:r>
          </w:p>
        </w:tc>
      </w:tr>
      <w:tr w:rsidR="00C21589" w:rsidRPr="00630E2F">
        <w:trPr>
          <w:jc w:val="center"/>
        </w:trPr>
        <w:tc>
          <w:tcPr>
            <w:tcW w:w="4876" w:type="dxa"/>
          </w:tcPr>
          <w:p w:rsidR="00C21589" w:rsidRPr="00630E2F" w:rsidRDefault="003C72D2">
            <w:pPr>
              <w:pStyle w:val="Normal6"/>
              <w:rPr>
                <w:color w:val="auto"/>
              </w:rPr>
            </w:pPr>
            <w:r w:rsidRPr="00630E2F">
              <w:rPr>
                <w:color w:val="auto"/>
              </w:rPr>
              <w:t>1.</w:t>
            </w:r>
            <w:r w:rsidRPr="00630E2F">
              <w:rPr>
                <w:color w:val="auto"/>
              </w:rPr>
              <w:tab/>
              <w:t xml:space="preserve">Lidstaten kunnen </w:t>
            </w:r>
            <w:r w:rsidRPr="00630E2F">
              <w:rPr>
                <w:b/>
                <w:i/>
                <w:color w:val="auto"/>
              </w:rPr>
              <w:t>in</w:t>
            </w:r>
            <w:r w:rsidRPr="00630E2F">
              <w:rPr>
                <w:color w:val="auto"/>
              </w:rPr>
              <w:t xml:space="preserve"> de </w:t>
            </w:r>
            <w:r w:rsidRPr="00630E2F">
              <w:rPr>
                <w:b/>
                <w:i/>
                <w:color w:val="auto"/>
              </w:rPr>
              <w:t>partnerschapsovereenkomst of</w:t>
            </w:r>
            <w:r w:rsidRPr="00630E2F">
              <w:rPr>
                <w:color w:val="auto"/>
              </w:rPr>
              <w:t xml:space="preserve"> in het verzoek tot wijziging van een programma </w:t>
            </w:r>
            <w:r w:rsidRPr="00630E2F">
              <w:rPr>
                <w:b/>
                <w:i/>
                <w:color w:val="auto"/>
              </w:rPr>
              <w:t>het</w:t>
            </w:r>
            <w:r w:rsidRPr="00630E2F">
              <w:rPr>
                <w:color w:val="auto"/>
              </w:rPr>
              <w:t xml:space="preserve"> bedrag van EFRO, het ESF+, het Cohesiefonds en het EFMZV toewijzen dat aan InvestEU moet worden bijgedragen en door middel van begrotingsgaranties moet worden verstrekt. </w:t>
            </w:r>
            <w:r w:rsidRPr="00630E2F">
              <w:rPr>
                <w:b/>
                <w:i/>
                <w:color w:val="auto"/>
              </w:rPr>
              <w:t>Het</w:t>
            </w:r>
            <w:r w:rsidRPr="00630E2F">
              <w:rPr>
                <w:color w:val="auto"/>
              </w:rPr>
              <w:t xml:space="preserve"> aan InvestEU </w:t>
            </w:r>
            <w:r w:rsidRPr="00630E2F">
              <w:rPr>
                <w:b/>
                <w:i/>
                <w:color w:val="auto"/>
              </w:rPr>
              <w:t xml:space="preserve">bij </w:t>
            </w:r>
            <w:bookmarkStart w:id="0" w:name="_GoBack"/>
            <w:bookmarkEnd w:id="0"/>
            <w:r w:rsidRPr="00630E2F">
              <w:rPr>
                <w:b/>
                <w:i/>
                <w:color w:val="auto"/>
              </w:rPr>
              <w:t>te dragen bedrag mag niet meer bedragen dat 5 %</w:t>
            </w:r>
            <w:r w:rsidRPr="00630E2F">
              <w:rPr>
                <w:color w:val="auto"/>
              </w:rPr>
              <w:t xml:space="preserve"> van de </w:t>
            </w:r>
            <w:r w:rsidRPr="00630E2F">
              <w:rPr>
                <w:b/>
                <w:i/>
                <w:color w:val="auto"/>
              </w:rPr>
              <w:t>totale toewijzing</w:t>
            </w:r>
            <w:r w:rsidRPr="00630E2F">
              <w:rPr>
                <w:color w:val="auto"/>
              </w:rPr>
              <w:t xml:space="preserve"> van </w:t>
            </w:r>
            <w:r w:rsidRPr="00630E2F">
              <w:rPr>
                <w:b/>
                <w:i/>
                <w:color w:val="auto"/>
              </w:rPr>
              <w:t>elk Fonds</w:t>
            </w:r>
            <w:r w:rsidRPr="00630E2F">
              <w:rPr>
                <w:color w:val="auto"/>
              </w:rPr>
              <w:t xml:space="preserve">, </w:t>
            </w:r>
            <w:r w:rsidRPr="00630E2F">
              <w:rPr>
                <w:b/>
                <w:i/>
                <w:color w:val="auto"/>
              </w:rPr>
              <w:t>behoudens</w:t>
            </w:r>
            <w:r w:rsidRPr="00630E2F">
              <w:rPr>
                <w:color w:val="auto"/>
              </w:rPr>
              <w:t xml:space="preserve"> in </w:t>
            </w:r>
            <w:r w:rsidRPr="00630E2F">
              <w:rPr>
                <w:b/>
                <w:i/>
                <w:color w:val="auto"/>
              </w:rPr>
              <w:t>naar behoren gemotiveerde gevallen</w:t>
            </w:r>
            <w:r w:rsidRPr="00630E2F">
              <w:rPr>
                <w:color w:val="auto"/>
              </w:rPr>
              <w:t xml:space="preserve">. </w:t>
            </w:r>
            <w:r w:rsidRPr="00630E2F">
              <w:rPr>
                <w:b/>
                <w:i/>
                <w:color w:val="auto"/>
              </w:rPr>
              <w:t>Dergelijke bijdragen</w:t>
            </w:r>
            <w:r w:rsidRPr="00630E2F">
              <w:rPr>
                <w:color w:val="auto"/>
              </w:rPr>
              <w:t xml:space="preserve"> zijn </w:t>
            </w:r>
            <w:r w:rsidRPr="00630E2F">
              <w:rPr>
                <w:b/>
                <w:i/>
                <w:color w:val="auto"/>
              </w:rPr>
              <w:t>geen overdrachten van</w:t>
            </w:r>
            <w:r w:rsidRPr="00630E2F">
              <w:rPr>
                <w:color w:val="auto"/>
              </w:rPr>
              <w:t xml:space="preserve"> middelen </w:t>
            </w:r>
            <w:r w:rsidRPr="00630E2F">
              <w:rPr>
                <w:b/>
                <w:i/>
                <w:color w:val="auto"/>
              </w:rPr>
              <w:t>overeenkomstig artikel 21</w:t>
            </w:r>
            <w:r w:rsidRPr="00630E2F">
              <w:rPr>
                <w:color w:val="auto"/>
              </w:rPr>
              <w:t>.</w:t>
            </w:r>
          </w:p>
        </w:tc>
        <w:tc>
          <w:tcPr>
            <w:tcW w:w="4876" w:type="dxa"/>
          </w:tcPr>
          <w:p w:rsidR="00C21589" w:rsidRPr="00630E2F" w:rsidRDefault="003C72D2">
            <w:pPr>
              <w:pStyle w:val="Normal6"/>
              <w:rPr>
                <w:color w:val="auto"/>
              </w:rPr>
            </w:pPr>
            <w:r w:rsidRPr="00630E2F">
              <w:rPr>
                <w:color w:val="auto"/>
              </w:rPr>
              <w:t>1.</w:t>
            </w:r>
            <w:r w:rsidRPr="00630E2F">
              <w:rPr>
                <w:color w:val="auto"/>
              </w:rPr>
              <w:tab/>
            </w:r>
            <w:r w:rsidRPr="00630E2F">
              <w:rPr>
                <w:b/>
                <w:i/>
                <w:color w:val="auto"/>
              </w:rPr>
              <w:t>Vanaf 1 januari 2023</w:t>
            </w:r>
            <w:r w:rsidRPr="00630E2F">
              <w:rPr>
                <w:color w:val="auto"/>
              </w:rPr>
              <w:t xml:space="preserve"> kunnen lidstaten</w:t>
            </w:r>
            <w:r w:rsidRPr="00630E2F">
              <w:rPr>
                <w:b/>
                <w:i/>
                <w:color w:val="auto"/>
              </w:rPr>
              <w:t>, met instemming van</w:t>
            </w:r>
            <w:r w:rsidRPr="00630E2F">
              <w:rPr>
                <w:color w:val="auto"/>
              </w:rPr>
              <w:t xml:space="preserve"> de </w:t>
            </w:r>
            <w:r w:rsidRPr="00630E2F">
              <w:rPr>
                <w:b/>
                <w:i/>
                <w:color w:val="auto"/>
              </w:rPr>
              <w:t>betrokken beheersautoriteiten,</w:t>
            </w:r>
            <w:r w:rsidRPr="00630E2F">
              <w:rPr>
                <w:color w:val="auto"/>
              </w:rPr>
              <w:t xml:space="preserve"> in het verzoek tot wijziging van een programma </w:t>
            </w:r>
            <w:r w:rsidRPr="00630E2F">
              <w:rPr>
                <w:b/>
                <w:i/>
                <w:color w:val="auto"/>
              </w:rPr>
              <w:t>een</w:t>
            </w:r>
            <w:r w:rsidRPr="00630E2F">
              <w:rPr>
                <w:color w:val="auto"/>
              </w:rPr>
              <w:t xml:space="preserve"> bedrag van </w:t>
            </w:r>
            <w:r w:rsidRPr="00630E2F">
              <w:rPr>
                <w:b/>
                <w:i/>
                <w:color w:val="auto"/>
              </w:rPr>
              <w:t xml:space="preserve">maximaal 2 % van het </w:t>
            </w:r>
            <w:r w:rsidRPr="00630E2F">
              <w:rPr>
                <w:color w:val="auto"/>
              </w:rPr>
              <w:t xml:space="preserve">EFRO, het ESF+, het Cohesiefonds en het EFMZV toewijzen dat aan InvestEU moet worden bijgedragen en door middel van begrotingsgaranties moet worden verstrekt. </w:t>
            </w:r>
            <w:r w:rsidRPr="00630E2F">
              <w:rPr>
                <w:b/>
                <w:i/>
                <w:color w:val="auto"/>
              </w:rPr>
              <w:t>Verder kan maximaal 3 % van de totale toewijzing van elk Fonds</w:t>
            </w:r>
            <w:r w:rsidRPr="00630E2F">
              <w:rPr>
                <w:color w:val="auto"/>
              </w:rPr>
              <w:t xml:space="preserve"> aan InvestEU </w:t>
            </w:r>
            <w:r w:rsidRPr="00630E2F">
              <w:rPr>
                <w:b/>
                <w:i/>
                <w:color w:val="auto"/>
              </w:rPr>
              <w:t>worden toegewezen in het kader van de tussentijdse evaluatie.</w:t>
            </w:r>
            <w:r w:rsidRPr="00630E2F">
              <w:rPr>
                <w:color w:val="auto"/>
              </w:rPr>
              <w:t xml:space="preserve"> </w:t>
            </w:r>
            <w:r w:rsidRPr="00630E2F">
              <w:rPr>
                <w:b/>
                <w:i/>
                <w:color w:val="auto"/>
              </w:rPr>
              <w:t>Dergelijke bijdragen zijn beschikbaar voor investeringen die stroken met de doelstellingen</w:t>
            </w:r>
            <w:r w:rsidRPr="00630E2F">
              <w:rPr>
                <w:color w:val="auto"/>
              </w:rPr>
              <w:t xml:space="preserve"> van </w:t>
            </w:r>
            <w:r w:rsidRPr="00630E2F">
              <w:rPr>
                <w:b/>
                <w:i/>
                <w:color w:val="auto"/>
              </w:rPr>
              <w:t xml:space="preserve">het cohesiebeleid en die bestemd zijn voor dezelfde regiocategorie als </w:t>
            </w:r>
            <w:r w:rsidRPr="00630E2F">
              <w:rPr>
                <w:color w:val="auto"/>
              </w:rPr>
              <w:t xml:space="preserve">de </w:t>
            </w:r>
            <w:r w:rsidRPr="00630E2F">
              <w:rPr>
                <w:b/>
                <w:i/>
                <w:color w:val="auto"/>
              </w:rPr>
              <w:t>middelen uit de oorspronkelijke Fondsen. Indien een bedrag van het EFRO, het ESF+ of het Cohesiefonds wordt bijgedragen aan InvestEU, zijn de in artikel 11 en in de bijlagen III en IV bij deze verordening beschreven randvoorwaarden van toepassing. Toewijzingen</w:t>
            </w:r>
            <w:r w:rsidRPr="00630E2F">
              <w:rPr>
                <w:color w:val="auto"/>
              </w:rPr>
              <w:t xml:space="preserve"> zijn </w:t>
            </w:r>
            <w:r w:rsidRPr="00630E2F">
              <w:rPr>
                <w:b/>
                <w:i/>
                <w:color w:val="auto"/>
              </w:rPr>
              <w:t>alleen mogelijk voor</w:t>
            </w:r>
            <w:r w:rsidRPr="00630E2F">
              <w:rPr>
                <w:color w:val="auto"/>
              </w:rPr>
              <w:t xml:space="preserve"> middelen </w:t>
            </w:r>
            <w:r w:rsidRPr="00630E2F">
              <w:rPr>
                <w:b/>
                <w:i/>
                <w:color w:val="auto"/>
              </w:rPr>
              <w:t>van toekomstige kalenderjaren</w:t>
            </w:r>
            <w:r w:rsidRPr="00630E2F">
              <w:rPr>
                <w:color w:val="auto"/>
              </w:rPr>
              <w:t>.</w:t>
            </w:r>
          </w:p>
        </w:tc>
      </w:tr>
    </w:tbl>
    <w:p w:rsidR="00C21589" w:rsidRPr="00630E2F" w:rsidRDefault="003C72D2" w:rsidP="00725CDA">
      <w:pPr>
        <w:pStyle w:val="Olang"/>
      </w:pPr>
      <w:r w:rsidRPr="00630E2F">
        <w:rPr>
          <w:color w:val="auto"/>
        </w:rPr>
        <w:lastRenderedPageBreak/>
        <w:t xml:space="preserve">Or. </w:t>
      </w:r>
      <w:r w:rsidRPr="00630E2F">
        <w:rPr>
          <w:rStyle w:val="HideTWBExt"/>
        </w:rPr>
        <w:t>&lt;Original&gt;</w:t>
      </w:r>
      <w:r w:rsidRPr="00630E2F">
        <w:rPr>
          <w:rStyle w:val="HideTWBInt"/>
        </w:rPr>
        <w:t>{EN}</w:t>
      </w:r>
      <w:r w:rsidRPr="00630E2F">
        <w:rPr>
          <w:color w:val="auto"/>
        </w:rPr>
        <w:t>en</w:t>
      </w:r>
      <w:r w:rsidRPr="00630E2F">
        <w:rPr>
          <w:rStyle w:val="HideTWBExt"/>
        </w:rPr>
        <w:t>&lt;/Original&gt;</w:t>
      </w:r>
    </w:p>
    <w:p w:rsidR="00C21589" w:rsidRPr="00630E2F" w:rsidRDefault="003C72D2">
      <w:pPr>
        <w:pStyle w:val="Olang"/>
      </w:pPr>
      <w:r w:rsidRPr="00630E2F">
        <w:rPr>
          <w:rStyle w:val="HideTWBExt"/>
        </w:rPr>
        <w:t>&lt;/Amend&gt;&lt;/RepeatBlock-Amend&gt;</w:t>
      </w:r>
    </w:p>
    <w:sectPr w:rsidR="00C21589" w:rsidRPr="00630E2F">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734" w:rsidRPr="00630E2F" w:rsidRDefault="003C72D2">
      <w:r w:rsidRPr="00630E2F">
        <w:separator/>
      </w:r>
    </w:p>
  </w:endnote>
  <w:endnote w:type="continuationSeparator" w:id="0">
    <w:p w:rsidR="00A23734" w:rsidRPr="00630E2F" w:rsidRDefault="003C72D2">
      <w:r w:rsidRPr="00630E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DB" w:rsidRDefault="00D63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E2F" w:rsidRPr="00630E2F" w:rsidRDefault="00630E2F" w:rsidP="00630E2F">
    <w:pPr>
      <w:pStyle w:val="Footer"/>
    </w:pPr>
    <w:r w:rsidRPr="00630E2F">
      <w:rPr>
        <w:rStyle w:val="HideTWBExt"/>
      </w:rPr>
      <w:t>&lt;PathFdR&gt;</w:t>
    </w:r>
    <w:r w:rsidRPr="00630E2F">
      <w:t>AM\1176413NL.docx</w:t>
    </w:r>
    <w:r w:rsidRPr="00630E2F">
      <w:rPr>
        <w:rStyle w:val="HideTWBExt"/>
      </w:rPr>
      <w:t>&lt;/PathFdR&gt;</w:t>
    </w:r>
    <w:r w:rsidRPr="00630E2F">
      <w:tab/>
    </w:r>
    <w:r w:rsidRPr="00630E2F">
      <w:tab/>
      <w:t>PE</w:t>
    </w:r>
    <w:r w:rsidRPr="00630E2F">
      <w:rPr>
        <w:rStyle w:val="HideTWBExt"/>
      </w:rPr>
      <w:t>&lt;NoPE&gt;</w:t>
    </w:r>
    <w:r w:rsidRPr="00630E2F">
      <w:t>631.704</w:t>
    </w:r>
    <w:r w:rsidRPr="00630E2F">
      <w:rPr>
        <w:rStyle w:val="HideTWBExt"/>
      </w:rPr>
      <w:t>&lt;/NoPE&gt;&lt;Version&gt;</w:t>
    </w:r>
    <w:r w:rsidRPr="00630E2F">
      <w:t>v01-00</w:t>
    </w:r>
    <w:r w:rsidRPr="00630E2F">
      <w:rPr>
        <w:rStyle w:val="HideTWBExt"/>
      </w:rPr>
      <w:t>&lt;/Version&gt;</w:t>
    </w:r>
  </w:p>
  <w:p w:rsidR="00C21589" w:rsidRPr="00630E2F" w:rsidRDefault="00630E2F" w:rsidP="00630E2F">
    <w:pPr>
      <w:pStyle w:val="Footer2"/>
      <w:tabs>
        <w:tab w:val="center" w:pos="4535"/>
        <w:tab w:val="right" w:pos="9921"/>
      </w:tabs>
    </w:pPr>
    <w:r w:rsidRPr="00630E2F">
      <w:t>NL</w:t>
    </w:r>
    <w:r w:rsidRPr="00630E2F">
      <w:tab/>
    </w:r>
    <w:r w:rsidRPr="00630E2F">
      <w:rPr>
        <w:b w:val="0"/>
        <w:i/>
        <w:color w:val="C0C0C0"/>
        <w:sz w:val="22"/>
      </w:rPr>
      <w:t>In verscheidenheid verenigd</w:t>
    </w:r>
    <w:r w:rsidRPr="00630E2F">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DB" w:rsidRDefault="00D63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734" w:rsidRPr="00630E2F" w:rsidRDefault="003C72D2">
      <w:r w:rsidRPr="00630E2F">
        <w:separator/>
      </w:r>
    </w:p>
  </w:footnote>
  <w:footnote w:type="continuationSeparator" w:id="0">
    <w:p w:rsidR="00A23734" w:rsidRPr="00630E2F" w:rsidRDefault="003C72D2">
      <w:r w:rsidRPr="00630E2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DB" w:rsidRDefault="00D63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DB" w:rsidRDefault="00D63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DB" w:rsidRDefault="00D639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TXTNRPE" w:val="631.704"/>
    <w:docVar w:name="TXTPEorAP" w:val="PE"/>
    <w:docVar w:name="TXTVERSION" w:val="01-00"/>
  </w:docVars>
  <w:rsids>
    <w:rsidRoot w:val="00C21589"/>
    <w:rsid w:val="00135A9A"/>
    <w:rsid w:val="00340DB9"/>
    <w:rsid w:val="003C72D2"/>
    <w:rsid w:val="005250AB"/>
    <w:rsid w:val="00630E2F"/>
    <w:rsid w:val="00646AAC"/>
    <w:rsid w:val="00725CDA"/>
    <w:rsid w:val="00A23734"/>
    <w:rsid w:val="00C21589"/>
    <w:rsid w:val="00D639DB"/>
    <w:rsid w:val="00FD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427340-F728-4AA7-BA01-C6B6BC13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2141</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TINNEMANS Beatrice Herma</cp:lastModifiedBy>
  <cp:revision>2</cp:revision>
  <dcterms:created xsi:type="dcterms:W3CDTF">2019-02-08T16:03:00Z</dcterms:created>
  <dcterms:modified xsi:type="dcterms:W3CDTF">2019-02-08T16:03:00Z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1176413</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20190207-074538-003419-320656</vt:lpwstr>
  </property>
  <property fmtid="{D5CDD505-2E9C-101B-9397-08002B2CF9AE}" pid="6" name="FooterPath">
    <vt:lpwstr>AM\1176413NL.docx</vt:lpwstr>
  </property>
  <property fmtid="{D5CDD505-2E9C-101B-9397-08002B2CF9AE}" pid="7" name="PE Number">
    <vt:lpwstr>631.704</vt:lpwstr>
  </property>
  <property fmtid="{D5CDD505-2E9C-101B-9397-08002B2CF9AE}" pid="8" name="UID">
    <vt:lpwstr>eu.europa.europarl-DIN1-2019-0000008270_01.00-en-01.00_text-xml</vt:lpwstr>
  </property>
  <property fmtid="{D5CDD505-2E9C-101B-9397-08002B2CF9AE}" pid="9" name="SDLStudio">
    <vt:lpwstr/>
  </property>
  <property fmtid="{D5CDD505-2E9C-101B-9397-08002B2CF9AE}" pid="10" name="&lt;Extension&gt;">
    <vt:lpwstr>NL</vt:lpwstr>
  </property>
  <property fmtid="{D5CDD505-2E9C-101B-9397-08002B2CF9AE}" pid="11" name="Bookout">
    <vt:lpwstr>OK - 2019/02/08 17:03</vt:lpwstr>
  </property>
</Properties>
</file>