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6E" w:rsidRDefault="00C1276E" w:rsidP="00C1276E">
      <w:pPr>
        <w:tabs>
          <w:tab w:val="right" w:pos="9184"/>
        </w:tabs>
      </w:pPr>
    </w:p>
    <w:p w:rsidR="00C1276E" w:rsidRDefault="00C1276E" w:rsidP="00C1276E">
      <w:pPr>
        <w:tabs>
          <w:tab w:val="right" w:pos="9184"/>
        </w:tabs>
      </w:pPr>
    </w:p>
    <w:p w:rsidR="00C1276E" w:rsidRDefault="00C1276E" w:rsidP="00C1276E">
      <w:pPr>
        <w:tabs>
          <w:tab w:val="right" w:pos="9184"/>
        </w:tabs>
      </w:pPr>
    </w:p>
    <w:p w:rsidR="00C1276E" w:rsidRDefault="00C1276E" w:rsidP="00C1276E">
      <w:pPr>
        <w:tabs>
          <w:tab w:val="right" w:pos="9184"/>
        </w:tabs>
      </w:pPr>
    </w:p>
    <w:p w:rsidR="00C1276E" w:rsidRDefault="00C1276E" w:rsidP="00C1276E">
      <w:pPr>
        <w:tabs>
          <w:tab w:val="right" w:pos="9184"/>
        </w:tabs>
      </w:pPr>
      <w:r w:rsidRPr="00C1276E">
        <w:rPr>
          <w:rStyle w:val="HideTWBExt"/>
        </w:rPr>
        <w:t>&lt;Date&gt;</w:t>
      </w:r>
      <w:r>
        <w:t>8.2.2019</w:t>
      </w:r>
      <w:r w:rsidRPr="00C1276E">
        <w:rPr>
          <w:rStyle w:val="HideTWBExt"/>
        </w:rPr>
        <w:t>&lt;/Date&gt;</w:t>
      </w:r>
      <w:r>
        <w:tab/>
        <w:t xml:space="preserve">A8-0062/ </w:t>
      </w:r>
      <w:r w:rsidRPr="00C1276E">
        <w:rPr>
          <w:rStyle w:val="HideTWBExt"/>
        </w:rPr>
        <w:t>&lt;NumOfAM&gt;</w:t>
      </w:r>
      <w:r>
        <w:t>001-017</w:t>
      </w:r>
      <w:bookmarkStart w:id="0" w:name="_GoBack"/>
      <w:bookmarkEnd w:id="0"/>
      <w:r w:rsidRPr="00C1276E">
        <w:rPr>
          <w:rStyle w:val="HideTWBExt"/>
        </w:rPr>
        <w:t>&lt;/NumOfAM&gt;</w:t>
      </w:r>
    </w:p>
    <w:p w:rsidR="00C1276E" w:rsidRDefault="00C1276E" w:rsidP="00C1276E">
      <w:pPr>
        <w:tabs>
          <w:tab w:val="right" w:pos="9184"/>
        </w:tabs>
      </w:pPr>
    </w:p>
    <w:p w:rsidR="00C1276E" w:rsidRDefault="00C1276E" w:rsidP="00C1276E">
      <w:pPr>
        <w:tabs>
          <w:tab w:val="right" w:pos="9184"/>
        </w:tabs>
      </w:pPr>
    </w:p>
    <w:p w:rsidR="00C1276E" w:rsidRDefault="00C1276E" w:rsidP="00C1276E">
      <w:pPr>
        <w:tabs>
          <w:tab w:val="right" w:pos="9184"/>
        </w:tabs>
      </w:pPr>
      <w:r>
        <w:rPr>
          <w:b/>
        </w:rPr>
        <w:t xml:space="preserve">ΤΡΟΠΟΛΟΓΙΕΣ 001-017 </w:t>
      </w:r>
    </w:p>
    <w:p w:rsidR="00C1276E" w:rsidRDefault="00C1276E" w:rsidP="00C1276E">
      <w:pPr>
        <w:tabs>
          <w:tab w:val="right" w:pos="9184"/>
        </w:tabs>
      </w:pPr>
      <w:r>
        <w:t xml:space="preserve">κατάθεση: </w:t>
      </w:r>
      <w:r w:rsidRPr="00C1276E">
        <w:rPr>
          <w:rStyle w:val="HideTWBExt"/>
        </w:rPr>
        <w:t>&lt;Committee&gt;</w:t>
      </w:r>
      <w:r>
        <w:t>Επιτροπή Μεταφορών και Τουρισμού</w:t>
      </w:r>
      <w:r w:rsidRPr="00C1276E">
        <w:rPr>
          <w:rStyle w:val="HideTWBExt"/>
        </w:rPr>
        <w:t>&lt;/Committee&gt;</w:t>
      </w:r>
    </w:p>
    <w:p w:rsidR="00C1276E" w:rsidRDefault="00C1276E" w:rsidP="00C1276E">
      <w:pPr>
        <w:tabs>
          <w:tab w:val="right" w:pos="9184"/>
        </w:tabs>
      </w:pPr>
    </w:p>
    <w:p w:rsidR="00C1276E" w:rsidRDefault="00C1276E" w:rsidP="00C1276E">
      <w:pPr>
        <w:tabs>
          <w:tab w:val="right" w:pos="9184"/>
        </w:tabs>
        <w:rPr>
          <w:b/>
        </w:rPr>
      </w:pPr>
      <w:r>
        <w:rPr>
          <w:b/>
        </w:rPr>
        <w:t>Έκθεση</w:t>
      </w:r>
    </w:p>
    <w:p w:rsidR="00C1276E" w:rsidRDefault="00C1276E" w:rsidP="00C1276E">
      <w:pPr>
        <w:tabs>
          <w:tab w:val="right" w:pos="9184"/>
        </w:tabs>
        <w:rPr>
          <w:b/>
        </w:rPr>
      </w:pPr>
      <w:r w:rsidRPr="00C1276E">
        <w:rPr>
          <w:rStyle w:val="HideTWBExt"/>
        </w:rPr>
        <w:t>&lt;Chairman&gt;</w:t>
      </w:r>
      <w:r>
        <w:rPr>
          <w:b/>
        </w:rPr>
        <w:t>Pavel Telička</w:t>
      </w:r>
      <w:r w:rsidRPr="00C1276E">
        <w:rPr>
          <w:rStyle w:val="HideTWBExt"/>
        </w:rPr>
        <w:t>&lt;/Chairman&gt;</w:t>
      </w:r>
      <w:r>
        <w:rPr>
          <w:b/>
        </w:rPr>
        <w:tab/>
      </w:r>
      <w:r w:rsidRPr="00C1276E">
        <w:rPr>
          <w:rStyle w:val="HideTWBExt"/>
        </w:rPr>
        <w:t>&lt;A5Nr&gt;</w:t>
      </w:r>
      <w:r>
        <w:rPr>
          <w:b/>
        </w:rPr>
        <w:t>A8-0062/2019</w:t>
      </w:r>
      <w:r w:rsidRPr="00C1276E">
        <w:rPr>
          <w:rStyle w:val="HideTWBExt"/>
        </w:rPr>
        <w:t>&lt;/A5Nr&gt;</w:t>
      </w:r>
    </w:p>
    <w:p w:rsidR="00C1276E" w:rsidRDefault="00C1276E" w:rsidP="00C1276E">
      <w:pPr>
        <w:tabs>
          <w:tab w:val="right" w:pos="9184"/>
        </w:tabs>
      </w:pPr>
      <w:r w:rsidRPr="00C1276E">
        <w:rPr>
          <w:rStyle w:val="HideTWBExt"/>
        </w:rPr>
        <w:t>&lt;ShortTitel&gt;</w:t>
      </w:r>
      <w:r>
        <w:t>Κοινοί κανόνες διασφάλισης βασικής αεροπορικής συνδεσιμότητας</w:t>
      </w:r>
      <w:r w:rsidRPr="00C1276E">
        <w:rPr>
          <w:rStyle w:val="HideTWBExt"/>
        </w:rPr>
        <w:t>&lt;/ShortTitel&gt;</w:t>
      </w:r>
    </w:p>
    <w:p w:rsidR="00C1276E" w:rsidRDefault="00C1276E" w:rsidP="00C1276E">
      <w:pPr>
        <w:tabs>
          <w:tab w:val="right" w:pos="9184"/>
        </w:tabs>
      </w:pPr>
    </w:p>
    <w:p w:rsidR="00C1276E" w:rsidRDefault="00C1276E" w:rsidP="00C1276E">
      <w:pPr>
        <w:tabs>
          <w:tab w:val="right" w:pos="9184"/>
        </w:tabs>
      </w:pPr>
      <w:r w:rsidRPr="00C1276E">
        <w:rPr>
          <w:rStyle w:val="HideTWBExt"/>
        </w:rPr>
        <w:t>&lt;Procedure&gt;</w:t>
      </w:r>
      <w:r>
        <w:t>Πρόταση κανονισμού</w:t>
      </w:r>
      <w:r w:rsidRPr="00C1276E">
        <w:rPr>
          <w:rStyle w:val="HideTWBExt"/>
        </w:rPr>
        <w:t>&lt;/Procedure&gt;</w:t>
      </w:r>
      <w:r>
        <w:t xml:space="preserve"> </w:t>
      </w:r>
      <w:r w:rsidRPr="00C1276E">
        <w:rPr>
          <w:rStyle w:val="HideTWBExt"/>
        </w:rPr>
        <w:t>&lt;ReferenceNo&gt;</w:t>
      </w:r>
      <w:r>
        <w:t>(COM(2018)0893 – C8-0510/2018 – 2018/0433(COD))</w:t>
      </w:r>
      <w:r w:rsidRPr="00C1276E">
        <w:rPr>
          <w:rStyle w:val="HideTWBExt"/>
        </w:rPr>
        <w:t>&lt;/ReferenceNo&gt;</w:t>
      </w:r>
    </w:p>
    <w:p w:rsidR="00C1276E" w:rsidRDefault="00C1276E" w:rsidP="00C1276E">
      <w:pPr>
        <w:tabs>
          <w:tab w:val="right" w:pos="9184"/>
        </w:tabs>
      </w:pPr>
    </w:p>
    <w:p w:rsidR="00C1276E" w:rsidRDefault="00C1276E" w:rsidP="00C1276E">
      <w:pPr>
        <w:tabs>
          <w:tab w:val="right" w:pos="9184"/>
        </w:tabs>
      </w:pPr>
    </w:p>
    <w:p w:rsidR="00C1276E" w:rsidRDefault="00C1276E" w:rsidP="00C1276E">
      <w:pPr>
        <w:tabs>
          <w:tab w:val="right" w:pos="9184"/>
        </w:tabs>
      </w:pPr>
    </w:p>
    <w:p w:rsidR="00C1276E" w:rsidRDefault="00C1276E" w:rsidP="00C1276E">
      <w:pPr>
        <w:tabs>
          <w:tab w:val="right" w:pos="9184"/>
        </w:tabs>
        <w:jc w:val="center"/>
      </w:pPr>
      <w:r>
        <w:t>_____________________________________________________________</w:t>
      </w:r>
    </w:p>
    <w:p w:rsidR="00C1276E" w:rsidRDefault="00C1276E" w:rsidP="00C1276E">
      <w:pPr>
        <w:tabs>
          <w:tab w:val="right" w:pos="9184"/>
        </w:tabs>
        <w:jc w:val="center"/>
      </w:pPr>
    </w:p>
    <w:p w:rsidR="00D50509" w:rsidRPr="00C1276E" w:rsidRDefault="00D50509" w:rsidP="00C1276E">
      <w:pPr>
        <w:pStyle w:val="AMNumberTabs"/>
      </w:pPr>
      <w:r w:rsidRPr="00C1276E">
        <w:t>Τροπολογία</w:t>
      </w:r>
      <w:r w:rsidRPr="00C1276E">
        <w:tab/>
      </w:r>
      <w:r w:rsidRPr="00C1276E">
        <w:tab/>
        <w:t>1</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Αιτιολογική σκέψη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(5)</w:t>
            </w:r>
            <w:r w:rsidRPr="00C1276E">
              <w:tab/>
              <w:t>Για να αποτυπωθεί ο προσωρινός χαρακτήρας του παρόντος κανονισμού, η εφαρμογή του θα πρέπει να περιορισθεί σε μια σύντομη χρονική περίοδο</w:t>
            </w:r>
            <w:r w:rsidRPr="00C1276E">
              <w:rPr>
                <w:b/>
                <w:i/>
              </w:rPr>
              <w:t>, χωρίς να θιγεί η δυνατότητα διαπραγμάτευσης και η έναρξη ισχύος μιας μελλοντικής συμφωνίας που θα διέπει μια συμφωνία παροχής υπηρεσιών αεροπορικών μεταφορών μεταξύ της Ένωσης και του Ηνωμένου Βασιλείου</w:t>
            </w:r>
            <w:r w:rsidRPr="00C1276E">
              <w:t>.</w:t>
            </w:r>
          </w:p>
        </w:tc>
        <w:tc>
          <w:tcPr>
            <w:tcW w:w="4876" w:type="dxa"/>
          </w:tcPr>
          <w:p w:rsidR="00D50509" w:rsidRPr="00C1276E" w:rsidRDefault="00D50509" w:rsidP="00A54C9E">
            <w:pPr>
              <w:pStyle w:val="Normal6"/>
              <w:rPr>
                <w:szCs w:val="24"/>
              </w:rPr>
            </w:pPr>
            <w:r w:rsidRPr="00C1276E">
              <w:t xml:space="preserve">(5) </w:t>
            </w:r>
            <w:r w:rsidRPr="00C1276E">
              <w:tab/>
              <w:t xml:space="preserve">Για να αποτυπωθεί ο προσωρινός χαρακτήρας του παρόντος κανονισμού, η εφαρμογή του θα πρέπει να περιορισθεί σε μια σύντομη χρονική περίοδο. </w:t>
            </w:r>
            <w:r w:rsidRPr="00C1276E">
              <w:rPr>
                <w:b/>
                <w:i/>
              </w:rPr>
              <w:t>Έως τις ... [να προστεθεί η ημερομηνία έναρξης ισχύος του παρόντος κανονισμού], θα πρέπει να χορηγηθεί στην Επιτροπή εντολή για να αρχίσει διαπραγματεύσεις με το Ηνωμένο Βασίλειο σχετικά με μια συνολική συμφωνία αεροπορικών μεταφορών.</w:t>
            </w:r>
          </w:p>
        </w:tc>
      </w:tr>
    </w:tbl>
    <w:p w:rsidR="00D50509" w:rsidRPr="00C1276E" w:rsidRDefault="00D50509" w:rsidP="00D50509"/>
    <w:p w:rsidR="00D50509" w:rsidRPr="00C1276E" w:rsidRDefault="00D50509" w:rsidP="00D50509">
      <w:pPr>
        <w:pStyle w:val="AMNumberTabs"/>
        <w:keepNext/>
      </w:pPr>
      <w:r w:rsidRPr="00C1276E">
        <w:lastRenderedPageBreak/>
        <w:t>Τροπολογία</w:t>
      </w:r>
      <w:r w:rsidRPr="00C1276E">
        <w:tab/>
      </w:r>
      <w:r w:rsidRPr="00C1276E">
        <w:tab/>
        <w:t>2</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 xml:space="preserve"> Αιτιολογική σκέψη 5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pPr>
            <w:r w:rsidRPr="00C1276E">
              <w:rPr>
                <w:b/>
                <w:i/>
              </w:rPr>
              <w:t>(5α)</w:t>
            </w:r>
            <w:r w:rsidRPr="00C1276E">
              <w:t xml:space="preserve"> </w:t>
            </w:r>
            <w:r w:rsidRPr="00C1276E">
              <w:tab/>
            </w:r>
            <w:r w:rsidRPr="00C1276E">
              <w:rPr>
                <w:b/>
                <w:i/>
              </w:rPr>
              <w:t>Προκειμένου να διατηρηθούν αμοιβαία επωφελή επίπεδα συνδεσιμότητας, θα πρέπει να προβλεφθούν συνεργατικές ρυθμίσεις εμπορικής προώθησης, όπως η κοινή εκμετάλλευση πτήσεων, τόσο για τους αερομεταφορείς του Ηνωμένου Βασιλείου όσο και για τους αερομεταφορείς της ΕΕ των 27, σύμφωνα με την αρχή της αμοιβαιότητας.</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3</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 xml:space="preserve"> Αιτιολογική σκέψη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(6)</w:t>
            </w:r>
            <w:r w:rsidRPr="00C1276E">
              <w:tab/>
              <w:t xml:space="preserve">Για να </w:t>
            </w:r>
            <w:r w:rsidRPr="00C1276E">
              <w:rPr>
                <w:b/>
                <w:i/>
              </w:rPr>
              <w:t>εξασφαλιστούν ενιαίοι όροι εφαρμογής του παρόντος κανονισμού, θα πρέπει να ανατεθούν εκτελεστικές αρμοδιότητες στην Επιτροπή όσον αφορά τη λήψη μέτρων που θα εγγυώνται επαρκή βαθμό</w:t>
            </w:r>
            <w:r w:rsidRPr="00C1276E">
              <w:t xml:space="preserve"> αμοιβαιότητας μεταξύ των δικαιωμάτων που θα χορηγούνται μονομερώς από την Ένωση και το Ηνωμένο Βασίλειο στους οικείους αερομεταφορείς, και για να εξασφαλισθεί ότι οι αερομεταφορείς της Ένωσης θα μπορούν να ανταγωνίζονται με θεμιτούς όρους τους αερομεταφορείς του Ηνωμένου Βασιλείου στην παροχή υπηρεσιών αεροπορικών μεταφορών. </w:t>
            </w:r>
            <w:r w:rsidRPr="00C1276E">
              <w:rPr>
                <w:b/>
                <w:i/>
              </w:rPr>
              <w:t>Οι εν λόγω αρμοδιότητες θα πρέπει να ασκούνται σύμφωνα με τον κανονισμό (ΕΕ) αριθ. 182/2011 του Ευρωπαϊκού Κοινοβουλίου και του Συμβουλίου.</w:t>
            </w:r>
          </w:p>
        </w:tc>
        <w:tc>
          <w:tcPr>
            <w:tcW w:w="4876" w:type="dxa"/>
          </w:tcPr>
          <w:p w:rsidR="00D50509" w:rsidRPr="00C1276E" w:rsidRDefault="00D50509" w:rsidP="00A54C9E">
            <w:pPr>
              <w:pStyle w:val="Normal6"/>
            </w:pPr>
            <w:r w:rsidRPr="00C1276E">
              <w:t>(6)</w:t>
            </w:r>
            <w:r w:rsidRPr="00C1276E">
              <w:tab/>
              <w:t xml:space="preserve">Για να </w:t>
            </w:r>
            <w:r w:rsidRPr="00C1276E">
              <w:rPr>
                <w:b/>
                <w:i/>
              </w:rPr>
              <w:t>εξασφαλιστεί επαρκής βαθμός</w:t>
            </w:r>
            <w:r w:rsidRPr="00C1276E">
              <w:t xml:space="preserve"> αμοιβαιότητας μεταξύ των δικαιωμάτων που θα χορηγούνται μονομερώς από την Ένωση και το Ηνωμένο Βασίλειο στους οικείους αερομεταφορείς, και για να εξασφαλισθεί ότι οι αερομεταφορείς της Ένωσης θα μπορούν να ανταγωνίζονται με θεμιτούς όρους τους αερομεταφορείς του Ηνωμένου Βασιλείου στην παροχή υπηρεσιών αεροπορικών μεταφορών</w:t>
            </w:r>
            <w:r w:rsidRPr="00C1276E">
              <w:rPr>
                <w:b/>
                <w:i/>
              </w:rPr>
              <w:t xml:space="preserve">, θα πρέπει να ανατεθεί στην Επιτροπή η εξουσία έκδοσης πράξεων σύμφωνα με το άρθρο 290 της Συνθήκης για τη λειτουργία της Ευρωπαϊκής Ένωσης όσον αφορά την αποκατάσταση της ισοδυναμίας ή την αντιμετώπιση καταστάσεων αθέμιτου ανταγωνισμού με κατάλληλα μέτρα. Είναι ιδιαίτερα σημαντικό να διενεργεί η Επιτροπή κατάλληλες διαβουλεύσεις κατά τις προπαρασκευαστικές εργασίες της, μεταξύ άλλων σε επίπεδο εμπειρογνωμόνων, και οι εν λόγω διαβουλεύσεις να διενεργούνται σύμφωνα </w:t>
            </w:r>
            <w:r w:rsidRPr="00C1276E">
              <w:rPr>
                <w:b/>
                <w:i/>
              </w:rPr>
              <w:lastRenderedPageBreak/>
              <w:t>με τις αρχές που προβλέπονται στη διοργανική συμφωνία της 13ης Απριλίου 2016 για τη βελτίωση του νομοθετικού έργου</w:t>
            </w:r>
            <w:r w:rsidRPr="00C1276E">
              <w:rPr>
                <w:b/>
                <w:i/>
                <w:vertAlign w:val="superscript"/>
              </w:rPr>
              <w:t>1α</w:t>
            </w:r>
            <w:r w:rsidRPr="00C1276E">
              <w:rPr>
                <w:b/>
                <w:i/>
              </w:rPr>
              <w:t>. Ειδικότερα, προκειμένου να εξασφαλιστεί ίση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των κατ’ εξουσιοδότηση πράξεων.</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pPr>
            <w:r w:rsidRPr="00C1276E">
              <w:t>_________________</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pPr>
            <w:r w:rsidRPr="00C1276E">
              <w:rPr>
                <w:rStyle w:val="FootnoteReference"/>
                <w:i/>
              </w:rPr>
              <w:t xml:space="preserve">1α </w:t>
            </w:r>
            <w:r w:rsidRPr="00C1276E">
              <w:rPr>
                <w:b/>
                <w:i/>
              </w:rPr>
              <w:t>ΕΕ L 123 της 12.5.2016, σ. 1.</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4</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2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rPr>
                <w:b/>
                <w:bCs/>
                <w:i/>
                <w:iCs/>
              </w:rPr>
            </w:pPr>
          </w:p>
        </w:tc>
        <w:tc>
          <w:tcPr>
            <w:tcW w:w="4876" w:type="dxa"/>
          </w:tcPr>
          <w:p w:rsidR="00D50509" w:rsidRPr="00C1276E" w:rsidRDefault="00D50509" w:rsidP="00A54C9E">
            <w:pPr>
              <w:pStyle w:val="Normal6"/>
              <w:jc w:val="center"/>
              <w:rPr>
                <w:b/>
                <w:bCs/>
                <w:i/>
                <w:iCs/>
              </w:rPr>
            </w:pPr>
            <w:r w:rsidRPr="00C1276E">
              <w:rPr>
                <w:b/>
                <w:bCs/>
                <w:i/>
                <w:iCs/>
              </w:rPr>
              <w:t>Άρθρο 2α</w:t>
            </w:r>
          </w:p>
        </w:tc>
      </w:tr>
      <w:tr w:rsidR="00D50509" w:rsidRPr="00C1276E" w:rsidTr="00A54C9E">
        <w:trPr>
          <w:jc w:val="center"/>
        </w:trPr>
        <w:tc>
          <w:tcPr>
            <w:tcW w:w="4876" w:type="dxa"/>
          </w:tcPr>
          <w:p w:rsidR="00D50509" w:rsidRPr="00C1276E" w:rsidRDefault="00D50509" w:rsidP="00A54C9E">
            <w:pPr>
              <w:pStyle w:val="Normal6"/>
              <w:rPr>
                <w:b/>
                <w:bCs/>
                <w:i/>
                <w:iCs/>
              </w:rPr>
            </w:pPr>
          </w:p>
        </w:tc>
        <w:tc>
          <w:tcPr>
            <w:tcW w:w="4876" w:type="dxa"/>
          </w:tcPr>
          <w:p w:rsidR="00D50509" w:rsidRPr="00C1276E" w:rsidRDefault="00D50509" w:rsidP="00A54C9E">
            <w:pPr>
              <w:pStyle w:val="Normal6"/>
              <w:jc w:val="center"/>
              <w:rPr>
                <w:b/>
                <w:bCs/>
                <w:i/>
                <w:iCs/>
              </w:rPr>
            </w:pPr>
            <w:r w:rsidRPr="00C1276E">
              <w:rPr>
                <w:b/>
                <w:bCs/>
                <w:i/>
                <w:iCs/>
              </w:rPr>
              <w:t>Προσωρινή εξαίρεση από την απαίτηση περί κυριότητας</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pPr>
            <w:r w:rsidRPr="00C1276E">
              <w:rPr>
                <w:b/>
                <w:i/>
              </w:rPr>
              <w:t>1.</w:t>
            </w:r>
            <w:r w:rsidRPr="00C1276E">
              <w:rPr>
                <w:b/>
                <w:i/>
              </w:rPr>
              <w:tab/>
              <w:t xml:space="preserve">Η Επιτροπή μπορεί να χορηγήσει προσωρινή εξαίρεση από την απαίτηση περί κυριότητας που προβλέπεται στο άρθρο 4 στοιχείο στ) του κανονισμού </w:t>
            </w:r>
            <w:r w:rsidR="00383152" w:rsidRPr="00C1276E">
              <w:rPr>
                <w:b/>
                <w:i/>
              </w:rPr>
              <w:t xml:space="preserve">(ΕΚ) </w:t>
            </w:r>
            <w:r w:rsidRPr="00C1276E">
              <w:rPr>
                <w:b/>
                <w:i/>
              </w:rPr>
              <w:t>αριθ. 1008/2008 κατόπιν αιτήματος αερομεταφορέα, υπό την προϋπόθεση ότι ο αερομεταφορέας πληροί όλες τις ακόλουθες προϋποθέσεις:</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rPr>
                <w:b/>
                <w:i/>
              </w:rPr>
            </w:pPr>
            <w:r w:rsidRPr="00C1276E">
              <w:rPr>
                <w:b/>
                <w:i/>
              </w:rPr>
              <w:t>α)</w:t>
            </w:r>
            <w:r w:rsidRPr="00C1276E">
              <w:rPr>
                <w:b/>
                <w:i/>
              </w:rPr>
              <w:tab/>
              <w:t>είναι κάτοχος έγκυρης άδειας εκμετάλλευσης σύμφωνα με τον κανονισμό (ΕΚ) αριθ. 1008/2008 την ημέρα πριν από την πρώτη ημέρα εφαρμογής του παρόντος κανονισμού κατά το άρθρο 12 παράγραφος 2·</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rPr>
                <w:b/>
                <w:i/>
              </w:rPr>
            </w:pPr>
            <w:r w:rsidRPr="00C1276E">
              <w:rPr>
                <w:b/>
                <w:i/>
              </w:rPr>
              <w:t>β)</w:t>
            </w:r>
            <w:r w:rsidRPr="00C1276E">
              <w:rPr>
                <w:b/>
                <w:i/>
              </w:rPr>
              <w:tab/>
              <w:t xml:space="preserve">ποσοστό μικρότερο του 50 % της επιχείρησης τελεί υπό την κατοχή του Ηνωμένου Βασιλείου ή υπηκόων του </w:t>
            </w:r>
            <w:r w:rsidRPr="00C1276E">
              <w:rPr>
                <w:b/>
                <w:i/>
              </w:rPr>
              <w:lastRenderedPageBreak/>
              <w:t>Ηνωμένου Βασιλείου, ή συνδυασμού αμφοτέρων·</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rPr>
                <w:b/>
                <w:i/>
              </w:rPr>
            </w:pPr>
            <w:r w:rsidRPr="00C1276E">
              <w:rPr>
                <w:b/>
                <w:i/>
              </w:rPr>
              <w:t>γ)</w:t>
            </w:r>
            <w:r w:rsidRPr="00C1276E">
              <w:rPr>
                <w:b/>
                <w:i/>
              </w:rPr>
              <w:tab/>
              <w:t>η επιχείρηση ελέγχεται ουσιαστικά από κράτη μέλη της Ένωσης ή υπηκόους των κρατών μελών της Ένωσης, ή από συνδυασμό αμφοτέρων, είτε άμεσα είτε έμμεσα μέσω μίας ή περισσότερων ενδιάμεσων επιχειρήσεων· και</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rPr>
                <w:b/>
                <w:i/>
              </w:rPr>
            </w:pPr>
            <w:r w:rsidRPr="00C1276E">
              <w:rPr>
                <w:b/>
                <w:i/>
              </w:rPr>
              <w:t>δ)</w:t>
            </w:r>
            <w:r w:rsidRPr="00C1276E">
              <w:rPr>
                <w:b/>
                <w:i/>
              </w:rPr>
              <w:tab/>
              <w:t>υποβάλλει αξιόπιστα σχέδια για την αλλαγή της ιδιοκτησιακής δομής του το συντομότερο δυνατόν, ώστε να συμμορφωθεί με την απαίτηση περί κυριότητας που προβλέπεται στο άρθρο 4 στοιχείο στ) του κανονισμού</w:t>
            </w:r>
            <w:r w:rsidR="00383152" w:rsidRPr="00C1276E">
              <w:rPr>
                <w:b/>
                <w:i/>
              </w:rPr>
              <w:t xml:space="preserve"> (ΕΚ)</w:t>
            </w:r>
            <w:r w:rsidRPr="00C1276E">
              <w:rPr>
                <w:b/>
                <w:i/>
              </w:rPr>
              <w:t xml:space="preserve"> αριθ. 1008/2008.</w:t>
            </w:r>
          </w:p>
        </w:tc>
      </w:tr>
      <w:tr w:rsidR="00D50509" w:rsidRPr="00C1276E" w:rsidTr="00A54C9E">
        <w:trPr>
          <w:jc w:val="center"/>
        </w:trPr>
        <w:tc>
          <w:tcPr>
            <w:tcW w:w="4876" w:type="dxa"/>
          </w:tcPr>
          <w:p w:rsidR="00D50509" w:rsidRPr="00C1276E" w:rsidRDefault="00D50509" w:rsidP="00A54C9E">
            <w:pPr>
              <w:pStyle w:val="Normal6"/>
            </w:pPr>
          </w:p>
        </w:tc>
        <w:tc>
          <w:tcPr>
            <w:tcW w:w="4876" w:type="dxa"/>
          </w:tcPr>
          <w:p w:rsidR="00D50509" w:rsidRPr="00C1276E" w:rsidRDefault="00D50509" w:rsidP="00A54C9E">
            <w:pPr>
              <w:pStyle w:val="Normal6"/>
              <w:rPr>
                <w:b/>
                <w:i/>
              </w:rPr>
            </w:pPr>
            <w:r w:rsidRPr="00C1276E">
              <w:rPr>
                <w:b/>
                <w:i/>
              </w:rPr>
              <w:t>2.</w:t>
            </w:r>
            <w:r w:rsidRPr="00C1276E">
              <w:rPr>
                <w:b/>
                <w:i/>
              </w:rPr>
              <w:tab/>
              <w:t>Η εξαίρεση που αναφέρεται στην παράγραφο 1 μπορεί να χορηγηθεί για περίοδο που δεν υπερβαίνει την 30ή Μαρτίου 2020 και δεν είναι ανανεώσιμη.</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5</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3 – παράγραφος 1 – στοιχείο γ</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γ)</w:t>
            </w:r>
            <w:r w:rsidRPr="00C1276E">
              <w:tab/>
              <w:t>να εκτελούν τακτικές και έκτακτες υπηρεσίες διεθνών αεροπορικών μεταφορών επιβατών, συνδυασμό υπηρεσιών μεταφοράς επιβατών και φορτίου και υπηρεσίες μεταφοράς μόνον φορτίου μεταξύ δύο οιωνδήποτε σημείων, το ένα από τα οποία βρίσκεται στην επικράτεια του Ηνωμένου Βασιλείου και το άλλο στην επικράτεια της Ένωσης.</w:t>
            </w:r>
          </w:p>
        </w:tc>
        <w:tc>
          <w:tcPr>
            <w:tcW w:w="4876" w:type="dxa"/>
          </w:tcPr>
          <w:p w:rsidR="00D50509" w:rsidRPr="00C1276E" w:rsidRDefault="00D50509" w:rsidP="00A54C9E">
            <w:pPr>
              <w:pStyle w:val="Normal6"/>
              <w:rPr>
                <w:szCs w:val="24"/>
              </w:rPr>
            </w:pPr>
            <w:r w:rsidRPr="00C1276E">
              <w:t>γ)</w:t>
            </w:r>
            <w:r w:rsidRPr="00C1276E">
              <w:tab/>
              <w:t xml:space="preserve">να εκτελούν τακτικές και έκτακτες υπηρεσίες διεθνών αεροπορικών μεταφορών επιβατών, </w:t>
            </w:r>
            <w:r w:rsidRPr="00C1276E">
              <w:rPr>
                <w:b/>
                <w:i/>
              </w:rPr>
              <w:t>συμπεριλαμβανομένης της κοινής εκμετάλλευσης πτήσεων,</w:t>
            </w:r>
            <w:r w:rsidRPr="00C1276E">
              <w:rPr>
                <w:b/>
              </w:rPr>
              <w:t xml:space="preserve"> </w:t>
            </w:r>
            <w:r w:rsidRPr="00C1276E">
              <w:t>συνδυασμό υπηρεσιών μεταφοράς επιβατών και φορτίου και υπηρεσίες μεταφοράς μόνον φορτίου μεταξύ δύο οιωνδήποτε σημείων, το ένα από τα οποία βρίσκεται στην επικράτεια του Ηνωμένου Βασιλείου και το άλλο στην επικράτεια της Ένωσης.</w:t>
            </w:r>
          </w:p>
        </w:tc>
      </w:tr>
    </w:tbl>
    <w:p w:rsidR="00D50509" w:rsidRPr="00C1276E" w:rsidRDefault="00D50509" w:rsidP="00D50509"/>
    <w:p w:rsidR="00D50509" w:rsidRPr="00C1276E" w:rsidRDefault="00D50509" w:rsidP="00D50509">
      <w:pPr>
        <w:pStyle w:val="AMNumberTabs"/>
        <w:keepNext/>
      </w:pPr>
      <w:r w:rsidRPr="00C1276E">
        <w:lastRenderedPageBreak/>
        <w:t>Τροπολογία</w:t>
      </w:r>
      <w:r w:rsidRPr="00C1276E">
        <w:tab/>
      </w:r>
      <w:r w:rsidRPr="00C1276E">
        <w:tab/>
        <w:t>6</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3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rPr>
                <w:b/>
                <w:bCs/>
                <w:i/>
                <w:iCs/>
              </w:rPr>
            </w:pPr>
            <w:r w:rsidRPr="00C1276E">
              <w:rPr>
                <w:b/>
                <w:bCs/>
                <w:i/>
                <w:iCs/>
              </w:rPr>
              <w:t>2.</w:t>
            </w:r>
            <w:r w:rsidRPr="00C1276E">
              <w:rPr>
                <w:b/>
                <w:bCs/>
                <w:i/>
                <w:iCs/>
              </w:rPr>
              <w:tab/>
              <w:t>Με την επιφύλαξη των άρθρων 4 και 5, κατά την παροχή υπηρεσιών τακτικών αεροπορικών μεταφορών σύμφωνα με τον παρόντα κανονισμό, η συνολική χωρητικότητα περιόδου προγραμματισμού που πρέπει να παρέχουν οι αερομεταφορείς του Ηνωμένου Βασιλείου για διαδρομές μεταξύ του Ηνωμένου Βασιλείου και κάθε κράτους μέλους δεν υπερβαίνει τον συνολικό αριθμό συχνοτήτων εξυπηρέτησης των διαδρομών αυτών από τους εν λόγω αερομεταφορείς κατά τη διάρκεια αντίστοιχα της χειμερινής και της θερινής περιόδου προγραμματισμού της IATA του έτους 2018.</w:t>
            </w:r>
          </w:p>
        </w:tc>
        <w:tc>
          <w:tcPr>
            <w:tcW w:w="4876" w:type="dxa"/>
          </w:tcPr>
          <w:p w:rsidR="00D50509" w:rsidRPr="00C1276E" w:rsidRDefault="00D50509" w:rsidP="00A54C9E">
            <w:pPr>
              <w:pStyle w:val="Normal6"/>
              <w:rPr>
                <w:b/>
                <w:bCs/>
                <w:i/>
                <w:iCs/>
                <w:szCs w:val="24"/>
              </w:rPr>
            </w:pPr>
            <w:r w:rsidRPr="00C1276E">
              <w:rPr>
                <w:b/>
                <w:bCs/>
                <w:i/>
                <w:iCs/>
              </w:rPr>
              <w:t xml:space="preserve">διαγράφεται </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7</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4 – παράγραφος 2 – εισαγωγικό μέρος</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2.</w:t>
            </w:r>
            <w:r w:rsidRPr="00C1276E">
              <w:tab/>
              <w:t xml:space="preserve">Εφόσον η Επιτροπή κρίνει ότι τα δικαιώματα που χορηγεί το Ηνωμένο Βασίλειο σε αερομεταφορείς της Ένωσης δεν είναι, εκ του νόμου ή εκ των πραγμάτων, ισοδύναμα εκείνων που παρέχονται στους αερομεταφορείς του Ηνωμένου Βασιλείου σύμφωνα με τον παρόντα κανονισμό, ή ότι τα δικαιώματα αυτά δεν είναι εξίσου διαθέσιμα σε όλους τους αερομεταφορείς της Ένωσης, </w:t>
            </w:r>
            <w:r w:rsidRPr="00C1276E">
              <w:rPr>
                <w:b/>
                <w:i/>
              </w:rPr>
              <w:t>μπορεί</w:t>
            </w:r>
            <w:r w:rsidRPr="00C1276E">
              <w:t xml:space="preserve">, για να αποκατασταθεί η ισοδυναμία, </w:t>
            </w:r>
            <w:r w:rsidRPr="00C1276E">
              <w:rPr>
                <w:b/>
                <w:i/>
              </w:rPr>
              <w:t>με εκτελεστικές πράξεις εκδιδόμενες σύμφωνα με τη διαδικασία του άρθρου 25 παράγραφος 2 του κανονισμού (ΕΚ) αριθ. 1008/2008:</w:t>
            </w:r>
          </w:p>
        </w:tc>
        <w:tc>
          <w:tcPr>
            <w:tcW w:w="4876" w:type="dxa"/>
          </w:tcPr>
          <w:p w:rsidR="00D50509" w:rsidRPr="00C1276E" w:rsidRDefault="00D50509" w:rsidP="00A54C9E">
            <w:pPr>
              <w:pStyle w:val="Normal6"/>
              <w:rPr>
                <w:szCs w:val="24"/>
              </w:rPr>
            </w:pPr>
            <w:r w:rsidRPr="00C1276E">
              <w:t>2.</w:t>
            </w:r>
            <w:r w:rsidRPr="00C1276E">
              <w:tab/>
              <w:t xml:space="preserve">Εφόσον η Επιτροπή κρίνει ότι τα δικαιώματα που χορηγεί το Ηνωμένο Βασίλειο σε αερομεταφορείς της Ένωσης δεν είναι, εκ του νόμου ή εκ των πραγμάτων, ισοδύναμα εκείνων που παρέχονται στους αερομεταφορείς του Ηνωμένου Βασιλείου σύμφωνα με τον παρόντα κανονισμό, ή ότι τα δικαιώματα αυτά δεν είναι εξίσου διαθέσιμα σε όλους τους αερομεταφορείς της Ένωσης, </w:t>
            </w:r>
            <w:r w:rsidRPr="00C1276E">
              <w:rPr>
                <w:b/>
                <w:i/>
              </w:rPr>
              <w:t>ανατίθεται σε αυτήν η εξουσία</w:t>
            </w:r>
            <w:r w:rsidRPr="00C1276E">
              <w:t xml:space="preserve">, για να αποκατασταθεί η ισοδυναμία, </w:t>
            </w:r>
            <w:r w:rsidRPr="00C1276E">
              <w:rPr>
                <w:b/>
                <w:i/>
              </w:rPr>
              <w:t>να εκδίδει κατ’ εξουσιοδότηση πράξεις σύμφωνα με το άρθρο 11α για:</w:t>
            </w:r>
          </w:p>
        </w:tc>
      </w:tr>
    </w:tbl>
    <w:p w:rsidR="00D50509" w:rsidRPr="00C1276E" w:rsidRDefault="00D50509" w:rsidP="00D50509"/>
    <w:p w:rsidR="00D50509" w:rsidRPr="00C1276E" w:rsidRDefault="00D50509" w:rsidP="00D50509">
      <w:pPr>
        <w:pStyle w:val="AMNumberTabs"/>
        <w:keepNext/>
      </w:pPr>
      <w:r w:rsidRPr="00C1276E">
        <w:lastRenderedPageBreak/>
        <w:t>Τροπολογία</w:t>
      </w:r>
      <w:r w:rsidRPr="00C1276E">
        <w:tab/>
      </w:r>
      <w:r w:rsidRPr="00C1276E">
        <w:tab/>
        <w:t>8</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4 – παράγραφος 2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rPr>
                <w:b/>
                <w:bCs/>
                <w:i/>
                <w:iCs/>
              </w:rPr>
              <w:t>α)</w:t>
            </w:r>
            <w:r w:rsidRPr="00C1276E">
              <w:rPr>
                <w:b/>
                <w:bCs/>
                <w:i/>
                <w:iCs/>
              </w:rPr>
              <w:tab/>
            </w:r>
            <w:r w:rsidRPr="00C1276E">
              <w:t xml:space="preserve">να </w:t>
            </w:r>
            <w:r w:rsidRPr="00C1276E">
              <w:rPr>
                <w:b/>
                <w:i/>
              </w:rPr>
              <w:t>αναπροσαρμόσει τη χωρητικότητα που διατίθεται στους αερομεταφορείς</w:t>
            </w:r>
            <w:r w:rsidRPr="00C1276E">
              <w:t xml:space="preserve"> του Ηνωμένου Βασιλείου </w:t>
            </w:r>
            <w:r w:rsidRPr="00C1276E">
              <w:rPr>
                <w:b/>
                <w:i/>
              </w:rPr>
              <w:t>εντός των ορίων που καθορίζονται στο άρθρο 3 παράγραφος 2</w:t>
            </w:r>
            <w:r w:rsidRPr="00C1276E">
              <w:t xml:space="preserve"> και να απαιτήσει από τα κράτη μέλη να αναπροσαρμόσουν τις άδειες εκμετάλλευσης των αερομεταφορέων του Ηνωμένου Βασιλείου, τόσο τις ήδη υπάρχουσες όσο και τις νέες, αναλόγως·</w:t>
            </w:r>
          </w:p>
        </w:tc>
        <w:tc>
          <w:tcPr>
            <w:tcW w:w="4876" w:type="dxa"/>
          </w:tcPr>
          <w:p w:rsidR="00D50509" w:rsidRPr="00C1276E" w:rsidRDefault="00D50509" w:rsidP="00A54C9E">
            <w:pPr>
              <w:pStyle w:val="Normal6"/>
              <w:rPr>
                <w:szCs w:val="24"/>
              </w:rPr>
            </w:pPr>
            <w:r w:rsidRPr="00C1276E">
              <w:rPr>
                <w:b/>
                <w:bCs/>
                <w:i/>
                <w:iCs/>
              </w:rPr>
              <w:t>α)</w:t>
            </w:r>
            <w:r w:rsidRPr="00C1276E">
              <w:rPr>
                <w:b/>
                <w:bCs/>
                <w:i/>
                <w:iCs/>
              </w:rPr>
              <w:tab/>
            </w:r>
            <w:r w:rsidRPr="00C1276E">
              <w:t xml:space="preserve">να </w:t>
            </w:r>
            <w:r w:rsidRPr="00C1276E">
              <w:rPr>
                <w:b/>
                <w:i/>
              </w:rPr>
              <w:t>προτείνει τον καθορισμό ανώτατου ορίου χωρητικότητας για διαδρομές μεταξύ</w:t>
            </w:r>
            <w:r w:rsidRPr="00C1276E">
              <w:t xml:space="preserve"> του Ηνωμένου Βασιλείου </w:t>
            </w:r>
            <w:r w:rsidRPr="00C1276E">
              <w:rPr>
                <w:b/>
                <w:i/>
              </w:rPr>
              <w:t>και κάθε κράτους μέλους,</w:t>
            </w:r>
            <w:r w:rsidRPr="00C1276E">
              <w:t xml:space="preserve"> και να απαιτήσει από τα κράτη μέλη να αναπροσαρμόσουν τις άδειες εκμετάλλευσης των αερομεταφορέων του Ηνωμένου Βασιλείου, τόσο τις ήδη υπάρχουσες όσο και τις νέες, αναλόγως·</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9</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5 – παράγραφος 2 – εισαγωγικό μέρος</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2.</w:t>
            </w:r>
            <w:r w:rsidRPr="00C1276E">
              <w:tab/>
              <w:t xml:space="preserve">Εφόσον κρίνει ότι, συνεπεία κατάστασης κατά την παράγραφο 3 του παρόντος άρθρου, οι εν λόγω όροι είναι αισθητά λιγότερο ευνοϊκοί από εκείνους που ισχύουν για τους αερομεταφορείς του Ηνωμένου Βασιλείου, </w:t>
            </w:r>
            <w:r w:rsidRPr="00C1276E">
              <w:rPr>
                <w:b/>
                <w:i/>
              </w:rPr>
              <w:t>η</w:t>
            </w:r>
            <w:r w:rsidRPr="00C1276E">
              <w:rPr>
                <w:b/>
              </w:rPr>
              <w:t xml:space="preserve"> </w:t>
            </w:r>
            <w:r w:rsidRPr="00C1276E">
              <w:t xml:space="preserve">Επιτροπή </w:t>
            </w:r>
            <w:r w:rsidRPr="00C1276E">
              <w:rPr>
                <w:b/>
                <w:i/>
              </w:rPr>
              <w:t>μπορεί</w:t>
            </w:r>
            <w:r w:rsidRPr="00C1276E">
              <w:t xml:space="preserve">, για να διορθωθεί η συγκεκριμένη κατάσταση, </w:t>
            </w:r>
            <w:r w:rsidRPr="00C1276E">
              <w:rPr>
                <w:b/>
                <w:i/>
              </w:rPr>
              <w:t>με εκτελεστικές πράξεις εκδιδόμενες σύμφωνα με τη διαδικασία του άρθρου 25 παράγραφος 2 του κανονισμού (ΕΚ) αριθ. 1008/2008</w:t>
            </w:r>
            <w:r w:rsidRPr="00C1276E">
              <w:t>:</w:t>
            </w:r>
          </w:p>
        </w:tc>
        <w:tc>
          <w:tcPr>
            <w:tcW w:w="4876" w:type="dxa"/>
          </w:tcPr>
          <w:p w:rsidR="00D50509" w:rsidRPr="00C1276E" w:rsidRDefault="00D50509" w:rsidP="00A54C9E">
            <w:pPr>
              <w:pStyle w:val="Normal6"/>
              <w:rPr>
                <w:szCs w:val="24"/>
              </w:rPr>
            </w:pPr>
            <w:r w:rsidRPr="00C1276E">
              <w:t>2.</w:t>
            </w:r>
            <w:r w:rsidRPr="00C1276E">
              <w:tab/>
              <w:t xml:space="preserve">Εφόσον κρίνει ότι, συνεπεία κατάστασης κατά την παράγραφο 3 του παρόντος άρθρου, οι εν λόγω όροι είναι αισθητά λιγότερο ευνοϊκοί από εκείνους που ισχύουν για τους αερομεταφορείς του Ηνωμένου Βασιλείου, </w:t>
            </w:r>
            <w:r w:rsidRPr="00C1276E">
              <w:rPr>
                <w:b/>
                <w:i/>
              </w:rPr>
              <w:t>ανατίθεται στην</w:t>
            </w:r>
            <w:r w:rsidRPr="00C1276E">
              <w:rPr>
                <w:b/>
              </w:rPr>
              <w:t xml:space="preserve"> </w:t>
            </w:r>
            <w:r w:rsidRPr="00C1276E">
              <w:t xml:space="preserve">Επιτροπή </w:t>
            </w:r>
            <w:r w:rsidRPr="00C1276E">
              <w:rPr>
                <w:b/>
                <w:i/>
              </w:rPr>
              <w:t>η εξουσία</w:t>
            </w:r>
            <w:r w:rsidRPr="00C1276E">
              <w:t xml:space="preserve">, για να διορθωθεί η συγκεκριμένη κατάσταση, </w:t>
            </w:r>
            <w:r w:rsidRPr="00C1276E">
              <w:rPr>
                <w:b/>
                <w:i/>
              </w:rPr>
              <w:t>να εκδίδει κατ’ εξουσιοδότηση πράξεις σύμφωνα με το άρθρο 11α για</w:t>
            </w:r>
            <w:r w:rsidRPr="00C1276E">
              <w:t>:</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10</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5 – παράγραφος 2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α)</w:t>
            </w:r>
            <w:r w:rsidRPr="00C1276E">
              <w:tab/>
              <w:t xml:space="preserve">να </w:t>
            </w:r>
            <w:r w:rsidRPr="00C1276E">
              <w:rPr>
                <w:b/>
                <w:i/>
              </w:rPr>
              <w:t>αναπροσαρμόσει τη χωρητικότητα που διατίθεται στους αερομεταφορείς</w:t>
            </w:r>
            <w:r w:rsidRPr="00C1276E">
              <w:t xml:space="preserve"> του Ηνωμένου Βασιλείου </w:t>
            </w:r>
            <w:r w:rsidRPr="00C1276E">
              <w:rPr>
                <w:b/>
                <w:i/>
              </w:rPr>
              <w:t xml:space="preserve">εντός των ορίων που καθορίζονται στο </w:t>
            </w:r>
            <w:r w:rsidRPr="00C1276E">
              <w:rPr>
                <w:b/>
                <w:i/>
              </w:rPr>
              <w:lastRenderedPageBreak/>
              <w:t>άρθρο 3 παράγραφος 2</w:t>
            </w:r>
            <w:r w:rsidRPr="00C1276E">
              <w:t xml:space="preserve"> και να απαιτήσει από τα κράτη μέλη να αναπροσαρμόσουν τις άδειες εκμετάλλευσης των αερομεταφορέων του Ηνωμένου Βασιλείου, τόσο τις ήδη υπάρχουσες όσο και τις νέες, αναλόγως·</w:t>
            </w:r>
          </w:p>
        </w:tc>
        <w:tc>
          <w:tcPr>
            <w:tcW w:w="4876" w:type="dxa"/>
          </w:tcPr>
          <w:p w:rsidR="00D50509" w:rsidRPr="00C1276E" w:rsidRDefault="00D50509" w:rsidP="00A54C9E">
            <w:pPr>
              <w:pStyle w:val="Normal6"/>
              <w:rPr>
                <w:szCs w:val="24"/>
              </w:rPr>
            </w:pPr>
            <w:r w:rsidRPr="00C1276E">
              <w:lastRenderedPageBreak/>
              <w:t>α)</w:t>
            </w:r>
            <w:r w:rsidRPr="00C1276E">
              <w:tab/>
              <w:t xml:space="preserve">να </w:t>
            </w:r>
            <w:r w:rsidRPr="00C1276E">
              <w:rPr>
                <w:b/>
                <w:i/>
              </w:rPr>
              <w:t>προτείνει τον καθορισμό ανώτατου ορίου χωρητικότητας για διαδρομές μεταξύ</w:t>
            </w:r>
            <w:r w:rsidRPr="00C1276E">
              <w:t xml:space="preserve"> του Ηνωμένου Βασιλείου </w:t>
            </w:r>
            <w:r w:rsidRPr="00C1276E">
              <w:rPr>
                <w:b/>
                <w:i/>
              </w:rPr>
              <w:t>και κάθε κράτους μέλους,</w:t>
            </w:r>
            <w:r w:rsidRPr="00C1276E">
              <w:t xml:space="preserve"> και </w:t>
            </w:r>
            <w:r w:rsidRPr="00C1276E">
              <w:lastRenderedPageBreak/>
              <w:t>να απαιτήσει από τα κράτη μέλη να αναπροσαρμόσουν τις άδειες εκμετάλλευσης των αερομεταφορέων του Ηνωμένου Βασιλείου, τόσο τις ήδη υπάρχουσες όσο και τις νέες, αναλόγως·</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11</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5 – παράγραφος 3 – εισαγωγικό μέρος</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3.</w:t>
            </w:r>
            <w:r w:rsidRPr="00C1276E">
              <w:tab/>
            </w:r>
            <w:r w:rsidRPr="00C1276E">
              <w:rPr>
                <w:b/>
                <w:i/>
              </w:rPr>
              <w:t>Εκτελεστικές πράξεις βάσει της παραγράφου</w:t>
            </w:r>
            <w:r w:rsidRPr="00C1276E">
              <w:t xml:space="preserve"> 2 </w:t>
            </w:r>
            <w:r w:rsidRPr="00C1276E">
              <w:rPr>
                <w:b/>
                <w:i/>
              </w:rPr>
              <w:t>είναι δυνατόν να εκδοθούν για</w:t>
            </w:r>
            <w:r w:rsidRPr="00C1276E">
              <w:t xml:space="preserve"> τη διόρθωση των κάτωθι καταστάσεων:</w:t>
            </w:r>
          </w:p>
        </w:tc>
        <w:tc>
          <w:tcPr>
            <w:tcW w:w="4876" w:type="dxa"/>
          </w:tcPr>
          <w:p w:rsidR="00D50509" w:rsidRPr="00C1276E" w:rsidRDefault="00D50509" w:rsidP="00A54C9E">
            <w:pPr>
              <w:pStyle w:val="Normal6"/>
              <w:rPr>
                <w:szCs w:val="24"/>
              </w:rPr>
            </w:pPr>
            <w:r w:rsidRPr="00C1276E">
              <w:t>3.</w:t>
            </w:r>
            <w:r w:rsidRPr="00C1276E">
              <w:tab/>
            </w:r>
            <w:r w:rsidRPr="00C1276E">
              <w:rPr>
                <w:b/>
                <w:i/>
              </w:rPr>
              <w:t>Οι κατ’ εξουσιοδότηση πράξεις κατά την παράγραφο</w:t>
            </w:r>
            <w:r w:rsidRPr="00C1276E">
              <w:t xml:space="preserve"> 2 </w:t>
            </w:r>
            <w:r w:rsidRPr="00C1276E">
              <w:rPr>
                <w:b/>
                <w:i/>
              </w:rPr>
              <w:t>έχουν κυρίως στόχο</w:t>
            </w:r>
            <w:r w:rsidRPr="00C1276E">
              <w:t xml:space="preserve"> τη διόρθωση των κάτωθι καταστάσεων:</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12</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5 – παράγραφος 3 – στοιχείο δ</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δ)</w:t>
            </w:r>
            <w:r w:rsidRPr="00C1276E">
              <w:tab/>
              <w:t>εφαρμογή από το Ηνωμένο Βασίλειο προτύπων σχετικά με την προστασία των εργαζομένων, την ασφάλεια πτήσεων, την ασφάλεια από έκνομες ενέργειες ή το περιβάλλον κατώτερων εκείνων που ορίζει το δίκαιο της Ένωσης ή, ελλείψει σχετικών διατάξεων στο δίκαιο της Ένωσης, κατώτερων εκείνων που εφαρμόζονται από όλα τα κράτη μέλη ή, εν πάση περιπτώσει, κατώτερων των σχετικών διεθνών προτύπων·</w:t>
            </w:r>
          </w:p>
        </w:tc>
        <w:tc>
          <w:tcPr>
            <w:tcW w:w="4876" w:type="dxa"/>
          </w:tcPr>
          <w:p w:rsidR="00D50509" w:rsidRPr="00C1276E" w:rsidRDefault="00D50509" w:rsidP="00A54C9E">
            <w:pPr>
              <w:pStyle w:val="Normal6"/>
              <w:rPr>
                <w:szCs w:val="24"/>
              </w:rPr>
            </w:pPr>
            <w:r w:rsidRPr="00C1276E">
              <w:t>δ)</w:t>
            </w:r>
            <w:r w:rsidRPr="00C1276E">
              <w:tab/>
              <w:t xml:space="preserve">εφαρμογή από το Ηνωμένο Βασίλειο προτύπων σχετικά με την προστασία </w:t>
            </w:r>
            <w:r w:rsidRPr="00C1276E">
              <w:rPr>
                <w:b/>
                <w:i/>
              </w:rPr>
              <w:t>των δικαιωμάτων των επιβατών,</w:t>
            </w:r>
            <w:r w:rsidRPr="00C1276E">
              <w:rPr>
                <w:b/>
              </w:rPr>
              <w:t xml:space="preserve"> </w:t>
            </w:r>
            <w:r w:rsidRPr="00C1276E">
              <w:t>των εργαζομένων, την ασφάλεια πτήσεων, την ασφάλεια από έκνομες ενέργειες ή το περιβάλλον κατώτερων εκείνων που ορίζει το δίκαιο της Ένωσης ή, ελλείψει σχετικών διατάξεων στο δίκαιο της Ένωσης, κατώτερων εκείνων που εφαρμόζονται από όλα τα κράτη μέλη ή, εν πάση περιπτώσει, κατώτερων των σχετικών διεθνών προτύπων·</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13</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8 – παράγραφος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4.</w:t>
            </w:r>
            <w:r w:rsidRPr="00C1276E">
              <w:tab/>
              <w:t>Τα κράτη μέλη ενημερώνουν την Επιτροπή και τα άλλα κράτη μέλη για αποφάσεις απόρριψης ή ανάκλησης της άδειας εκμετάλλευσης αερομεταφορέα του Ηνωμένου Βασιλείου σύμφωνα με τις παραγράφους 1 και 2.</w:t>
            </w:r>
          </w:p>
        </w:tc>
        <w:tc>
          <w:tcPr>
            <w:tcW w:w="4876" w:type="dxa"/>
          </w:tcPr>
          <w:p w:rsidR="00D50509" w:rsidRPr="00C1276E" w:rsidRDefault="00D50509" w:rsidP="00A54C9E">
            <w:pPr>
              <w:pStyle w:val="Normal6"/>
              <w:rPr>
                <w:szCs w:val="24"/>
              </w:rPr>
            </w:pPr>
            <w:r w:rsidRPr="00C1276E">
              <w:t>4.</w:t>
            </w:r>
            <w:r w:rsidRPr="00C1276E">
              <w:tab/>
              <w:t>Τα κράτη μέλη ενημερώνουν την Επιτροπή και τα άλλα κράτη μέλη για αποφάσεις απόρριψης ή ανάκλησης της άδειας εκμετάλλευσης αερομεταφορέα του Ηνωμένου Βασιλείου σύμφωνα με τις παραγράφους 1 και 2</w:t>
            </w:r>
            <w:r w:rsidRPr="00C1276E">
              <w:rPr>
                <w:b/>
                <w:i/>
              </w:rPr>
              <w:t>, χωρίς αδικαιολόγητη καθυστέρηση</w:t>
            </w:r>
            <w:r w:rsidRPr="00C1276E">
              <w:t>.</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14</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10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1.</w:t>
            </w:r>
            <w:r w:rsidRPr="00C1276E">
              <w:tab/>
              <w:t>Οι αρμόδιες αρχές των κρατών μελών πραγματοποιούν διαβουλεύσεις και συνεργάζονται με τις αρμόδιες αρχές του Ηνωμένου Βασιλείου, όποτε απαιτείται για να διασφαλίζεται η εφαρμογή του παρόντος κανονισμού.</w:t>
            </w:r>
          </w:p>
        </w:tc>
        <w:tc>
          <w:tcPr>
            <w:tcW w:w="4876" w:type="dxa"/>
          </w:tcPr>
          <w:p w:rsidR="00D50509" w:rsidRPr="00C1276E" w:rsidRDefault="00D50509" w:rsidP="00383152">
            <w:pPr>
              <w:pStyle w:val="Normal6"/>
              <w:rPr>
                <w:szCs w:val="24"/>
              </w:rPr>
            </w:pPr>
            <w:r w:rsidRPr="00C1276E">
              <w:t>1.</w:t>
            </w:r>
            <w:r w:rsidRPr="00C1276E">
              <w:tab/>
              <w:t xml:space="preserve">Οι αρμόδιες αρχές </w:t>
            </w:r>
            <w:r w:rsidR="00383152" w:rsidRPr="00C1276E">
              <w:rPr>
                <w:b/>
                <w:i/>
              </w:rPr>
              <w:t>της Ένωσης και</w:t>
            </w:r>
            <w:r w:rsidR="00383152" w:rsidRPr="00C1276E">
              <w:t xml:space="preserve"> </w:t>
            </w:r>
            <w:r w:rsidRPr="00C1276E">
              <w:t>των κρατών μελών πραγματοποιούν διαβουλεύσεις και συνεργάζονται με τις αρμόδιες αρχές του Ηνωμένου Βασιλείου, όποτε απαιτείται για να διασφαλίζεται η εφαρμογή του παρόντος κανονισμού.</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15</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383152">
            <w:pPr>
              <w:pStyle w:val="Normal6"/>
              <w:jc w:val="center"/>
              <w:rPr>
                <w:rFonts w:eastAsia="Arial Unicode MS"/>
                <w:b/>
                <w:bCs/>
                <w:i/>
                <w:iCs/>
                <w:u w:color="000000"/>
              </w:rPr>
            </w:pPr>
            <w:r w:rsidRPr="00C1276E">
              <w:rPr>
                <w:b/>
                <w:bCs/>
                <w:i/>
                <w:iCs/>
                <w:u w:color="000000"/>
              </w:rPr>
              <w:t>Άρθρο 11</w:t>
            </w:r>
          </w:p>
        </w:tc>
        <w:tc>
          <w:tcPr>
            <w:tcW w:w="4876" w:type="dxa"/>
          </w:tcPr>
          <w:p w:rsidR="00D50509" w:rsidRPr="00C1276E" w:rsidRDefault="00D50509" w:rsidP="00A54C9E">
            <w:pPr>
              <w:pStyle w:val="Normal6"/>
              <w:rPr>
                <w:b/>
                <w:i/>
                <w:szCs w:val="24"/>
              </w:rPr>
            </w:pPr>
            <w:r w:rsidRPr="00C1276E">
              <w:rPr>
                <w:b/>
                <w:i/>
                <w:szCs w:val="24"/>
              </w:rPr>
              <w:t>διαγράφεται</w:t>
            </w:r>
          </w:p>
        </w:tc>
      </w:tr>
      <w:tr w:rsidR="00D50509" w:rsidRPr="00C1276E" w:rsidTr="00A54C9E">
        <w:trPr>
          <w:jc w:val="center"/>
        </w:trPr>
        <w:tc>
          <w:tcPr>
            <w:tcW w:w="4876" w:type="dxa"/>
          </w:tcPr>
          <w:p w:rsidR="00D50509" w:rsidRPr="00C1276E" w:rsidRDefault="00D50509" w:rsidP="00383152">
            <w:pPr>
              <w:pStyle w:val="Normal6"/>
              <w:jc w:val="center"/>
              <w:rPr>
                <w:rFonts w:eastAsia="Arial Unicode MS"/>
                <w:b/>
                <w:bCs/>
                <w:i/>
                <w:iCs/>
                <w:u w:color="000000"/>
              </w:rPr>
            </w:pPr>
            <w:r w:rsidRPr="00C1276E">
              <w:rPr>
                <w:b/>
                <w:bCs/>
                <w:i/>
                <w:iCs/>
                <w:u w:color="000000"/>
              </w:rPr>
              <w:t>Επιτροπή</w:t>
            </w:r>
          </w:p>
        </w:tc>
        <w:tc>
          <w:tcPr>
            <w:tcW w:w="4876" w:type="dxa"/>
          </w:tcPr>
          <w:p w:rsidR="00D50509" w:rsidRPr="00C1276E" w:rsidRDefault="00D50509" w:rsidP="00A54C9E">
            <w:pPr>
              <w:pStyle w:val="Normal6"/>
              <w:rPr>
                <w:b/>
                <w:i/>
                <w:szCs w:val="24"/>
              </w:rPr>
            </w:pPr>
          </w:p>
        </w:tc>
      </w:tr>
      <w:tr w:rsidR="00D50509" w:rsidRPr="00C1276E" w:rsidTr="00A54C9E">
        <w:trPr>
          <w:jc w:val="center"/>
        </w:trPr>
        <w:tc>
          <w:tcPr>
            <w:tcW w:w="4876" w:type="dxa"/>
          </w:tcPr>
          <w:p w:rsidR="00D50509" w:rsidRPr="00C1276E" w:rsidRDefault="00D50509" w:rsidP="00A54C9E">
            <w:pPr>
              <w:pStyle w:val="Normal6"/>
              <w:rPr>
                <w:b/>
                <w:bCs/>
                <w:i/>
                <w:iCs/>
              </w:rPr>
            </w:pPr>
            <w:r w:rsidRPr="00C1276E">
              <w:rPr>
                <w:b/>
                <w:bCs/>
                <w:i/>
                <w:iCs/>
                <w:u w:color="000000"/>
              </w:rPr>
              <w:t>Η Επιτροπή επικουρείται από την επιτροπή που έχει συσταθεί δυνάμει του άρθρου 25 του κανονισμού (ΕΚ) αριθ. 1008/2008.</w:t>
            </w:r>
          </w:p>
        </w:tc>
        <w:tc>
          <w:tcPr>
            <w:tcW w:w="4876" w:type="dxa"/>
          </w:tcPr>
          <w:p w:rsidR="00D50509" w:rsidRPr="00C1276E" w:rsidRDefault="00D50509" w:rsidP="00A54C9E">
            <w:pPr>
              <w:pStyle w:val="Normal6"/>
              <w:rPr>
                <w:b/>
                <w:i/>
                <w:szCs w:val="24"/>
              </w:rPr>
            </w:pP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16</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11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tcPr>
          <w:p w:rsidR="00D50509" w:rsidRPr="00C1276E" w:rsidRDefault="00D50509" w:rsidP="00A54C9E">
            <w:pPr>
              <w:pStyle w:val="ColumnHeading"/>
              <w:keepNext/>
            </w:pPr>
            <w:r w:rsidRPr="00C1276E">
              <w:t>Κείμενο που προτείνει η Επιτροπή</w:t>
            </w:r>
          </w:p>
        </w:tc>
        <w:tc>
          <w:tcPr>
            <w:tcW w:w="4876" w:type="dxa"/>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jc w:val="center"/>
              <w:rPr>
                <w:rFonts w:eastAsia="Arial Unicode MS" w:cs="Arial Unicode MS"/>
                <w:b/>
                <w:i/>
                <w:szCs w:val="24"/>
                <w:u w:color="000000"/>
              </w:rPr>
            </w:pPr>
          </w:p>
        </w:tc>
        <w:tc>
          <w:tcPr>
            <w:tcW w:w="4876" w:type="dxa"/>
          </w:tcPr>
          <w:p w:rsidR="00D50509" w:rsidRPr="00C1276E" w:rsidRDefault="00D50509" w:rsidP="00A54C9E">
            <w:pPr>
              <w:pStyle w:val="Normal6"/>
              <w:jc w:val="center"/>
              <w:rPr>
                <w:b/>
                <w:i/>
                <w:szCs w:val="24"/>
              </w:rPr>
            </w:pPr>
            <w:r w:rsidRPr="00C1276E">
              <w:rPr>
                <w:b/>
                <w:i/>
                <w:szCs w:val="24"/>
              </w:rPr>
              <w:t>Άρθρο 11α</w:t>
            </w:r>
          </w:p>
        </w:tc>
      </w:tr>
      <w:tr w:rsidR="00D50509" w:rsidRPr="00C1276E" w:rsidTr="00A54C9E">
        <w:trPr>
          <w:jc w:val="center"/>
        </w:trPr>
        <w:tc>
          <w:tcPr>
            <w:tcW w:w="4876" w:type="dxa"/>
          </w:tcPr>
          <w:p w:rsidR="00D50509" w:rsidRPr="00C1276E" w:rsidRDefault="00D50509" w:rsidP="00A54C9E">
            <w:pPr>
              <w:pStyle w:val="Normal6"/>
              <w:jc w:val="center"/>
              <w:rPr>
                <w:rFonts w:eastAsia="Arial Unicode MS" w:cs="Arial Unicode MS"/>
                <w:b/>
                <w:i/>
                <w:szCs w:val="24"/>
                <w:u w:color="000000"/>
              </w:rPr>
            </w:pPr>
          </w:p>
        </w:tc>
        <w:tc>
          <w:tcPr>
            <w:tcW w:w="4876" w:type="dxa"/>
          </w:tcPr>
          <w:p w:rsidR="00D50509" w:rsidRPr="00C1276E" w:rsidRDefault="00D50509" w:rsidP="00A54C9E">
            <w:pPr>
              <w:pStyle w:val="Normal6"/>
              <w:jc w:val="center"/>
              <w:rPr>
                <w:b/>
                <w:i/>
                <w:szCs w:val="24"/>
              </w:rPr>
            </w:pPr>
            <w:r w:rsidRPr="00C1276E">
              <w:rPr>
                <w:b/>
                <w:i/>
                <w:szCs w:val="24"/>
              </w:rPr>
              <w:t>Άσκηση της εξουσιοδότησης</w:t>
            </w:r>
          </w:p>
        </w:tc>
      </w:tr>
      <w:tr w:rsidR="00D50509" w:rsidRPr="00C1276E" w:rsidTr="00A54C9E">
        <w:trPr>
          <w:jc w:val="center"/>
        </w:trPr>
        <w:tc>
          <w:tcPr>
            <w:tcW w:w="4876" w:type="dxa"/>
          </w:tcPr>
          <w:p w:rsidR="00D50509" w:rsidRPr="00C1276E" w:rsidRDefault="00D50509" w:rsidP="00A54C9E">
            <w:pPr>
              <w:pStyle w:val="Normal6"/>
              <w:rPr>
                <w:b/>
                <w:bCs/>
                <w:i/>
                <w:iCs/>
              </w:rPr>
            </w:pPr>
          </w:p>
        </w:tc>
        <w:tc>
          <w:tcPr>
            <w:tcW w:w="4876" w:type="dxa"/>
          </w:tcPr>
          <w:p w:rsidR="00D50509" w:rsidRPr="00C1276E" w:rsidRDefault="00D50509" w:rsidP="00A54C9E">
            <w:pPr>
              <w:pStyle w:val="Normal6"/>
              <w:rPr>
                <w:b/>
                <w:i/>
                <w:szCs w:val="24"/>
              </w:rPr>
            </w:pPr>
            <w:r w:rsidRPr="00C1276E">
              <w:rPr>
                <w:b/>
                <w:i/>
                <w:szCs w:val="24"/>
              </w:rPr>
              <w:t>1.</w:t>
            </w:r>
            <w:r w:rsidRPr="00C1276E">
              <w:rPr>
                <w:b/>
                <w:i/>
                <w:szCs w:val="24"/>
              </w:rPr>
              <w:tab/>
              <w:t>Ανατίθεται στην Επιτροπή η εξουσία να εκδίδει κατ’ εξουσιοδότηση πράξεις υπό τους όρους του παρόντος άρθρου.</w:t>
            </w:r>
          </w:p>
        </w:tc>
      </w:tr>
      <w:tr w:rsidR="00D50509" w:rsidRPr="00C1276E" w:rsidTr="00A54C9E">
        <w:trPr>
          <w:jc w:val="center"/>
        </w:trPr>
        <w:tc>
          <w:tcPr>
            <w:tcW w:w="4876" w:type="dxa"/>
          </w:tcPr>
          <w:p w:rsidR="00D50509" w:rsidRPr="00C1276E" w:rsidRDefault="00D50509" w:rsidP="00A54C9E">
            <w:pPr>
              <w:pStyle w:val="Normal6"/>
              <w:rPr>
                <w:rFonts w:eastAsia="Arial Unicode MS" w:cs="Arial Unicode MS"/>
                <w:b/>
                <w:i/>
                <w:szCs w:val="24"/>
                <w:u w:color="000000"/>
              </w:rPr>
            </w:pPr>
          </w:p>
        </w:tc>
        <w:tc>
          <w:tcPr>
            <w:tcW w:w="4876" w:type="dxa"/>
          </w:tcPr>
          <w:p w:rsidR="00D50509" w:rsidRPr="00C1276E" w:rsidRDefault="00D50509" w:rsidP="00A54C9E">
            <w:pPr>
              <w:pStyle w:val="Normal6"/>
              <w:rPr>
                <w:b/>
                <w:i/>
                <w:szCs w:val="24"/>
              </w:rPr>
            </w:pPr>
            <w:r w:rsidRPr="00C1276E">
              <w:rPr>
                <w:b/>
                <w:i/>
                <w:szCs w:val="24"/>
              </w:rPr>
              <w:t xml:space="preserve">2. </w:t>
            </w:r>
            <w:r w:rsidRPr="00C1276E">
              <w:rPr>
                <w:b/>
                <w:i/>
                <w:szCs w:val="24"/>
              </w:rPr>
              <w:tab/>
              <w:t>Η προβλεπόμενη στα άρθρα 4 και 5 εξουσία έκδοσης κατ’ εξουσιοδότηση πράξεων ανατίθεται στην Επιτροπή για αόριστο χρονικό διάστημα από ... [ημερομηνία έναρξης ισχύος του παρόντος κανονισμού].</w:t>
            </w:r>
          </w:p>
        </w:tc>
      </w:tr>
      <w:tr w:rsidR="00D50509" w:rsidRPr="00C1276E" w:rsidTr="00A54C9E">
        <w:trPr>
          <w:jc w:val="center"/>
        </w:trPr>
        <w:tc>
          <w:tcPr>
            <w:tcW w:w="4876" w:type="dxa"/>
          </w:tcPr>
          <w:p w:rsidR="00D50509" w:rsidRPr="00C1276E" w:rsidRDefault="00D50509" w:rsidP="00A54C9E">
            <w:pPr>
              <w:pStyle w:val="Normal6"/>
              <w:rPr>
                <w:rFonts w:eastAsia="Arial Unicode MS" w:cs="Arial Unicode MS"/>
                <w:b/>
                <w:i/>
                <w:szCs w:val="24"/>
                <w:u w:color="000000"/>
              </w:rPr>
            </w:pPr>
          </w:p>
        </w:tc>
        <w:tc>
          <w:tcPr>
            <w:tcW w:w="4876" w:type="dxa"/>
          </w:tcPr>
          <w:p w:rsidR="00D50509" w:rsidRPr="00C1276E" w:rsidRDefault="00D50509" w:rsidP="00A54C9E">
            <w:pPr>
              <w:pStyle w:val="Normal6"/>
              <w:rPr>
                <w:b/>
                <w:i/>
                <w:szCs w:val="24"/>
              </w:rPr>
            </w:pPr>
            <w:r w:rsidRPr="00C1276E">
              <w:rPr>
                <w:b/>
                <w:i/>
                <w:szCs w:val="24"/>
              </w:rPr>
              <w:t>3.</w:t>
            </w:r>
            <w:r w:rsidRPr="00C1276E">
              <w:rPr>
                <w:b/>
                <w:i/>
                <w:szCs w:val="24"/>
              </w:rPr>
              <w:tab/>
              <w:t>Η εξουσιοδότηση που προβλέπεται στα άρθρα 4 και 5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 Δεν θίγει το κύρος των κατ’ εξουσιοδότηση πράξεων που ισχύουν ήδη.</w:t>
            </w:r>
          </w:p>
        </w:tc>
      </w:tr>
      <w:tr w:rsidR="00D50509" w:rsidRPr="00C1276E" w:rsidTr="00A54C9E">
        <w:trPr>
          <w:jc w:val="center"/>
        </w:trPr>
        <w:tc>
          <w:tcPr>
            <w:tcW w:w="4876" w:type="dxa"/>
          </w:tcPr>
          <w:p w:rsidR="00D50509" w:rsidRPr="00C1276E" w:rsidRDefault="00D50509" w:rsidP="00A54C9E">
            <w:pPr>
              <w:pStyle w:val="Normal6"/>
              <w:rPr>
                <w:rFonts w:eastAsia="Arial Unicode MS" w:cs="Arial Unicode MS"/>
                <w:b/>
                <w:i/>
                <w:szCs w:val="24"/>
                <w:u w:color="000000"/>
              </w:rPr>
            </w:pPr>
          </w:p>
        </w:tc>
        <w:tc>
          <w:tcPr>
            <w:tcW w:w="4876" w:type="dxa"/>
          </w:tcPr>
          <w:p w:rsidR="00D50509" w:rsidRPr="00C1276E" w:rsidRDefault="00D50509" w:rsidP="00A54C9E">
            <w:pPr>
              <w:pStyle w:val="Normal6"/>
              <w:rPr>
                <w:b/>
                <w:i/>
                <w:szCs w:val="24"/>
              </w:rPr>
            </w:pPr>
            <w:r w:rsidRPr="00C1276E">
              <w:rPr>
                <w:b/>
                <w:i/>
                <w:szCs w:val="24"/>
              </w:rPr>
              <w:t>4.</w:t>
            </w:r>
            <w:r w:rsidRPr="00C1276E">
              <w:rPr>
                <w:b/>
                <w:i/>
                <w:szCs w:val="24"/>
              </w:rPr>
              <w:tab/>
              <w:t>Πριν από την έκδοση μιας κατ’ εξουσιοδότηση πράξης, η Επιτροπή διεξάγει διαβουλεύσεις με εμπειρογνώμονες που ορίζουν τα κράτη μέλη σύμφωνα με τις αρχές της διοργανικής συμφωνίας της 13ης Απριλίου 2016 για τη βελτίωση του νομοθετικού έργου.</w:t>
            </w:r>
          </w:p>
        </w:tc>
      </w:tr>
      <w:tr w:rsidR="00D50509" w:rsidRPr="00C1276E" w:rsidTr="00A54C9E">
        <w:trPr>
          <w:jc w:val="center"/>
        </w:trPr>
        <w:tc>
          <w:tcPr>
            <w:tcW w:w="4876" w:type="dxa"/>
          </w:tcPr>
          <w:p w:rsidR="00D50509" w:rsidRPr="00C1276E" w:rsidRDefault="00D50509" w:rsidP="00A54C9E">
            <w:pPr>
              <w:pStyle w:val="Normal6"/>
              <w:rPr>
                <w:rFonts w:eastAsia="Arial Unicode MS" w:cs="Arial Unicode MS"/>
                <w:b/>
                <w:i/>
                <w:szCs w:val="24"/>
                <w:u w:color="000000"/>
              </w:rPr>
            </w:pPr>
          </w:p>
        </w:tc>
        <w:tc>
          <w:tcPr>
            <w:tcW w:w="4876" w:type="dxa"/>
          </w:tcPr>
          <w:p w:rsidR="00D50509" w:rsidRPr="00C1276E" w:rsidRDefault="00D50509" w:rsidP="00A54C9E">
            <w:pPr>
              <w:pStyle w:val="Normal6"/>
              <w:rPr>
                <w:b/>
                <w:i/>
                <w:szCs w:val="24"/>
              </w:rPr>
            </w:pPr>
            <w:r w:rsidRPr="00C1276E">
              <w:rPr>
                <w:b/>
                <w:i/>
                <w:szCs w:val="24"/>
              </w:rPr>
              <w:t>5.</w:t>
            </w:r>
            <w:r w:rsidRPr="00C1276E">
              <w:rPr>
                <w:b/>
                <w:i/>
                <w:szCs w:val="24"/>
              </w:rPr>
              <w:tab/>
              <w:t>Μόλις εκδώσει μια κατ’ εξουσιοδότηση πράξη, η Επιτροπή την κοινοποιεί ταυτόχρονα στο Ευρωπαϊκό Κοινοβούλιο και στο Συμβούλιο.</w:t>
            </w:r>
          </w:p>
        </w:tc>
      </w:tr>
      <w:tr w:rsidR="00D50509" w:rsidRPr="00C1276E" w:rsidTr="00A54C9E">
        <w:trPr>
          <w:jc w:val="center"/>
        </w:trPr>
        <w:tc>
          <w:tcPr>
            <w:tcW w:w="4876" w:type="dxa"/>
          </w:tcPr>
          <w:p w:rsidR="00D50509" w:rsidRPr="00C1276E" w:rsidRDefault="00D50509" w:rsidP="00A54C9E">
            <w:pPr>
              <w:pStyle w:val="Normal6"/>
              <w:rPr>
                <w:rFonts w:eastAsia="Arial Unicode MS" w:cs="Arial Unicode MS"/>
                <w:b/>
                <w:i/>
                <w:szCs w:val="24"/>
                <w:u w:color="000000"/>
              </w:rPr>
            </w:pPr>
          </w:p>
        </w:tc>
        <w:tc>
          <w:tcPr>
            <w:tcW w:w="4876" w:type="dxa"/>
          </w:tcPr>
          <w:p w:rsidR="00D50509" w:rsidRPr="00C1276E" w:rsidRDefault="00D50509" w:rsidP="00A54C9E">
            <w:pPr>
              <w:pStyle w:val="Normal6"/>
              <w:rPr>
                <w:b/>
                <w:i/>
                <w:szCs w:val="24"/>
              </w:rPr>
            </w:pPr>
            <w:r w:rsidRPr="00C1276E">
              <w:rPr>
                <w:b/>
                <w:i/>
                <w:szCs w:val="24"/>
              </w:rPr>
              <w:t>6.</w:t>
            </w:r>
            <w:r w:rsidRPr="00C1276E">
              <w:rPr>
                <w:b/>
                <w:i/>
                <w:szCs w:val="24"/>
              </w:rPr>
              <w:tab/>
              <w:t>Η κατ’ εξουσιοδότηση πράξη που εκδίδεται δυνάμει των άρθρων 4 και 5 τίθεται σε ισχύ εφόσον δεν έχει διατυπωθεί αντίρρηση από το Ευρωπαϊκό Κοινοβούλιο ή το Συμβούλιο εντός δύο μηνών από την ημέρα που η πράξη κοινοποιείται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Η προθεσμία αυτή παρατείνεται κατά δύο μήνες κατόπιν πρωτοβουλίας του Ευρωπαϊκού Κοινοβουλίου ή του Συμβουλίου.</w:t>
            </w:r>
          </w:p>
        </w:tc>
      </w:tr>
    </w:tbl>
    <w:p w:rsidR="00D50509" w:rsidRPr="00C1276E" w:rsidRDefault="00D50509" w:rsidP="00D50509"/>
    <w:p w:rsidR="00D50509" w:rsidRPr="00C1276E" w:rsidRDefault="00D50509" w:rsidP="00D50509">
      <w:pPr>
        <w:pStyle w:val="AMNumberTabs"/>
        <w:keepNext/>
      </w:pPr>
      <w:r w:rsidRPr="00C1276E">
        <w:t>Τροπολογία</w:t>
      </w:r>
      <w:r w:rsidRPr="00C1276E">
        <w:tab/>
      </w:r>
      <w:r w:rsidRPr="00C1276E">
        <w:tab/>
        <w:t>17</w:t>
      </w:r>
    </w:p>
    <w:p w:rsidR="00D50509" w:rsidRPr="00C1276E" w:rsidRDefault="00D50509" w:rsidP="00D50509">
      <w:pPr>
        <w:pStyle w:val="NormalBold12b"/>
        <w:keepNext/>
      </w:pPr>
      <w:r w:rsidRPr="00C1276E">
        <w:t>Πρόταση κανονισμού</w:t>
      </w:r>
    </w:p>
    <w:p w:rsidR="00D50509" w:rsidRPr="00C1276E" w:rsidRDefault="00D50509" w:rsidP="00D50509">
      <w:pPr>
        <w:pStyle w:val="NormalBold"/>
        <w:keepNext/>
      </w:pPr>
      <w:r w:rsidRPr="00C1276E">
        <w:t>Άρθρο 12 – παράγραφος 4 – στοιχείο 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50509" w:rsidRPr="00C1276E" w:rsidTr="00A54C9E">
        <w:trPr>
          <w:jc w:val="center"/>
        </w:trPr>
        <w:tc>
          <w:tcPr>
            <w:tcW w:w="9752" w:type="dxa"/>
            <w:gridSpan w:val="2"/>
          </w:tcPr>
          <w:p w:rsidR="00D50509" w:rsidRPr="00C1276E" w:rsidRDefault="00D50509" w:rsidP="00A54C9E">
            <w:pPr>
              <w:keepNext/>
            </w:pPr>
          </w:p>
        </w:tc>
      </w:tr>
      <w:tr w:rsidR="00D50509" w:rsidRPr="00C1276E" w:rsidTr="00A54C9E">
        <w:trPr>
          <w:jc w:val="center"/>
        </w:trPr>
        <w:tc>
          <w:tcPr>
            <w:tcW w:w="4876" w:type="dxa"/>
            <w:hideMark/>
          </w:tcPr>
          <w:p w:rsidR="00D50509" w:rsidRPr="00C1276E" w:rsidRDefault="00D50509" w:rsidP="00A54C9E">
            <w:pPr>
              <w:pStyle w:val="ColumnHeading"/>
              <w:keepNext/>
            </w:pPr>
            <w:r w:rsidRPr="00C1276E">
              <w:t>Κείμενο που προτείνει η Επιτροπή</w:t>
            </w:r>
          </w:p>
        </w:tc>
        <w:tc>
          <w:tcPr>
            <w:tcW w:w="4876" w:type="dxa"/>
            <w:hideMark/>
          </w:tcPr>
          <w:p w:rsidR="00D50509" w:rsidRPr="00C1276E" w:rsidRDefault="00D50509" w:rsidP="00A54C9E">
            <w:pPr>
              <w:pStyle w:val="ColumnHeading"/>
              <w:keepNext/>
            </w:pPr>
            <w:r w:rsidRPr="00C1276E">
              <w:t>Τροπολογία</w:t>
            </w:r>
          </w:p>
        </w:tc>
      </w:tr>
      <w:tr w:rsidR="00D50509" w:rsidRPr="00C1276E" w:rsidTr="00A54C9E">
        <w:trPr>
          <w:jc w:val="center"/>
        </w:trPr>
        <w:tc>
          <w:tcPr>
            <w:tcW w:w="4876" w:type="dxa"/>
          </w:tcPr>
          <w:p w:rsidR="00D50509" w:rsidRPr="00C1276E" w:rsidRDefault="00D50509" w:rsidP="00A54C9E">
            <w:pPr>
              <w:pStyle w:val="Normal6"/>
            </w:pPr>
            <w:r w:rsidRPr="00C1276E">
              <w:t>α)</w:t>
            </w:r>
            <w:r w:rsidRPr="00C1276E">
              <w:tab/>
              <w:t>την ημερομηνία κατά την οποία αρχίζει να ισχύει ή, κατά περίπτωση, εφαρμόζεται προσωρινά συμφωνία μεταξύ της Ένωσης και του Ηνωμένου Βασιλείου που διέπει την μεταξύ τους παροχή υπηρεσιών αεροπορικών μεταφορών· ή</w:t>
            </w:r>
          </w:p>
        </w:tc>
        <w:tc>
          <w:tcPr>
            <w:tcW w:w="4876" w:type="dxa"/>
          </w:tcPr>
          <w:p w:rsidR="00D50509" w:rsidRPr="00C1276E" w:rsidRDefault="00D50509" w:rsidP="00A54C9E">
            <w:pPr>
              <w:pStyle w:val="Normal6"/>
              <w:rPr>
                <w:szCs w:val="24"/>
              </w:rPr>
            </w:pPr>
            <w:r w:rsidRPr="00C1276E">
              <w:rPr>
                <w:szCs w:val="24"/>
              </w:rPr>
              <w:t xml:space="preserve">α)  την ημερομηνία κατά την οποία αρχίζει να ισχύει ή, κατά περίπτωση, εφαρμόζεται προσωρινά </w:t>
            </w:r>
            <w:r w:rsidRPr="00C1276E">
              <w:rPr>
                <w:b/>
                <w:i/>
                <w:szCs w:val="24"/>
              </w:rPr>
              <w:t>συνολική</w:t>
            </w:r>
            <w:r w:rsidRPr="00C1276E">
              <w:rPr>
                <w:b/>
                <w:szCs w:val="24"/>
              </w:rPr>
              <w:t xml:space="preserve"> </w:t>
            </w:r>
            <w:r w:rsidRPr="00C1276E">
              <w:rPr>
                <w:szCs w:val="24"/>
              </w:rPr>
              <w:t>συμφωνία μεταξύ της Ένωσης και του Ηνωμένου Βασιλείου που διέπει την μεταξύ τους παροχή υπηρεσιών αεροπορικών μεταφορών· ή</w:t>
            </w:r>
          </w:p>
        </w:tc>
      </w:tr>
    </w:tbl>
    <w:p w:rsidR="00D50509" w:rsidRPr="00C1276E" w:rsidRDefault="00D50509" w:rsidP="00D50509"/>
    <w:p w:rsidR="00E365E1" w:rsidRPr="00C1276E" w:rsidRDefault="00E365E1" w:rsidP="00D50509">
      <w:bookmarkStart w:id="1" w:name="TextBodyEnd"/>
      <w:bookmarkEnd w:id="1"/>
    </w:p>
    <w:sectPr w:rsidR="00E365E1" w:rsidRPr="00C1276E" w:rsidSect="008514A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45" w:rsidRPr="008514A5" w:rsidRDefault="00550345">
      <w:r w:rsidRPr="008514A5">
        <w:separator/>
      </w:r>
    </w:p>
  </w:endnote>
  <w:endnote w:type="continuationSeparator" w:id="0">
    <w:p w:rsidR="00550345" w:rsidRPr="008514A5" w:rsidRDefault="00550345">
      <w:r w:rsidRPr="008514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79" w:rsidRDefault="0054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A5" w:rsidRDefault="008514A5" w:rsidP="00C1276E">
    <w:pPr>
      <w:pStyle w:val="Footer"/>
      <w:tabs>
        <w:tab w:val="clear" w:pos="9639"/>
        <w:tab w:val="right" w:pos="9184"/>
      </w:tabs>
    </w:pPr>
  </w:p>
  <w:p w:rsidR="00C1276E" w:rsidRDefault="00C1276E" w:rsidP="00C1276E">
    <w:pPr>
      <w:pStyle w:val="Footer"/>
      <w:pBdr>
        <w:top w:val="single" w:sz="2" w:space="1" w:color="000000"/>
      </w:pBdr>
      <w:tabs>
        <w:tab w:val="clear" w:pos="9639"/>
        <w:tab w:val="right" w:pos="9184"/>
      </w:tabs>
    </w:pPr>
    <w:r>
      <w:tab/>
    </w:r>
    <w:r w:rsidRPr="00C1276E">
      <w:rPr>
        <w:rStyle w:val="HideTWBExt"/>
      </w:rPr>
      <w:t>&lt;NuPE&gt;</w:t>
    </w:r>
    <w:r>
      <w:t>PE635.322</w:t>
    </w:r>
    <w:r w:rsidRPr="00C1276E">
      <w:rPr>
        <w:rStyle w:val="HideTWBExt"/>
      </w:rPr>
      <w:t>&lt;/NuPE&gt;</w:t>
    </w:r>
    <w:r>
      <w:t xml:space="preserve">/ </w:t>
    </w:r>
    <w:r>
      <w:fldChar w:fldCharType="begin"/>
    </w:r>
    <w:r>
      <w:instrText xml:space="preserve"> PAGE  \* MERGEFORMAT </w:instrText>
    </w:r>
    <w:r>
      <w:fldChar w:fldCharType="separate"/>
    </w:r>
    <w:r w:rsidR="00544E79">
      <w:rPr>
        <w:noProof/>
      </w:rPr>
      <w:t>1</w:t>
    </w:r>
    <w:r>
      <w:fldChar w:fldCharType="end"/>
    </w:r>
  </w:p>
  <w:p w:rsidR="00C1276E" w:rsidRPr="00C1276E" w:rsidRDefault="00C1276E" w:rsidP="00C1276E">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79" w:rsidRDefault="0054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45" w:rsidRPr="008514A5" w:rsidRDefault="00550345">
      <w:r w:rsidRPr="008514A5">
        <w:separator/>
      </w:r>
    </w:p>
  </w:footnote>
  <w:footnote w:type="continuationSeparator" w:id="0">
    <w:p w:rsidR="00550345" w:rsidRPr="008514A5" w:rsidRDefault="00550345">
      <w:r w:rsidRPr="008514A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79" w:rsidRDefault="0054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79" w:rsidRDefault="00544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79" w:rsidRDefault="0054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62/2019"/>
    <w:docVar w:name="dvlangue" w:val="EL"/>
    <w:docVar w:name="dvnumam" w:val="0"/>
    <w:docVar w:name="dvpe" w:val="634.475"/>
    <w:docVar w:name="dvrapporteur" w:val="Εισηγητής: "/>
    <w:docVar w:name="dvtitre" w:val="Νομοθετικό ψήφισμα του Ευρωπαϊκού Κοινοβουλίου σχετικά με την πρόταση κανονισμού του Ευρωπαϊκού Κοινοβουλίου και του Συμβουλίου για κοινούς κανόνες διασφάλισης βασικής αεροπορικής συνδεσιμότητας όσον αφορά την αποχώρηση του Ηνωμένου Βασιλείου της Μεγάλης Βρετανίας και της Βόρειας Ιρλανδίας από την Ένωση(COM(2018)0893 – C8-0510/2018 – 2018/0433(COD))"/>
    <w:docVar w:name="TA_Comm_A5Nr" w:val="A8-0062/2019"/>
    <w:docVar w:name="TA_Comm_Langue" w:val="EL"/>
    <w:docVar w:name="TA_Comm_NrAM" w:val="001-017"/>
    <w:docVar w:name="TA_Type" w:val="TA_COMM"/>
  </w:docVars>
  <w:rsids>
    <w:rsidRoot w:val="00550345"/>
    <w:rsid w:val="00002272"/>
    <w:rsid w:val="000677B9"/>
    <w:rsid w:val="000E7DD9"/>
    <w:rsid w:val="0010095E"/>
    <w:rsid w:val="00125B37"/>
    <w:rsid w:val="002767FF"/>
    <w:rsid w:val="002B5493"/>
    <w:rsid w:val="00361C00"/>
    <w:rsid w:val="00383152"/>
    <w:rsid w:val="00395FA1"/>
    <w:rsid w:val="003E15D4"/>
    <w:rsid w:val="00411CCE"/>
    <w:rsid w:val="0041666E"/>
    <w:rsid w:val="00421060"/>
    <w:rsid w:val="00494A28"/>
    <w:rsid w:val="0050519A"/>
    <w:rsid w:val="005072A1"/>
    <w:rsid w:val="00514517"/>
    <w:rsid w:val="00544E79"/>
    <w:rsid w:val="00550345"/>
    <w:rsid w:val="006037C0"/>
    <w:rsid w:val="006342E5"/>
    <w:rsid w:val="00680577"/>
    <w:rsid w:val="006F74FA"/>
    <w:rsid w:val="00731ADD"/>
    <w:rsid w:val="00734777"/>
    <w:rsid w:val="00751A4A"/>
    <w:rsid w:val="00756632"/>
    <w:rsid w:val="007D1690"/>
    <w:rsid w:val="008514A5"/>
    <w:rsid w:val="00865F67"/>
    <w:rsid w:val="00881A7B"/>
    <w:rsid w:val="008840E5"/>
    <w:rsid w:val="008C2AC6"/>
    <w:rsid w:val="009509D8"/>
    <w:rsid w:val="00981893"/>
    <w:rsid w:val="00A4678D"/>
    <w:rsid w:val="00AF3B82"/>
    <w:rsid w:val="00B558F0"/>
    <w:rsid w:val="00BC0E7C"/>
    <w:rsid w:val="00BD7BD8"/>
    <w:rsid w:val="00C05BFE"/>
    <w:rsid w:val="00C1276E"/>
    <w:rsid w:val="00C23CD4"/>
    <w:rsid w:val="00C7492B"/>
    <w:rsid w:val="00C941CB"/>
    <w:rsid w:val="00C942DC"/>
    <w:rsid w:val="00CC2357"/>
    <w:rsid w:val="00D058B8"/>
    <w:rsid w:val="00D50509"/>
    <w:rsid w:val="00D834A0"/>
    <w:rsid w:val="00D91E21"/>
    <w:rsid w:val="00E1206E"/>
    <w:rsid w:val="00E365E1"/>
    <w:rsid w:val="00ED4235"/>
    <w:rsid w:val="00F04346"/>
    <w:rsid w:val="00F075DC"/>
    <w:rsid w:val="00F5134D"/>
    <w:rsid w:val="00F74E1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D70F24-6C50-4863-9B04-2A55DDA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D50509"/>
    <w:rPr>
      <w:sz w:val="24"/>
      <w:lang w:val="el-G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D50509"/>
    <w:rPr>
      <w:b/>
      <w:sz w:val="24"/>
      <w:lang w:val="el-GR"/>
    </w:rPr>
  </w:style>
  <w:style w:type="paragraph" w:customStyle="1" w:styleId="ColumnHeading">
    <w:name w:val="ColumnHeading"/>
    <w:basedOn w:val="Normal"/>
    <w:rsid w:val="00D50509"/>
    <w:pPr>
      <w:spacing w:after="240"/>
      <w:jc w:val="center"/>
    </w:pPr>
    <w:rPr>
      <w:i/>
    </w:rPr>
  </w:style>
  <w:style w:type="paragraph" w:customStyle="1" w:styleId="AMNumberTabs">
    <w:name w:val="AMNumberTabs"/>
    <w:basedOn w:val="Normal"/>
    <w:rsid w:val="00D5050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50509"/>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2145</Words>
  <Characters>13038</Characters>
  <Application>Microsoft Office Word</Application>
  <DocSecurity>0</DocSecurity>
  <Lines>566</Lines>
  <Paragraphs>168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Zacharoula 7.2.2019</dc:creator>
  <cp:keywords/>
  <cp:lastModifiedBy>Zacharoula 7.2.2019</cp:lastModifiedBy>
  <cp:revision>2</cp:revision>
  <cp:lastPrinted>2004-11-19T15:42:00Z</cp:lastPrinted>
  <dcterms:created xsi:type="dcterms:W3CDTF">2019-02-08T17:07:00Z</dcterms:created>
  <dcterms:modified xsi:type="dcterms:W3CDTF">2019-02-08T17:07:00Z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A8-0062/2019</vt:lpwstr>
  </property>
  <property fmtid="{D5CDD505-2E9C-101B-9397-08002B2CF9AE}" pid="4" name="&lt;Type&gt;">
    <vt:lpwstr>RR</vt:lpwstr>
  </property>
</Properties>
</file>