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pPr>
      <w:r w:rsidRPr="00A94183">
        <w:rPr>
          <w:rStyle w:val="HideTWBExt"/>
        </w:rPr>
        <w:t>&lt;Date&gt;</w:t>
      </w:r>
      <w:r>
        <w:t>12.2.2019</w:t>
      </w:r>
      <w:r w:rsidRPr="00A94183">
        <w:rPr>
          <w:rStyle w:val="HideTWBExt"/>
        </w:rPr>
        <w:t>&lt;/Date&gt;</w:t>
      </w:r>
      <w:r>
        <w:tab/>
        <w:t xml:space="preserve">A8-0069/ </w:t>
      </w:r>
      <w:r w:rsidRPr="00A94183">
        <w:rPr>
          <w:rStyle w:val="HideTWBExt"/>
        </w:rPr>
        <w:t>&lt;NumOfAM&gt;</w:t>
      </w:r>
      <w:r>
        <w:t>001-029</w:t>
      </w:r>
      <w:bookmarkStart w:id="0" w:name="_GoBack"/>
      <w:bookmarkEnd w:id="0"/>
      <w:r w:rsidRPr="00A94183">
        <w:rPr>
          <w:rStyle w:val="HideTWBExt"/>
        </w:rPr>
        <w:t>&lt;/NumOfAM&gt;</w:t>
      </w:r>
    </w:p>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pPr>
      <w:r>
        <w:rPr>
          <w:b/>
        </w:rPr>
        <w:t xml:space="preserve">MUUDATUSETTEPANEKUD 001-029 </w:t>
      </w:r>
    </w:p>
    <w:p w:rsidR="00A94183" w:rsidRDefault="00A94183" w:rsidP="00A94183">
      <w:pPr>
        <w:tabs>
          <w:tab w:val="right" w:pos="9184"/>
        </w:tabs>
      </w:pPr>
      <w:r w:rsidRPr="00A94183">
        <w:rPr>
          <w:rStyle w:val="HideTWBExt"/>
        </w:rPr>
        <w:t>&lt;Committee&gt;</w:t>
      </w:r>
      <w:r>
        <w:t>Kodanikuvabaduste, justiits- ja siseasjade komisjon</w:t>
      </w:r>
      <w:r w:rsidRPr="00A94183">
        <w:rPr>
          <w:rStyle w:val="HideTWBExt"/>
        </w:rPr>
        <w:t>&lt;/Committee&gt;</w:t>
      </w:r>
    </w:p>
    <w:p w:rsidR="00A94183" w:rsidRDefault="00A94183" w:rsidP="00A94183">
      <w:pPr>
        <w:tabs>
          <w:tab w:val="right" w:pos="9184"/>
        </w:tabs>
      </w:pPr>
    </w:p>
    <w:p w:rsidR="00A94183" w:rsidRDefault="00A94183" w:rsidP="00A94183">
      <w:pPr>
        <w:tabs>
          <w:tab w:val="right" w:pos="9184"/>
        </w:tabs>
        <w:rPr>
          <w:b/>
        </w:rPr>
      </w:pPr>
      <w:r>
        <w:rPr>
          <w:b/>
        </w:rPr>
        <w:t>Raport</w:t>
      </w:r>
    </w:p>
    <w:p w:rsidR="00A94183" w:rsidRDefault="00A94183" w:rsidP="00A94183">
      <w:pPr>
        <w:tabs>
          <w:tab w:val="right" w:pos="9184"/>
        </w:tabs>
        <w:rPr>
          <w:b/>
        </w:rPr>
      </w:pPr>
      <w:r w:rsidRPr="00A94183">
        <w:rPr>
          <w:rStyle w:val="HideTWBExt"/>
        </w:rPr>
        <w:t>&lt;Chairman&gt;</w:t>
      </w:r>
      <w:r>
        <w:rPr>
          <w:b/>
        </w:rPr>
        <w:t>Dennis de Jong</w:t>
      </w:r>
      <w:r w:rsidRPr="00A94183">
        <w:rPr>
          <w:rStyle w:val="HideTWBExt"/>
        </w:rPr>
        <w:t>&lt;/Chairman&gt;</w:t>
      </w:r>
      <w:r>
        <w:rPr>
          <w:b/>
        </w:rPr>
        <w:tab/>
      </w:r>
      <w:r w:rsidRPr="00A94183">
        <w:rPr>
          <w:rStyle w:val="HideTWBExt"/>
        </w:rPr>
        <w:t>&lt;A5Nr&gt;</w:t>
      </w:r>
      <w:r>
        <w:rPr>
          <w:b/>
        </w:rPr>
        <w:t>A8-0069/2019</w:t>
      </w:r>
      <w:r w:rsidRPr="00A94183">
        <w:rPr>
          <w:rStyle w:val="HideTWBExt"/>
        </w:rPr>
        <w:t>&lt;/A5Nr&gt;</w:t>
      </w:r>
    </w:p>
    <w:p w:rsidR="00A94183" w:rsidRDefault="00A94183" w:rsidP="00A94183">
      <w:pPr>
        <w:tabs>
          <w:tab w:val="right" w:pos="9184"/>
        </w:tabs>
      </w:pPr>
      <w:r w:rsidRPr="00A94183">
        <w:rPr>
          <w:rStyle w:val="HideTWBExt"/>
        </w:rPr>
        <w:t>&lt;ShortTitel&gt;</w:t>
      </w:r>
      <w:r>
        <w:t>Vahetus-, abi- ja koolitusprogrammi loomine euro kaitsmiseks võltsimise eest perioodil 2021–2027 (programm „Perikles IV“)</w:t>
      </w:r>
      <w:r w:rsidRPr="00A94183">
        <w:rPr>
          <w:rStyle w:val="HideTWBExt"/>
        </w:rPr>
        <w:t>&lt;/ShortTitel&gt;</w:t>
      </w:r>
    </w:p>
    <w:p w:rsidR="00A94183" w:rsidRDefault="00A94183" w:rsidP="00A94183">
      <w:pPr>
        <w:tabs>
          <w:tab w:val="right" w:pos="9184"/>
        </w:tabs>
      </w:pPr>
    </w:p>
    <w:p w:rsidR="00A94183" w:rsidRDefault="00A94183" w:rsidP="00A94183">
      <w:pPr>
        <w:tabs>
          <w:tab w:val="right" w:pos="9184"/>
        </w:tabs>
      </w:pPr>
      <w:r w:rsidRPr="00A94183">
        <w:rPr>
          <w:rStyle w:val="HideTWBExt"/>
        </w:rPr>
        <w:t>&lt;Procedure&gt;</w:t>
      </w:r>
      <w:r>
        <w:t>Ettepanek võtta vastu määrus</w:t>
      </w:r>
      <w:r w:rsidRPr="00A94183">
        <w:rPr>
          <w:rStyle w:val="HideTWBExt"/>
        </w:rPr>
        <w:t>&lt;/Procedure&gt;</w:t>
      </w:r>
      <w:r>
        <w:t xml:space="preserve"> </w:t>
      </w:r>
      <w:r w:rsidRPr="00A94183">
        <w:rPr>
          <w:rStyle w:val="HideTWBExt"/>
        </w:rPr>
        <w:t>&lt;ReferenceNo&gt;</w:t>
      </w:r>
      <w:r>
        <w:t>(COM(2018)0369 – C8-0240/2018 – 2018/0194(COD))</w:t>
      </w:r>
      <w:r w:rsidRPr="00A94183">
        <w:rPr>
          <w:rStyle w:val="HideTWBExt"/>
        </w:rPr>
        <w:t>&lt;/ReferenceNo&gt;</w:t>
      </w:r>
    </w:p>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pPr>
    </w:p>
    <w:p w:rsidR="00A94183" w:rsidRDefault="00A94183" w:rsidP="00A94183">
      <w:pPr>
        <w:tabs>
          <w:tab w:val="right" w:pos="9184"/>
        </w:tabs>
        <w:jc w:val="center"/>
      </w:pPr>
      <w:r>
        <w:t>_____________________________________________________________</w:t>
      </w:r>
    </w:p>
    <w:p w:rsidR="00A94183" w:rsidRDefault="00A94183" w:rsidP="00A94183">
      <w:pPr>
        <w:tabs>
          <w:tab w:val="right" w:pos="9184"/>
        </w:tabs>
        <w:jc w:val="center"/>
      </w:pPr>
    </w:p>
    <w:p w:rsidR="004B59F0" w:rsidRPr="00A94183" w:rsidRDefault="004B59F0" w:rsidP="00A94183">
      <w:pPr>
        <w:pStyle w:val="AMNumberTabs"/>
      </w:pPr>
      <w:r w:rsidRPr="00A94183">
        <w:t>Muudatusettepanek</w:t>
      </w:r>
      <w:r w:rsidRPr="00A94183">
        <w:tab/>
      </w:r>
      <w:r w:rsidRPr="00A94183">
        <w:tab/>
        <w:t>1</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(1)</w:t>
            </w:r>
            <w:r w:rsidRPr="00A94183">
              <w:tab/>
              <w:t xml:space="preserve">Liit ja liikmesriigid on seadnud endale eesmärgiks kehtestada meetmed, mida on vaja euro kasutamiseks ühisrahana. Need meetmed hõlmavad euro kaitset võltsimise ning sellega seotud kelmuste ja pettuste eest, </w:t>
            </w:r>
            <w:r w:rsidRPr="00A94183">
              <w:rPr>
                <w:b/>
                <w:i/>
              </w:rPr>
              <w:t>suurendades</w:t>
            </w:r>
            <w:r w:rsidRPr="00A94183">
              <w:t xml:space="preserve"> nii liidu majanduse </w:t>
            </w:r>
            <w:r w:rsidRPr="00A94183">
              <w:rPr>
                <w:b/>
                <w:i/>
              </w:rPr>
              <w:t>mõjusust</w:t>
            </w:r>
            <w:r w:rsidRPr="00A94183">
              <w:t xml:space="preserve"> ja </w:t>
            </w:r>
            <w:r w:rsidRPr="00A94183">
              <w:rPr>
                <w:b/>
                <w:i/>
              </w:rPr>
              <w:t>kindlustades</w:t>
            </w:r>
            <w:r w:rsidRPr="00A94183">
              <w:t xml:space="preserve"> riikide rahanduse </w:t>
            </w:r>
            <w:r w:rsidRPr="00A94183">
              <w:rPr>
                <w:b/>
                <w:i/>
              </w:rPr>
              <w:t>jätkusuutlikkuse</w:t>
            </w:r>
            <w:r w:rsidRPr="00A94183">
              <w:t>.</w:t>
            </w:r>
          </w:p>
        </w:tc>
        <w:tc>
          <w:tcPr>
            <w:tcW w:w="4876" w:type="dxa"/>
            <w:hideMark/>
          </w:tcPr>
          <w:p w:rsidR="004B59F0" w:rsidRPr="00A94183" w:rsidRDefault="004B59F0" w:rsidP="00AC00A8">
            <w:pPr>
              <w:pStyle w:val="Normal6"/>
            </w:pPr>
            <w:r w:rsidRPr="00A94183">
              <w:t>(1)</w:t>
            </w:r>
            <w:r w:rsidRPr="00A94183">
              <w:tab/>
              <w:t xml:space="preserve">Liit ja liikmesriigid on seadnud endale eesmärgiks kehtestada meetmed, mida on vaja euro kasutamiseks ühisrahana. Need meetmed hõlmavad euro kaitset võltsimise ning sellega seotud kelmuste ja pettuste eest, </w:t>
            </w:r>
            <w:r w:rsidRPr="00A94183">
              <w:rPr>
                <w:b/>
                <w:i/>
              </w:rPr>
              <w:t>et tagada</w:t>
            </w:r>
            <w:r w:rsidRPr="00A94183">
              <w:t xml:space="preserve"> nii liidu majanduse </w:t>
            </w:r>
            <w:r w:rsidRPr="00A94183">
              <w:rPr>
                <w:b/>
                <w:i/>
              </w:rPr>
              <w:t>mõjusus</w:t>
            </w:r>
            <w:r w:rsidRPr="00A94183">
              <w:t xml:space="preserve"> ja </w:t>
            </w:r>
            <w:r w:rsidRPr="00A94183">
              <w:rPr>
                <w:b/>
                <w:i/>
              </w:rPr>
              <w:t>kindlustada</w:t>
            </w:r>
            <w:r w:rsidRPr="00A94183">
              <w:t xml:space="preserve"> riikide rahanduse </w:t>
            </w:r>
            <w:r w:rsidRPr="00A94183">
              <w:rPr>
                <w:b/>
                <w:i/>
              </w:rPr>
              <w:t>jätkusuutlikkus</w:t>
            </w:r>
            <w:r w:rsidRPr="00A94183">
              <w:t>.</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2</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(3)</w:t>
            </w:r>
            <w:r w:rsidRPr="00A94183">
              <w:tab/>
              <w:t xml:space="preserve">Meetmed, mille eesmärk on edendada teabe ja töötajate vahetamist, tehnilist ja teaduslikku abi ning </w:t>
            </w:r>
            <w:r w:rsidRPr="00A94183">
              <w:lastRenderedPageBreak/>
              <w:t>eriotstarbelist koolitust, aitavad oluliselt kaitsta liidu ühisraha võltsimise ja sellega seotud kelmuste ja pettuste eest ning seega saavutada võrdselt kõrgetasemelise kaitse kogu liidus, näidates samal ajal liidu suutlikkust võidelda raske organiseeritud kuritegevuse vastu.</w:t>
            </w:r>
          </w:p>
        </w:tc>
        <w:tc>
          <w:tcPr>
            <w:tcW w:w="4876" w:type="dxa"/>
            <w:hideMark/>
          </w:tcPr>
          <w:p w:rsidR="004B59F0" w:rsidRPr="00A94183" w:rsidRDefault="004B59F0" w:rsidP="00AC00A8">
            <w:pPr>
              <w:pStyle w:val="Normal6"/>
            </w:pPr>
            <w:r w:rsidRPr="00A94183">
              <w:lastRenderedPageBreak/>
              <w:t>(3)</w:t>
            </w:r>
            <w:r w:rsidRPr="00A94183">
              <w:tab/>
              <w:t xml:space="preserve">Meetmed, mille eesmärk on edendada teabe ja töötajate vahetamist, tehnilist ja teaduslikku abi ning </w:t>
            </w:r>
            <w:r w:rsidRPr="00A94183">
              <w:lastRenderedPageBreak/>
              <w:t xml:space="preserve">eriotstarbelist koolitust, aitavad oluliselt kaitsta liidu ühisraha võltsimise ja sellega seotud kelmuste ja pettuste eest ning seega saavutada võrdselt kõrgetasemelise kaitse kogu liidus, näidates samal ajal liidu suutlikkust võidelda raske organiseeritud kuritegevuse vastu. </w:t>
            </w:r>
            <w:r w:rsidRPr="00A94183">
              <w:rPr>
                <w:b/>
                <w:i/>
              </w:rPr>
              <w:t>Sellised meetmed aitavad tegeleda ühiste probleemidega ja sidemetega rahapesu ja organiseeritud kuritegevuse vahel.</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3</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(4)</w:t>
            </w:r>
            <w:r w:rsidRPr="00A94183">
              <w:tab/>
              <w:t xml:space="preserve">Euro võltsimise eest kaitsmise programm aitab kaasa liidu kodanike teadlikkuse suurendamisele, </w:t>
            </w:r>
            <w:r w:rsidRPr="00A94183">
              <w:rPr>
                <w:b/>
                <w:i/>
              </w:rPr>
              <w:t>parandades</w:t>
            </w:r>
            <w:r w:rsidRPr="00A94183">
              <w:t xml:space="preserve"> euro kaitset, eriti selle programmi raames toetatud meetmete tulemuste pideva levitamise kaudu.</w:t>
            </w:r>
          </w:p>
        </w:tc>
        <w:tc>
          <w:tcPr>
            <w:tcW w:w="4876" w:type="dxa"/>
            <w:hideMark/>
          </w:tcPr>
          <w:p w:rsidR="004B59F0" w:rsidRPr="00A94183" w:rsidRDefault="004B59F0" w:rsidP="00AC00A8">
            <w:pPr>
              <w:pStyle w:val="Normal6"/>
            </w:pPr>
            <w:r w:rsidRPr="00A94183">
              <w:t>(4)</w:t>
            </w:r>
            <w:r w:rsidRPr="00A94183">
              <w:tab/>
              <w:t xml:space="preserve">Euro võltsimise eest kaitsmise programm aitab kaasa liidu kodanike teadlikkuse suurendamisele, </w:t>
            </w:r>
            <w:r w:rsidRPr="00A94183">
              <w:rPr>
                <w:b/>
                <w:i/>
              </w:rPr>
              <w:t>suurendab nende usaldust selle vääringu suhtes ja parandab</w:t>
            </w:r>
            <w:r w:rsidRPr="00A94183">
              <w:t xml:space="preserve"> euro kaitset, eriti selle programmi raames toetatud meetmete tulemuste pideva levitamise kaudu.</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4</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p>
        </w:tc>
        <w:tc>
          <w:tcPr>
            <w:tcW w:w="4876" w:type="dxa"/>
            <w:hideMark/>
          </w:tcPr>
          <w:p w:rsidR="004B59F0" w:rsidRPr="00A94183" w:rsidRDefault="004B59F0" w:rsidP="00E36253">
            <w:pPr>
              <w:pStyle w:val="Normal6"/>
            </w:pPr>
            <w:r w:rsidRPr="00A94183">
              <w:rPr>
                <w:b/>
                <w:i/>
              </w:rPr>
              <w:t>(4a)</w:t>
            </w:r>
            <w:r w:rsidRPr="00A94183">
              <w:tab/>
            </w:r>
            <w:r w:rsidRPr="00A94183">
              <w:rPr>
                <w:b/>
                <w:i/>
              </w:rPr>
              <w:t>Euro usaldusväärne kaitse võltsimise eest on turvalise ja konkurentsivõimelise ELi majanduse oluline osa ning on otseselt seotud ELi eesmärgiga parandada majandus- ja rahaliidu tõhusat toimimist.</w:t>
            </w:r>
          </w:p>
        </w:tc>
      </w:tr>
    </w:tbl>
    <w:p w:rsidR="00E36253" w:rsidRPr="00A94183" w:rsidRDefault="00E36253" w:rsidP="004B59F0">
      <w:pPr>
        <w:pStyle w:val="AMNumberTabs"/>
        <w:keepNext/>
      </w:pPr>
    </w:p>
    <w:p w:rsidR="004B59F0" w:rsidRPr="00A94183" w:rsidRDefault="004B59F0" w:rsidP="004B59F0">
      <w:pPr>
        <w:pStyle w:val="AMNumberTabs"/>
        <w:keepNext/>
      </w:pPr>
      <w:r w:rsidRPr="00A94183">
        <w:t>Muudatusettepanek</w:t>
      </w:r>
      <w:r w:rsidRPr="00A94183">
        <w:tab/>
      </w:r>
      <w:r w:rsidRPr="00A94183">
        <w:tab/>
        <w:t>5</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Põhjendus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(6)</w:t>
            </w:r>
            <w:r w:rsidRPr="00A94183">
              <w:tab/>
            </w:r>
            <w:r w:rsidRPr="00A94183">
              <w:rPr>
                <w:b/>
                <w:i/>
              </w:rPr>
              <w:t>Teatises</w:t>
            </w:r>
            <w:r w:rsidRPr="00A94183">
              <w:t xml:space="preserve"> Euroopa Parlamendile ja nõukogule programmi „Perikles 2020“ vahehindamise kohta jõudis komisjon järeldusele, et tuleks toetada programmi </w:t>
            </w:r>
            <w:r w:rsidRPr="00A94183">
              <w:rPr>
                <w:b/>
                <w:i/>
              </w:rPr>
              <w:t xml:space="preserve">„Perikles 2020“ </w:t>
            </w:r>
            <w:r w:rsidRPr="00A94183">
              <w:t>jätkamist pärast aastat 2020, kuna programm pakub lisaväärtust, sellel on pikaajaline mõju ja see on jätkusuutlik.</w:t>
            </w:r>
          </w:p>
        </w:tc>
        <w:tc>
          <w:tcPr>
            <w:tcW w:w="4876" w:type="dxa"/>
          </w:tcPr>
          <w:p w:rsidR="004B59F0" w:rsidRPr="00A94183" w:rsidRDefault="004B59F0" w:rsidP="00AC00A8">
            <w:pPr>
              <w:pStyle w:val="Normal6"/>
              <w:rPr>
                <w:szCs w:val="24"/>
              </w:rPr>
            </w:pPr>
            <w:r w:rsidRPr="00A94183">
              <w:t>(6)</w:t>
            </w:r>
            <w:r w:rsidRPr="00A94183">
              <w:tab/>
            </w:r>
            <w:r w:rsidRPr="00A94183">
              <w:rPr>
                <w:b/>
                <w:i/>
              </w:rPr>
              <w:t>Vastupidiselt standardmenetlusele ei viidud läbi programmi kohta eraldi mõjuhinnangut. Seda võib osaliselt seletada asjaoluga, et 2017. aastal korraldas komisjon programmi vahehindamise, mida toetas sõltumatu aruanne</w:t>
            </w:r>
            <w:r w:rsidRPr="00A94183">
              <w:rPr>
                <w:b/>
                <w:i/>
                <w:vertAlign w:val="superscript"/>
              </w:rPr>
              <w:t>1a</w:t>
            </w:r>
            <w:r w:rsidRPr="00A94183">
              <w:rPr>
                <w:b/>
                <w:i/>
              </w:rPr>
              <w:t>. Kuigi aruanne on üldiselt programmi suhtes positiivne, väljendatakse seal muret programmi tegevuses osalevate pädevate asutuste piiratud arvu ja programmi tulemuste mõõtmiseks kasutatavate peamiste tulemusnäitajate kvaliteedi pärast.</w:t>
            </w:r>
            <w:r w:rsidRPr="00A94183">
              <w:t xml:space="preserve"> </w:t>
            </w:r>
            <w:r w:rsidRPr="00A94183">
              <w:rPr>
                <w:b/>
                <w:i/>
              </w:rPr>
              <w:t>Oma teatises</w:t>
            </w:r>
            <w:r w:rsidRPr="00A94183">
              <w:t xml:space="preserve"> Euroopa Parlamendile ja nõukogule programmi „Perikles 2020“ vahehindamise kohta </w:t>
            </w:r>
            <w:r w:rsidRPr="00A94183">
              <w:rPr>
                <w:b/>
                <w:i/>
              </w:rPr>
              <w:t xml:space="preserve">ning oma eelhindamises komisjoni talituste töödokumendi vormis, mis on lisatud ettepanekule (COM(2018)0369) </w:t>
            </w:r>
            <w:r w:rsidRPr="00A94183">
              <w:t>jõudis komisjon järeldusele, et tuleks toetada programmi jätkamist pärast aastat 2020, kuna programm pakub</w:t>
            </w:r>
            <w:r w:rsidRPr="00A94183">
              <w:rPr>
                <w:b/>
                <w:i/>
              </w:rPr>
              <w:t xml:space="preserve"> liidu</w:t>
            </w:r>
            <w:r w:rsidRPr="00A94183">
              <w:t xml:space="preserve"> lisaväärtust, sellel on pikaajaline mõju ja see on jätkusuutlik</w:t>
            </w:r>
            <w:r w:rsidRPr="00A94183">
              <w:rPr>
                <w:b/>
                <w:i/>
              </w:rPr>
              <w:t xml:space="preserve"> ning aitab võidelda organiseeritud kuritegevuse vastu</w:t>
            </w:r>
            <w:r w:rsidRPr="00A94183">
              <w:t>.</w:t>
            </w:r>
          </w:p>
        </w:tc>
      </w:tr>
      <w:tr w:rsidR="004B59F0" w:rsidRPr="00A94183" w:rsidTr="00AC00A8">
        <w:trPr>
          <w:jc w:val="center"/>
        </w:trPr>
        <w:tc>
          <w:tcPr>
            <w:tcW w:w="4876" w:type="dxa"/>
          </w:tcPr>
          <w:p w:rsidR="004B59F0" w:rsidRPr="00A94183" w:rsidRDefault="004B59F0" w:rsidP="00AC00A8">
            <w:pPr>
              <w:pStyle w:val="Normal6"/>
            </w:pPr>
          </w:p>
        </w:tc>
        <w:tc>
          <w:tcPr>
            <w:tcW w:w="4876" w:type="dxa"/>
          </w:tcPr>
          <w:p w:rsidR="004B59F0" w:rsidRPr="00A94183" w:rsidRDefault="004B59F0" w:rsidP="00AC00A8">
            <w:pPr>
              <w:pStyle w:val="Normal6"/>
              <w:rPr>
                <w:szCs w:val="24"/>
              </w:rPr>
            </w:pPr>
            <w:r w:rsidRPr="00A94183">
              <w:t>__________________</w:t>
            </w:r>
          </w:p>
        </w:tc>
      </w:tr>
      <w:tr w:rsidR="004B59F0" w:rsidRPr="00A94183" w:rsidTr="00AC00A8">
        <w:trPr>
          <w:jc w:val="center"/>
        </w:trPr>
        <w:tc>
          <w:tcPr>
            <w:tcW w:w="4876" w:type="dxa"/>
          </w:tcPr>
          <w:p w:rsidR="004B59F0" w:rsidRPr="00A94183" w:rsidRDefault="004B59F0" w:rsidP="00AC00A8">
            <w:pPr>
              <w:pStyle w:val="Normal6"/>
            </w:pPr>
          </w:p>
        </w:tc>
        <w:tc>
          <w:tcPr>
            <w:tcW w:w="4876" w:type="dxa"/>
          </w:tcPr>
          <w:p w:rsidR="004B59F0" w:rsidRPr="00A94183" w:rsidRDefault="004B59F0" w:rsidP="00AC00A8">
            <w:pPr>
              <w:pStyle w:val="Normal6"/>
              <w:rPr>
                <w:szCs w:val="24"/>
              </w:rPr>
            </w:pPr>
            <w:r w:rsidRPr="00A94183">
              <w:rPr>
                <w:b/>
                <w:i/>
                <w:vertAlign w:val="superscript"/>
              </w:rPr>
              <w:t xml:space="preserve">1a </w:t>
            </w:r>
            <w:r w:rsidRPr="00A94183">
              <w:rPr>
                <w:b/>
                <w:i/>
              </w:rPr>
              <w:t>SWD(2017)444 final ja Ares(2917)3289297 '30/06/2017</w:t>
            </w:r>
          </w:p>
        </w:tc>
      </w:tr>
    </w:tbl>
    <w:p w:rsidR="00E36253" w:rsidRPr="00A94183" w:rsidRDefault="00E36253" w:rsidP="004B59F0">
      <w:pPr>
        <w:pStyle w:val="AMNumberTabs"/>
      </w:pPr>
    </w:p>
    <w:p w:rsidR="004B59F0" w:rsidRPr="00A94183" w:rsidRDefault="004B59F0" w:rsidP="004B59F0">
      <w:pPr>
        <w:pStyle w:val="AMNumberTabs"/>
      </w:pPr>
      <w:r w:rsidRPr="00A94183">
        <w:t>Muudatusettepanek</w:t>
      </w:r>
      <w:r w:rsidRPr="00A94183">
        <w:tab/>
      </w:r>
      <w:r w:rsidRPr="00A94183">
        <w:tab/>
        <w:t>6</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(7)</w:t>
            </w:r>
            <w:r w:rsidRPr="00A94183">
              <w:tab/>
              <w:t xml:space="preserve">Vahehindamine sisaldas nõuannet, et programmi „Perikles 2020“ raames rahastatud meetmeid tuleks jätkata, </w:t>
            </w:r>
            <w:r w:rsidRPr="00A94183">
              <w:rPr>
                <w:b/>
                <w:i/>
              </w:rPr>
              <w:t>võttes arvesse võimalusi</w:t>
            </w:r>
            <w:r w:rsidRPr="00A94183">
              <w:t xml:space="preserve"> taotluste </w:t>
            </w:r>
            <w:r w:rsidRPr="00A94183">
              <w:rPr>
                <w:b/>
                <w:i/>
              </w:rPr>
              <w:t>esitamise lihtsustamiseks</w:t>
            </w:r>
            <w:r w:rsidRPr="00A94183">
              <w:t xml:space="preserve">, </w:t>
            </w:r>
            <w:r w:rsidRPr="00A94183">
              <w:rPr>
                <w:b/>
                <w:i/>
              </w:rPr>
              <w:t>abisaajate paremaks eristamiseks</w:t>
            </w:r>
            <w:r w:rsidRPr="00A94183">
              <w:t xml:space="preserve">, </w:t>
            </w:r>
            <w:r w:rsidRPr="00A94183">
              <w:rPr>
                <w:b/>
                <w:i/>
              </w:rPr>
              <w:t>jätkuvaks keskendumiseks</w:t>
            </w:r>
            <w:r w:rsidRPr="00A94183">
              <w:t xml:space="preserve"> uutele ja korduvatele võltsimisohtudele ning </w:t>
            </w:r>
            <w:r w:rsidRPr="00A94183">
              <w:rPr>
                <w:b/>
                <w:i/>
              </w:rPr>
              <w:t xml:space="preserve">peamiste tulemusnäitajate </w:t>
            </w:r>
            <w:r w:rsidRPr="00A94183">
              <w:rPr>
                <w:b/>
                <w:i/>
              </w:rPr>
              <w:lastRenderedPageBreak/>
              <w:t>ühtlustamiseks</w:t>
            </w:r>
            <w:r w:rsidRPr="00A94183">
              <w:t>.</w:t>
            </w:r>
          </w:p>
        </w:tc>
        <w:tc>
          <w:tcPr>
            <w:tcW w:w="4876" w:type="dxa"/>
            <w:hideMark/>
          </w:tcPr>
          <w:p w:rsidR="004B59F0" w:rsidRPr="00A94183" w:rsidRDefault="004B59F0" w:rsidP="00AC00A8">
            <w:pPr>
              <w:pStyle w:val="Normal6"/>
            </w:pPr>
            <w:r w:rsidRPr="00A94183">
              <w:lastRenderedPageBreak/>
              <w:t>(7)</w:t>
            </w:r>
            <w:r w:rsidRPr="00A94183">
              <w:tab/>
              <w:t xml:space="preserve">Vahehindamine sisaldas nõuannet, et programmi „Perikles 2020“ raames rahastatud meetmeid tuleks jätkata, </w:t>
            </w:r>
            <w:r w:rsidRPr="00A94183">
              <w:rPr>
                <w:b/>
                <w:i/>
              </w:rPr>
              <w:t>tegeledes samas vajadusega</w:t>
            </w:r>
            <w:r w:rsidRPr="00A94183">
              <w:t xml:space="preserve"> taotluste </w:t>
            </w:r>
            <w:r w:rsidRPr="00A94183">
              <w:rPr>
                <w:b/>
                <w:i/>
              </w:rPr>
              <w:t>esitamist lihtsustada</w:t>
            </w:r>
            <w:r w:rsidRPr="00A94183">
              <w:t xml:space="preserve">, </w:t>
            </w:r>
            <w:r w:rsidRPr="00A94183">
              <w:rPr>
                <w:b/>
                <w:i/>
              </w:rPr>
              <w:t>abisaajaid paremini eristada ning kaasata programmi tegevusse maksimaalselt pädevaid asutusi eri riikidest</w:t>
            </w:r>
            <w:r w:rsidRPr="00A94183">
              <w:t xml:space="preserve">, </w:t>
            </w:r>
            <w:r w:rsidRPr="00A94183">
              <w:rPr>
                <w:b/>
                <w:i/>
              </w:rPr>
              <w:t>jätkuvalt keskenduda</w:t>
            </w:r>
            <w:r w:rsidRPr="00A94183">
              <w:t xml:space="preserve"> uutele </w:t>
            </w:r>
            <w:r w:rsidRPr="00A94183">
              <w:lastRenderedPageBreak/>
              <w:t xml:space="preserve">ja korduvatele võltsimisohtudele ning </w:t>
            </w:r>
            <w:r w:rsidRPr="00A94183">
              <w:rPr>
                <w:b/>
                <w:i/>
              </w:rPr>
              <w:t>ühtlustada peamisi tulemusnäitajaid</w:t>
            </w:r>
            <w:r w:rsidRPr="00A94183">
              <w:t>.</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7</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p>
        </w:tc>
        <w:tc>
          <w:tcPr>
            <w:tcW w:w="4876" w:type="dxa"/>
            <w:hideMark/>
          </w:tcPr>
          <w:p w:rsidR="004B59F0" w:rsidRPr="00A94183" w:rsidRDefault="00E36253" w:rsidP="00AC00A8">
            <w:pPr>
              <w:pStyle w:val="Normal6"/>
            </w:pPr>
            <w:r w:rsidRPr="00A94183">
              <w:rPr>
                <w:b/>
                <w:i/>
              </w:rPr>
              <w:t>(7</w:t>
            </w:r>
            <w:r w:rsidR="004B59F0" w:rsidRPr="00A94183">
              <w:rPr>
                <w:b/>
                <w:i/>
              </w:rPr>
              <w:t>a)</w:t>
            </w:r>
            <w:r w:rsidR="004B59F0" w:rsidRPr="00A94183">
              <w:tab/>
            </w:r>
            <w:r w:rsidR="004B59F0" w:rsidRPr="00A94183">
              <w:rPr>
                <w:b/>
                <w:i/>
              </w:rPr>
              <w:t>Kolmandates riikides on avastatud sagedaste võltsimisjuhtumitega paiku ja euro võltsimise rahvusvaheline mõõde kasvab;</w:t>
            </w:r>
            <w:r w:rsidR="004B59F0" w:rsidRPr="00A94183">
              <w:t xml:space="preserve"> </w:t>
            </w:r>
            <w:r w:rsidR="004B59F0" w:rsidRPr="00A94183">
              <w:rPr>
                <w:b/>
                <w:i/>
              </w:rPr>
              <w:t>seepärast tuleb pidada väga oluliseks kolmandate riikide pädevaid asutusi kaasavaid koolitusi ja suutlikkuse suurendamist, et liidu ühisraha tõhusalt kaitsta, ning seda tuleks programmiga veelgi julgustada.</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8</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(8)</w:t>
            </w:r>
            <w:r w:rsidRPr="00A94183">
              <w:tab/>
              <w:t>Seega tuleks vastu võtta uus programm perioodiks 2021–2027 (programm „Perikles IV“). Tuleks tagada, et programm „Perikles IV“ oleks kooskõlas muude asjakohaste programmide ja meetmetega ning täiendaks neid. Programmi „Perikles IV“ kohaldamiseks peaks komisjon seoses euro kaitse hindamise vajadustega korraldama seetõttu kõik vajalikud konsultatsioonid peamiste asjaosalistega (eelkõige liikmesriikide määratud pädevad riigiasutused, Euroopa Keskpank ja Europol) määruses (EÜ) nr 1338/2001 osutatud komitee raames, eriti sellistes valdkondades nagu vahetused, abi ja koolitus.</w:t>
            </w:r>
          </w:p>
        </w:tc>
        <w:tc>
          <w:tcPr>
            <w:tcW w:w="4876" w:type="dxa"/>
            <w:hideMark/>
          </w:tcPr>
          <w:p w:rsidR="004B59F0" w:rsidRPr="00A94183" w:rsidRDefault="004B59F0" w:rsidP="00AC00A8">
            <w:pPr>
              <w:pStyle w:val="Normal6"/>
            </w:pPr>
            <w:r w:rsidRPr="00A94183">
              <w:t>(8)</w:t>
            </w:r>
            <w:r w:rsidRPr="00A94183">
              <w:tab/>
              <w:t xml:space="preserve">Seega tuleks vastu võtta uus programm perioodiks 2021–2027 (programm „Perikles IV“). Tuleks tagada, et programm „Perikles IV“ oleks kooskõlas muude asjakohaste programmide ja meetmetega ning täiendaks neid. Programmi „Perikles IV“ kohaldamiseks peaks komisjon seoses euro kaitse hindamise vajadustega korraldama seetõttu kõik vajalikud konsultatsioonid peamiste asjaosalistega (eelkõige liikmesriikide määratud pädevad riigiasutused, Euroopa Keskpank ja Europol) määruses (EÜ) nr 1338/2001 osutatud komitee raames, eriti sellistes valdkondades nagu vahetused, abi ja koolitus. </w:t>
            </w:r>
            <w:r w:rsidRPr="00A94183">
              <w:rPr>
                <w:b/>
                <w:i/>
              </w:rPr>
              <w:t>Lisaks peaks komisjon programmi rakendades kasutama Euroopa Keskpanga väga suuri kogemusi koolituste läbiviimisel ja teabe pakkumisel euro pangatähtede võltsingute kohta.</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9</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Põhjendus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(10)</w:t>
            </w:r>
            <w:r w:rsidRPr="00A94183">
              <w:tab/>
              <w:t>Käesolev määrus on vastavuses lisaväärtuse ja proportsionaalsuse põhimõtetega. Programm „Perikles IV“ peaks hõlbustama koostööd liikmesriikide vahel ning komisjoni ja liikmesriikide vahel, et kaitsta eurot võltsimise eest, minemata sealjuures vastuollu liikmesriikide kohustustega ning kasutades vahendeid tõhusamalt, kui seda saaks teha riigi tasandil. Liidu tasandi meetmed on vajalikud ja õigustatud, sest on ilmne, et nendega aidatakse liikmesriikidel ühiselt eurot kaitsta ja ergutatakse ühiste liidu struktuuride kasutamist, et suurendada koostööd ja teabevahetust pädevate asutuste vahel.</w:t>
            </w:r>
          </w:p>
        </w:tc>
        <w:tc>
          <w:tcPr>
            <w:tcW w:w="4876" w:type="dxa"/>
            <w:hideMark/>
          </w:tcPr>
          <w:p w:rsidR="004B59F0" w:rsidRPr="00A94183" w:rsidRDefault="004B59F0" w:rsidP="00AC00A8">
            <w:pPr>
              <w:pStyle w:val="Normal6"/>
            </w:pPr>
            <w:r w:rsidRPr="00A94183">
              <w:t>(10)</w:t>
            </w:r>
            <w:r w:rsidRPr="00A94183">
              <w:tab/>
              <w:t xml:space="preserve">Käesolev määrus on vastavuses lisaväärtuse ja proportsionaalsuse põhimõtetega. Programm „Perikles IV“ peaks hõlbustama koostööd liikmesriikide vahel ning komisjoni ja liikmesriikide vahel, et kaitsta eurot võltsimise eest, minemata sealjuures vastuollu liikmesriikide kohustustega ning kasutades vahendeid tõhusamalt, kui seda saaks teha riigi tasandil. Liidu tasandi meetmed on vajalikud ja õigustatud, sest on ilmne, et nendega aidatakse liikmesriikidel ühiselt eurot kaitsta ja ergutatakse ühiste liidu struktuuride kasutamist, et suurendada koostööd </w:t>
            </w:r>
            <w:r w:rsidRPr="00A94183">
              <w:rPr>
                <w:b/>
                <w:i/>
              </w:rPr>
              <w:t xml:space="preserve">ning õigeaegset </w:t>
            </w:r>
            <w:r w:rsidRPr="00A94183">
              <w:t>ja</w:t>
            </w:r>
            <w:r w:rsidRPr="00A94183">
              <w:rPr>
                <w:b/>
                <w:i/>
              </w:rPr>
              <w:t xml:space="preserve"> ulatuslikku</w:t>
            </w:r>
            <w:r w:rsidRPr="00A94183">
              <w:t xml:space="preserve"> teabevahetust pädevate asutuste vahel.</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10</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keepNext/>
      </w:pPr>
      <w:r w:rsidRPr="00A94183">
        <w:t>Põhjendus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(12)</w:t>
            </w:r>
            <w:r w:rsidRPr="00A94183">
              <w:tab/>
            </w:r>
            <w:r w:rsidRPr="00A94183">
              <w:rPr>
                <w:b/>
                <w:i/>
              </w:rPr>
              <w:t>Selleks et tagada programmi „Perikles IV“ rakendamiseks ühetaolised tingimused,</w:t>
            </w:r>
            <w:r w:rsidRPr="00A94183">
              <w:t xml:space="preserve"> tuleks komisjonile </w:t>
            </w:r>
            <w:r w:rsidRPr="00A94183">
              <w:rPr>
                <w:b/>
                <w:i/>
              </w:rPr>
              <w:t>anda rakendamisvolitused</w:t>
            </w:r>
            <w:r w:rsidRPr="00A94183">
              <w:t xml:space="preserve">. Komisjon peaks vastu võtma iga-aastased tööprogrammid, milles määratakse kindlaks prioriteedid, eelarve jaotus ja meetmetele antava toetuse hindamiskriteeriumid. Nõuetekohaselt põhjendatud erandjuhud, mil kaasrahastamise suurendamine on vajalik selleks, et anda liikmesriikidele suurem majanduslik paindlikkus, mis võimaldaks neil euro kaitsmist ja turvamist käsitlevad projektid edukalt teostada ja lõpule viia, peaksid olema osa iga-aastasest </w:t>
            </w:r>
            <w:r w:rsidRPr="00A94183">
              <w:lastRenderedPageBreak/>
              <w:t xml:space="preserve">tööprogrammist. </w:t>
            </w:r>
          </w:p>
        </w:tc>
        <w:tc>
          <w:tcPr>
            <w:tcW w:w="4876" w:type="dxa"/>
          </w:tcPr>
          <w:p w:rsidR="004B59F0" w:rsidRPr="00A94183" w:rsidRDefault="004B59F0" w:rsidP="00E36253">
            <w:pPr>
              <w:pStyle w:val="Normal6"/>
              <w:rPr>
                <w:szCs w:val="24"/>
              </w:rPr>
            </w:pPr>
            <w:r w:rsidRPr="00A94183">
              <w:lastRenderedPageBreak/>
              <w:t>(12)</w:t>
            </w:r>
            <w:r w:rsidRPr="00A94183">
              <w:tab/>
            </w:r>
            <w:r w:rsidRPr="00A94183">
              <w:rPr>
                <w:b/>
                <w:i/>
              </w:rPr>
              <w:t>Käesoleva määruse vähemoluliste osade täiendamiseks ja muutmiseks</w:t>
            </w:r>
            <w:r w:rsidRPr="00A94183">
              <w:t xml:space="preserve"> tuleks komisjonile </w:t>
            </w:r>
            <w:r w:rsidRPr="00A94183">
              <w:rPr>
                <w:b/>
                <w:i/>
              </w:rPr>
              <w:t>delegeerida õigus võtta kooskõlas ELi toimimise lepingu artikliga 290 vastu õigusakte, milles käsitletakse artiklis 10 sätestatud programme ning artiklis 12 ja lisas osutatud näitajaid</w:t>
            </w:r>
            <w:r w:rsidRPr="00A94183">
              <w:t xml:space="preserve">. Komisjon peaks vastu võtma iga-aastased tööprogrammid, milles määratakse kindlaks prioriteedid, eelarve jaotus ja meetmetele antava toetuse hindamiskriteeriumid. Nõuetekohaselt põhjendatud erandjuhud, mil kaasrahastamise suurendamine on vajalik selleks, et anda liikmesriikidele suurem majanduslik paindlikkus, mis võimaldaks </w:t>
            </w:r>
            <w:r w:rsidRPr="00A94183">
              <w:lastRenderedPageBreak/>
              <w:t>neil euro kaitsmist ja turvamist käsitlevad projektid edukalt teostada ja lõpule viia, peaksid olema osa iga-aastasest tööprogrammist.</w:t>
            </w:r>
            <w:r w:rsidRPr="00A94183">
              <w:rPr>
                <w:b/>
                <w:i/>
              </w:rPr>
              <w:t xml:space="preserve"> On eriti oluline, et komisjon korraldaks oma ettevalmistava töö käigus asjakohaseid konsultatsioone, sealhulgas ekspertide tasandil, ja et kõnealused konsultatsioonid viidaks läbi kooskõlas 13. aprill</w:t>
            </w:r>
            <w:r w:rsidR="00E36253" w:rsidRPr="00A94183">
              <w:rPr>
                <w:b/>
                <w:i/>
              </w:rPr>
              <w:t>i</w:t>
            </w:r>
            <w:r w:rsidRPr="00A94183">
              <w:rPr>
                <w:b/>
                <w:i/>
              </w:rPr>
              <w:t xml:space="preserve"> 2016</w:t>
            </w:r>
            <w:r w:rsidR="00E36253" w:rsidRPr="00A94183">
              <w:rPr>
                <w:b/>
                <w:i/>
              </w:rPr>
              <w:t>. aasta</w:t>
            </w:r>
            <w:r w:rsidRPr="00A94183">
              <w:rPr>
                <w:b/>
                <w:i/>
              </w:rPr>
              <w:t xml:space="preserve"> institutsioonidevahelise parema õigusloome kokkuleppes</w:t>
            </w:r>
            <w:r w:rsidR="00E36253" w:rsidRPr="00592C27">
              <w:rPr>
                <w:b/>
                <w:i/>
                <w:vertAlign w:val="superscript"/>
              </w:rPr>
              <w:t>1a</w:t>
            </w:r>
            <w:r w:rsidRPr="00A94183">
              <w:rPr>
                <w:b/>
                <w:i/>
              </w:rPr>
              <w:t xml:space="preserve"> sätestatud 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tc>
      </w:tr>
      <w:tr w:rsidR="00592C27" w:rsidRPr="00A94183" w:rsidTr="00AC00A8">
        <w:trPr>
          <w:jc w:val="center"/>
        </w:trPr>
        <w:tc>
          <w:tcPr>
            <w:tcW w:w="4876" w:type="dxa"/>
          </w:tcPr>
          <w:p w:rsidR="00592C27" w:rsidRPr="00D93300" w:rsidRDefault="00592C27" w:rsidP="00592C27">
            <w:pPr>
              <w:pStyle w:val="Normal6"/>
            </w:pPr>
          </w:p>
        </w:tc>
        <w:tc>
          <w:tcPr>
            <w:tcW w:w="4876" w:type="dxa"/>
          </w:tcPr>
          <w:p w:rsidR="00592C27" w:rsidRPr="00D93300" w:rsidRDefault="00592C27" w:rsidP="00592C27">
            <w:pPr>
              <w:pStyle w:val="Normal6"/>
            </w:pPr>
            <w:r w:rsidRPr="00D93300">
              <w:t>__________________</w:t>
            </w:r>
          </w:p>
        </w:tc>
      </w:tr>
      <w:tr w:rsidR="00E36253" w:rsidRPr="00A94183" w:rsidTr="00AC00A8">
        <w:trPr>
          <w:jc w:val="center"/>
        </w:trPr>
        <w:tc>
          <w:tcPr>
            <w:tcW w:w="4876" w:type="dxa"/>
          </w:tcPr>
          <w:p w:rsidR="00E36253" w:rsidRPr="00A94183" w:rsidRDefault="00E36253" w:rsidP="00AC00A8">
            <w:pPr>
              <w:pStyle w:val="Normal6"/>
            </w:pPr>
          </w:p>
        </w:tc>
        <w:tc>
          <w:tcPr>
            <w:tcW w:w="4876" w:type="dxa"/>
          </w:tcPr>
          <w:p w:rsidR="00E36253" w:rsidRPr="00592C27" w:rsidRDefault="00E36253" w:rsidP="00E36253">
            <w:pPr>
              <w:pStyle w:val="Normal6"/>
              <w:rPr>
                <w:b/>
                <w:i/>
              </w:rPr>
            </w:pPr>
            <w:r w:rsidRPr="00592C27">
              <w:rPr>
                <w:b/>
                <w:i/>
                <w:vertAlign w:val="superscript"/>
              </w:rPr>
              <w:t>1a</w:t>
            </w:r>
            <w:r w:rsidRPr="00592C27">
              <w:rPr>
                <w:b/>
                <w:i/>
              </w:rPr>
              <w:t xml:space="preserve"> Euroopa Parlamendi, Euroopa Liidu Nõukogu ja Euroopa Komisjoni vahel 13. aprillil 2016 sõlmitud institutsioonidevaheline parema õigusloome kokkulepe (ELT L 123, 12.5.2016, lk 1)</w:t>
            </w:r>
            <w:r w:rsidRPr="00A94183">
              <w:rPr>
                <w:b/>
                <w:i/>
              </w:rPr>
              <w:t>.</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11</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2 – lõige 1 – lõik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hRule="exac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tcPr>
          <w:p w:rsidR="004B59F0" w:rsidRPr="00A94183" w:rsidRDefault="004B59F0" w:rsidP="00AC00A8">
            <w:pPr>
              <w:pStyle w:val="ColumnHeading"/>
            </w:pPr>
            <w:r w:rsidRPr="00A94183">
              <w:t>Komisjoni ettepanek</w:t>
            </w:r>
          </w:p>
        </w:tc>
        <w:tc>
          <w:tcPr>
            <w:tcW w:w="4876" w:type="dxa"/>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592C27">
              <w:rPr>
                <w:b/>
                <w:i/>
              </w:rPr>
              <w:t>tõkestada</w:t>
            </w:r>
            <w:r w:rsidRPr="00A94183">
              <w:t xml:space="preserve"> võltsimist ja sellega seotud kelmusi ja pettusi ning nende vastu võidelda, tugevdades seeläbi liidu </w:t>
            </w:r>
            <w:r w:rsidRPr="00A94183">
              <w:rPr>
                <w:b/>
                <w:i/>
              </w:rPr>
              <w:t>majanduse konkurentsivõimet</w:t>
            </w:r>
            <w:r w:rsidRPr="00A94183">
              <w:t xml:space="preserve"> ja kindlustades riikide rahanduse jätkusuutlikkuse.</w:t>
            </w:r>
          </w:p>
        </w:tc>
        <w:tc>
          <w:tcPr>
            <w:tcW w:w="4876" w:type="dxa"/>
          </w:tcPr>
          <w:p w:rsidR="004B59F0" w:rsidRPr="00A94183" w:rsidRDefault="00E36253" w:rsidP="00AC00A8">
            <w:pPr>
              <w:pStyle w:val="Normal6"/>
            </w:pPr>
            <w:r w:rsidRPr="00A94183">
              <w:t xml:space="preserve">Tõkestada </w:t>
            </w:r>
            <w:r w:rsidR="004B59F0" w:rsidRPr="00A94183">
              <w:t xml:space="preserve">võltsimist ja sellega seotud kelmusi ja pettusi ning nende vastu võidelda, </w:t>
            </w:r>
            <w:r w:rsidR="004B59F0" w:rsidRPr="00A94183">
              <w:rPr>
                <w:b/>
                <w:i/>
              </w:rPr>
              <w:t xml:space="preserve">säilitades sellega euro pangatähtede ja müntide terviklikkuse, mis tugevdab kodanike ja ettevõtete usaldust nende ehtsusesse, </w:t>
            </w:r>
            <w:r w:rsidR="004B59F0" w:rsidRPr="00A94183">
              <w:t>tugevdades seeläbi</w:t>
            </w:r>
            <w:r w:rsidR="004B59F0" w:rsidRPr="00A94183">
              <w:rPr>
                <w:b/>
                <w:i/>
              </w:rPr>
              <w:t xml:space="preserve"> usku</w:t>
            </w:r>
            <w:r w:rsidR="004B59F0" w:rsidRPr="00A94183">
              <w:t xml:space="preserve"> liidu </w:t>
            </w:r>
            <w:r w:rsidR="004B59F0" w:rsidRPr="00A94183">
              <w:rPr>
                <w:b/>
                <w:i/>
              </w:rPr>
              <w:t>majandusse</w:t>
            </w:r>
            <w:r w:rsidR="004B59F0" w:rsidRPr="00A94183">
              <w:t xml:space="preserve"> ja kindlustades riikide rahanduse jätkusuutlikkuse.</w:t>
            </w:r>
          </w:p>
        </w:tc>
      </w:tr>
    </w:tbl>
    <w:p w:rsidR="004B59F0" w:rsidRPr="00A94183" w:rsidRDefault="004B59F0" w:rsidP="004B59F0"/>
    <w:p w:rsidR="004B59F0" w:rsidRPr="00A94183" w:rsidRDefault="004B59F0" w:rsidP="004B59F0">
      <w:pPr>
        <w:pStyle w:val="AMNumberTabs"/>
        <w:keepNext/>
      </w:pPr>
      <w:r w:rsidRPr="00A94183">
        <w:lastRenderedPageBreak/>
        <w:t>Muudatusettepanek</w:t>
      </w:r>
      <w:r w:rsidRPr="00A94183">
        <w:tab/>
      </w:r>
      <w:r w:rsidRPr="00A94183">
        <w:tab/>
        <w:t>12</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Artikkel 3 – lõige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1.</w:t>
            </w:r>
            <w:r w:rsidRPr="00A94183">
              <w:tab/>
              <w:t>Programmi rakendamise rahastamispakett ajavahemikus 1. jaanuarist 2021 kuni 31. detsembrini 2027 on 7</w:t>
            </w:r>
            <w:r w:rsidRPr="00A94183">
              <w:rPr>
                <w:b/>
                <w:i/>
              </w:rPr>
              <w:t xml:space="preserve"> </w:t>
            </w:r>
            <w:r w:rsidRPr="00A94183">
              <w:t>700</w:t>
            </w:r>
            <w:r w:rsidRPr="00A94183">
              <w:rPr>
                <w:b/>
                <w:i/>
              </w:rPr>
              <w:t xml:space="preserve"> </w:t>
            </w:r>
            <w:r w:rsidRPr="00A94183">
              <w:t>000 eurot (jooksevhindades).</w:t>
            </w:r>
          </w:p>
        </w:tc>
        <w:tc>
          <w:tcPr>
            <w:tcW w:w="4876" w:type="dxa"/>
          </w:tcPr>
          <w:p w:rsidR="004B59F0" w:rsidRPr="00A94183" w:rsidRDefault="004B59F0" w:rsidP="00AC00A8">
            <w:pPr>
              <w:pStyle w:val="Normal6"/>
              <w:rPr>
                <w:szCs w:val="24"/>
              </w:rPr>
            </w:pPr>
            <w:r w:rsidRPr="00A94183">
              <w:t>1.</w:t>
            </w:r>
            <w:r w:rsidRPr="00A94183">
              <w:tab/>
              <w:t>Programmi rakendamise r</w:t>
            </w:r>
            <w:r w:rsidR="00E36253" w:rsidRPr="00A94183">
              <w:t>ahastamispakett ajavahemikus 1. </w:t>
            </w:r>
            <w:r w:rsidRPr="00A94183">
              <w:t>jaanuarist 2021 kuni 31. detsembrini 2027 on 7</w:t>
            </w:r>
            <w:r w:rsidRPr="00A94183">
              <w:rPr>
                <w:b/>
                <w:i/>
              </w:rPr>
              <w:t> </w:t>
            </w:r>
            <w:r w:rsidRPr="00A94183">
              <w:t>700</w:t>
            </w:r>
            <w:r w:rsidRPr="00A94183">
              <w:rPr>
                <w:b/>
                <w:i/>
              </w:rPr>
              <w:t> </w:t>
            </w:r>
            <w:r w:rsidRPr="00A94183">
              <w:t>000 eurot</w:t>
            </w:r>
            <w:r w:rsidRPr="00A94183">
              <w:rPr>
                <w:b/>
                <w:i/>
                <w:vertAlign w:val="superscript"/>
              </w:rPr>
              <w:t>1a</w:t>
            </w:r>
            <w:r w:rsidRPr="00A94183">
              <w:t xml:space="preserve"> (jooksevhindades).</w:t>
            </w:r>
          </w:p>
        </w:tc>
      </w:tr>
      <w:tr w:rsidR="004B59F0" w:rsidRPr="00A94183" w:rsidTr="00AC00A8">
        <w:trPr>
          <w:jc w:val="center"/>
        </w:trPr>
        <w:tc>
          <w:tcPr>
            <w:tcW w:w="4876" w:type="dxa"/>
          </w:tcPr>
          <w:p w:rsidR="004B59F0" w:rsidRPr="00A94183" w:rsidRDefault="004B59F0" w:rsidP="00AC00A8">
            <w:pPr>
              <w:pStyle w:val="Normal6"/>
            </w:pPr>
          </w:p>
        </w:tc>
        <w:tc>
          <w:tcPr>
            <w:tcW w:w="4876" w:type="dxa"/>
          </w:tcPr>
          <w:p w:rsidR="004B59F0" w:rsidRPr="00A94183" w:rsidRDefault="004B59F0" w:rsidP="00AC00A8">
            <w:pPr>
              <w:pStyle w:val="Normal6"/>
              <w:rPr>
                <w:szCs w:val="24"/>
              </w:rPr>
            </w:pPr>
            <w:r w:rsidRPr="00A94183">
              <w:t>__________________</w:t>
            </w:r>
          </w:p>
        </w:tc>
      </w:tr>
      <w:tr w:rsidR="004B59F0" w:rsidRPr="00A94183" w:rsidTr="00AC00A8">
        <w:trPr>
          <w:jc w:val="center"/>
        </w:trPr>
        <w:tc>
          <w:tcPr>
            <w:tcW w:w="4876" w:type="dxa"/>
          </w:tcPr>
          <w:p w:rsidR="004B59F0" w:rsidRPr="00A94183" w:rsidRDefault="004B59F0" w:rsidP="00AC00A8">
            <w:pPr>
              <w:pStyle w:val="Normal6"/>
            </w:pPr>
          </w:p>
        </w:tc>
        <w:tc>
          <w:tcPr>
            <w:tcW w:w="4876" w:type="dxa"/>
          </w:tcPr>
          <w:p w:rsidR="004B59F0" w:rsidRPr="00A94183" w:rsidRDefault="004B59F0" w:rsidP="00AC00A8">
            <w:pPr>
              <w:pStyle w:val="Normal6"/>
              <w:rPr>
                <w:szCs w:val="24"/>
              </w:rPr>
            </w:pPr>
            <w:r w:rsidRPr="00A94183">
              <w:rPr>
                <w:b/>
                <w:i/>
                <w:vertAlign w:val="superscript"/>
              </w:rPr>
              <w:t>1a</w:t>
            </w:r>
            <w:r w:rsidRPr="00A94183">
              <w:rPr>
                <w:b/>
                <w:i/>
              </w:rPr>
              <w:t xml:space="preserve"> Soovituslik summa, sõltuvalt üldisest mitmeaastasest finantsraamistikust. </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13</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4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hRule="exac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tcPr>
          <w:p w:rsidR="004B59F0" w:rsidRPr="00A94183" w:rsidRDefault="004B59F0" w:rsidP="00AC00A8">
            <w:pPr>
              <w:pStyle w:val="ColumnHeading"/>
            </w:pPr>
            <w:r w:rsidRPr="00A94183">
              <w:t>Komisjoni ettepanek</w:t>
            </w:r>
          </w:p>
        </w:tc>
        <w:tc>
          <w:tcPr>
            <w:tcW w:w="4876" w:type="dxa"/>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2.</w:t>
            </w:r>
            <w:r w:rsidRPr="00A94183">
              <w:tab/>
              <w:t>Komisjon rakendab programmi koostöös liikmesriikidega, korraldades programmi rakendamise eri etappidel korrapäraseid konsultatsioone, võttes arvesse muude pädevate üksuste, eelkõige Euroopa Keskpanga ja Europoli võetud asjakohaseid meetmeid.</w:t>
            </w:r>
          </w:p>
        </w:tc>
        <w:tc>
          <w:tcPr>
            <w:tcW w:w="4876" w:type="dxa"/>
          </w:tcPr>
          <w:p w:rsidR="004B59F0" w:rsidRPr="00A94183" w:rsidRDefault="004B59F0" w:rsidP="00AC00A8">
            <w:pPr>
              <w:pStyle w:val="Normal6"/>
            </w:pPr>
            <w:r w:rsidRPr="00A94183">
              <w:t>2.</w:t>
            </w:r>
            <w:r w:rsidRPr="00A94183">
              <w:tab/>
              <w:t xml:space="preserve">Komisjon rakendab programmi koostöös liikmesriikidega, korraldades programmi rakendamise eri etappidel korrapäraseid konsultatsioone, tagades samal ajal järjepidevuse ja vältides tarbetut kattumist muude pädevate üksuste, eelkõige Euroopa Keskpanga ja Europoli võetud asjakohaste meetmetega. </w:t>
            </w:r>
            <w:r w:rsidRPr="00A94183">
              <w:rPr>
                <w:b/>
                <w:i/>
              </w:rPr>
              <w:t>Selleks võtab komisjon artikli 10 kohaste tööprogrammide koostamisel arvesse olemasolevaid ja kavandatavaid EKP ja Europoli meetmeid euro võltsimise ja pettuste vastu.</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14</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Artikkel 6 – lõige 1 – punkt a – taane -1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p>
        </w:tc>
        <w:tc>
          <w:tcPr>
            <w:tcW w:w="4876" w:type="dxa"/>
          </w:tcPr>
          <w:p w:rsidR="004B59F0" w:rsidRPr="00A94183" w:rsidRDefault="004B59F0" w:rsidP="00AC00A8">
            <w:pPr>
              <w:pStyle w:val="Normal6"/>
              <w:rPr>
                <w:szCs w:val="24"/>
              </w:rPr>
            </w:pPr>
            <w:r w:rsidRPr="00A94183">
              <w:rPr>
                <w:b/>
                <w:i/>
              </w:rPr>
              <w:t>–</w:t>
            </w:r>
            <w:r w:rsidRPr="00A94183">
              <w:rPr>
                <w:b/>
                <w:i/>
              </w:rPr>
              <w:tab/>
              <w:t xml:space="preserve">parimad tavad euro võltsimise ning sellega seotud kelmuste ja pettuste </w:t>
            </w:r>
            <w:r w:rsidRPr="00A94183">
              <w:rPr>
                <w:b/>
                <w:i/>
              </w:rPr>
              <w:lastRenderedPageBreak/>
              <w:t>ennetamiseks;</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15</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6 – lõige 1 – punkt a – taane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hRule="exac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tcPr>
          <w:p w:rsidR="004B59F0" w:rsidRPr="00A94183" w:rsidRDefault="004B59F0" w:rsidP="00AC00A8">
            <w:pPr>
              <w:pStyle w:val="ColumnHeading"/>
            </w:pPr>
            <w:r w:rsidRPr="00A94183">
              <w:t>Komisjoni ettepanek</w:t>
            </w:r>
          </w:p>
        </w:tc>
        <w:tc>
          <w:tcPr>
            <w:tcW w:w="4876" w:type="dxa"/>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w:t>
            </w:r>
            <w:r w:rsidRPr="00A94183">
              <w:tab/>
            </w:r>
            <w:r w:rsidRPr="00A94183">
              <w:rPr>
                <w:b/>
                <w:i/>
              </w:rPr>
              <w:t>arvutipõhiste</w:t>
            </w:r>
            <w:r w:rsidRPr="00A94183">
              <w:t xml:space="preserve"> tuvastusseadmete kasutamine;</w:t>
            </w:r>
          </w:p>
        </w:tc>
        <w:tc>
          <w:tcPr>
            <w:tcW w:w="4876" w:type="dxa"/>
          </w:tcPr>
          <w:p w:rsidR="004B59F0" w:rsidRPr="00A94183" w:rsidRDefault="004B59F0" w:rsidP="00AC00A8">
            <w:pPr>
              <w:pStyle w:val="Normal6"/>
            </w:pPr>
            <w:r w:rsidRPr="00A94183">
              <w:t>—</w:t>
            </w:r>
            <w:r w:rsidRPr="00A94183">
              <w:tab/>
              <w:t>tuvastusseadmete kasutamine;</w:t>
            </w:r>
          </w:p>
        </w:tc>
      </w:tr>
    </w:tbl>
    <w:p w:rsidR="004B59F0" w:rsidRPr="00A94183" w:rsidRDefault="004B59F0" w:rsidP="004B59F0">
      <w:pPr>
        <w:pStyle w:val="JustificationTitle"/>
      </w:pPr>
      <w:r w:rsidRPr="00A94183">
        <w:t>Selgitus</w:t>
      </w:r>
    </w:p>
    <w:p w:rsidR="004B59F0" w:rsidRPr="00A94183" w:rsidRDefault="004B59F0" w:rsidP="004B59F0">
      <w:pPr>
        <w:pStyle w:val="Normal12Italic"/>
      </w:pPr>
      <w:r w:rsidRPr="00A94183">
        <w:t>Tagamaks, et kõik võimalikud seadmed oleks hõlmatud.</w:t>
      </w:r>
    </w:p>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16</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Artikkel 6 – lõige 1 – punkt b – taane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w:t>
            </w:r>
            <w:r w:rsidRPr="00A94183">
              <w:tab/>
              <w:t xml:space="preserve">toetus koostööle tegevuses, kuhu on kaasatud vähemalt kaks riiki, kui sellist toetust ei </w:t>
            </w:r>
            <w:r w:rsidRPr="00A94183">
              <w:rPr>
                <w:b/>
                <w:i/>
              </w:rPr>
              <w:t>anta</w:t>
            </w:r>
            <w:r w:rsidRPr="00A94183">
              <w:t xml:space="preserve"> Euroopa institutsioonide või organite muude programmide raames;</w:t>
            </w:r>
          </w:p>
        </w:tc>
        <w:tc>
          <w:tcPr>
            <w:tcW w:w="4876" w:type="dxa"/>
          </w:tcPr>
          <w:p w:rsidR="004B59F0" w:rsidRPr="00A94183" w:rsidRDefault="004B59F0" w:rsidP="00AC00A8">
            <w:pPr>
              <w:pStyle w:val="Normal6"/>
              <w:rPr>
                <w:szCs w:val="24"/>
              </w:rPr>
            </w:pPr>
            <w:r w:rsidRPr="00A94183">
              <w:t>—</w:t>
            </w:r>
            <w:r w:rsidRPr="00A94183">
              <w:tab/>
              <w:t xml:space="preserve">toetus koostööle tegevuses, kuhu on kaasatud vähemalt kaks riiki, kui sellist toetust ei </w:t>
            </w:r>
            <w:r w:rsidRPr="00A94183">
              <w:rPr>
                <w:b/>
                <w:i/>
              </w:rPr>
              <w:t>saa anda</w:t>
            </w:r>
            <w:r w:rsidRPr="00A94183">
              <w:t xml:space="preserve"> Euroopa institutsioonide või organite muude programmide raames;</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17</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6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hRule="exac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tcPr>
          <w:p w:rsidR="004B59F0" w:rsidRPr="00A94183" w:rsidRDefault="004B59F0" w:rsidP="00AC00A8">
            <w:pPr>
              <w:pStyle w:val="ColumnHeading"/>
            </w:pPr>
            <w:r w:rsidRPr="00A94183">
              <w:t>Komisjoni ettepanek</w:t>
            </w:r>
          </w:p>
        </w:tc>
        <w:tc>
          <w:tcPr>
            <w:tcW w:w="4876" w:type="dxa"/>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3.</w:t>
            </w:r>
            <w:r w:rsidRPr="00A94183">
              <w:tab/>
              <w:t>Käesoleva artikli lõikes 2 osutatud rühmadesse võivad kuuluda osalised kolmandatest riikidest</w:t>
            </w:r>
            <w:r w:rsidRPr="00A94183">
              <w:rPr>
                <w:b/>
                <w:i/>
              </w:rPr>
              <w:t>, kui see on tähtis artiklis 2 sätestatud eesmärkide täitmiseks</w:t>
            </w:r>
            <w:r w:rsidRPr="00A94183">
              <w:t>.</w:t>
            </w:r>
          </w:p>
        </w:tc>
        <w:tc>
          <w:tcPr>
            <w:tcW w:w="4876" w:type="dxa"/>
          </w:tcPr>
          <w:p w:rsidR="004B59F0" w:rsidRPr="00A94183" w:rsidRDefault="004B59F0" w:rsidP="00AC00A8">
            <w:pPr>
              <w:pStyle w:val="Normal6"/>
            </w:pPr>
            <w:r w:rsidRPr="00A94183">
              <w:t>3.</w:t>
            </w:r>
            <w:r w:rsidRPr="00A94183">
              <w:tab/>
              <w:t>Käesoleva artikli lõikes 2 osutatud rühmadesse võivad kuuluda osalised kolmandatest riikidest.</w:t>
            </w:r>
          </w:p>
        </w:tc>
      </w:tr>
    </w:tbl>
    <w:p w:rsidR="004B59F0" w:rsidRPr="00A94183" w:rsidRDefault="004B59F0" w:rsidP="004B59F0">
      <w:pPr>
        <w:pStyle w:val="JustificationTitle"/>
      </w:pPr>
      <w:r w:rsidRPr="00A94183">
        <w:t>Selgitus</w:t>
      </w:r>
    </w:p>
    <w:p w:rsidR="004B59F0" w:rsidRPr="00A94183" w:rsidRDefault="004B59F0" w:rsidP="004B59F0">
      <w:pPr>
        <w:pStyle w:val="Normal12Italic"/>
      </w:pPr>
      <w:r w:rsidRPr="00A94183">
        <w:t>Artikli 2 (ja kogu määruse) eesmärke tuleb igal juhul täita.</w:t>
      </w:r>
    </w:p>
    <w:p w:rsidR="004B59F0" w:rsidRPr="00A94183" w:rsidRDefault="004B59F0" w:rsidP="004B59F0"/>
    <w:p w:rsidR="004B59F0" w:rsidRPr="00A94183" w:rsidRDefault="004B59F0" w:rsidP="004B59F0">
      <w:pPr>
        <w:rPr>
          <w:b/>
        </w:rPr>
      </w:pPr>
      <w:r w:rsidRPr="00A94183">
        <w:rPr>
          <w:b/>
        </w:rPr>
        <w:t>Muudatusettepanek</w:t>
      </w:r>
      <w:r w:rsidRPr="00A94183">
        <w:rPr>
          <w:b/>
        </w:rPr>
        <w:tab/>
        <w:t>18</w:t>
      </w:r>
    </w:p>
    <w:p w:rsidR="004B59F0" w:rsidRPr="00A94183" w:rsidRDefault="004B59F0" w:rsidP="004B59F0">
      <w:pPr>
        <w:pStyle w:val="NormalBold12b"/>
        <w:keepNext/>
      </w:pPr>
      <w:r w:rsidRPr="00A94183">
        <w:lastRenderedPageBreak/>
        <w:t>Ettepanek võtta vastu määrus</w:t>
      </w:r>
    </w:p>
    <w:p w:rsidR="004B59F0" w:rsidRPr="00A94183" w:rsidRDefault="004B59F0" w:rsidP="004B59F0">
      <w:pPr>
        <w:pStyle w:val="NormalBold"/>
      </w:pPr>
      <w:r w:rsidRPr="00A94183">
        <w:t>Artikkel 10 – lõige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1.</w:t>
            </w:r>
            <w:r w:rsidRPr="00A94183">
              <w:tab/>
            </w:r>
            <w:r w:rsidRPr="00A94183">
              <w:rPr>
                <w:b/>
                <w:i/>
              </w:rPr>
              <w:t>Programmi rakendatakse</w:t>
            </w:r>
            <w:r w:rsidRPr="00A94183">
              <w:t xml:space="preserve"> finantsmääruse artiklis 110 osutatud </w:t>
            </w:r>
            <w:r w:rsidRPr="00A94183">
              <w:rPr>
                <w:b/>
                <w:i/>
              </w:rPr>
              <w:t>tööprogrammide kaudu</w:t>
            </w:r>
            <w:r w:rsidRPr="00A94183">
              <w:t>.</w:t>
            </w:r>
          </w:p>
        </w:tc>
        <w:tc>
          <w:tcPr>
            <w:tcW w:w="4876" w:type="dxa"/>
          </w:tcPr>
          <w:p w:rsidR="004B59F0" w:rsidRPr="00A94183" w:rsidRDefault="004B59F0" w:rsidP="00AC00A8">
            <w:pPr>
              <w:pStyle w:val="Normal6"/>
              <w:rPr>
                <w:szCs w:val="24"/>
              </w:rPr>
            </w:pPr>
            <w:r w:rsidRPr="00A94183">
              <w:t>1.</w:t>
            </w:r>
            <w:r w:rsidRPr="00A94183">
              <w:tab/>
            </w:r>
            <w:r w:rsidRPr="00A94183">
              <w:rPr>
                <w:b/>
                <w:i/>
              </w:rPr>
              <w:t>Komisjonil õigus võtta kooskõlas artikliga 11 vastu delegeeritud õigusakte, et võtta vastu</w:t>
            </w:r>
            <w:r w:rsidRPr="00A94183">
              <w:t xml:space="preserve"> finantsmääruse artiklis 110 osutatud </w:t>
            </w:r>
            <w:r w:rsidRPr="00A94183">
              <w:rPr>
                <w:b/>
                <w:i/>
              </w:rPr>
              <w:t>tööprogramme</w:t>
            </w:r>
            <w:r w:rsidRPr="00A94183">
              <w:t>.</w:t>
            </w:r>
          </w:p>
        </w:tc>
      </w:tr>
    </w:tbl>
    <w:p w:rsidR="004B59F0" w:rsidRPr="00A94183" w:rsidRDefault="004B59F0" w:rsidP="004B59F0">
      <w:pPr>
        <w:pStyle w:val="AMNumberTabs"/>
        <w:keepNext/>
      </w:pPr>
      <w:r w:rsidRPr="00A94183">
        <w:t>Muudatusettepanek</w:t>
      </w:r>
      <w:r w:rsidRPr="00A94183">
        <w:tab/>
      </w:r>
      <w:r w:rsidRPr="00A94183">
        <w:tab/>
        <w:t>19</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keepNext/>
      </w:pPr>
      <w:r w:rsidRPr="00A94183">
        <w:t>Artikkel 11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2.</w:t>
            </w:r>
            <w:r w:rsidRPr="00A94183">
              <w:tab/>
              <w:t xml:space="preserve">Artikli 12 lõikes 2 osutatud õigus võtta vastu delegeeritud õigusakte antakse komisjonile ajavahemikuks 1. jaanuarist 2021 kuni 31. detsembrini 2027. </w:t>
            </w:r>
          </w:p>
        </w:tc>
        <w:tc>
          <w:tcPr>
            <w:tcW w:w="4876" w:type="dxa"/>
          </w:tcPr>
          <w:p w:rsidR="004B59F0" w:rsidRPr="00A94183" w:rsidRDefault="00E36253" w:rsidP="00AC00A8">
            <w:pPr>
              <w:pStyle w:val="Normal6"/>
              <w:rPr>
                <w:szCs w:val="24"/>
              </w:rPr>
            </w:pPr>
            <w:r w:rsidRPr="00A94183">
              <w:t>2.</w:t>
            </w:r>
            <w:r w:rsidR="004B59F0" w:rsidRPr="00A94183">
              <w:tab/>
              <w:t>Artikli</w:t>
            </w:r>
            <w:r w:rsidR="004B59F0" w:rsidRPr="00A94183">
              <w:rPr>
                <w:b/>
                <w:i/>
              </w:rPr>
              <w:t xml:space="preserve"> 10 lõikes 1 ja artikli</w:t>
            </w:r>
            <w:r w:rsidR="004B59F0" w:rsidRPr="00A94183">
              <w:t xml:space="preserve"> 12 lõikes 2 osutatud õigus võtta vastu delegeeritud õigusakte antakse komisjonile ajavahemikuks 1. jaanuarist 2021 kuni 31. detsembrini 2027.</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20</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keepNext/>
      </w:pPr>
      <w:r w:rsidRPr="00A94183">
        <w:t>Artikkel 11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3.</w:t>
            </w:r>
            <w:r w:rsidRPr="00A94183">
              <w:tab/>
              <w:t xml:space="preserve">Euroopa Parlament </w:t>
            </w:r>
            <w:r w:rsidRPr="00A94183">
              <w:rPr>
                <w:b/>
                <w:i/>
              </w:rPr>
              <w:t>või</w:t>
            </w:r>
            <w:r w:rsidRPr="00A94183">
              <w:t xml:space="preserve"> nõukogu võivad artikli 12 lõikes 2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c>
          <w:tcPr>
            <w:tcW w:w="4876" w:type="dxa"/>
          </w:tcPr>
          <w:p w:rsidR="004B59F0" w:rsidRPr="00A94183" w:rsidRDefault="00592C27" w:rsidP="00AC00A8">
            <w:pPr>
              <w:pStyle w:val="Normal6"/>
              <w:rPr>
                <w:szCs w:val="24"/>
              </w:rPr>
            </w:pPr>
            <w:r>
              <w:t>3.</w:t>
            </w:r>
            <w:r w:rsidR="004B59F0" w:rsidRPr="00A94183">
              <w:tab/>
              <w:t xml:space="preserve">Euroopa Parlament </w:t>
            </w:r>
            <w:r w:rsidR="004B59F0" w:rsidRPr="00A94183">
              <w:rPr>
                <w:b/>
                <w:i/>
              </w:rPr>
              <w:t>ja</w:t>
            </w:r>
            <w:r w:rsidR="004B59F0" w:rsidRPr="00A94183">
              <w:t xml:space="preserve"> nõukogu võivad</w:t>
            </w:r>
            <w:r w:rsidR="004B59F0" w:rsidRPr="00A94183">
              <w:rPr>
                <w:b/>
                <w:i/>
              </w:rPr>
              <w:t xml:space="preserve"> artikli 10 lõikes 1 ja</w:t>
            </w:r>
            <w:r w:rsidR="004B59F0" w:rsidRPr="00A94183">
              <w:t xml:space="preserve"> artikli 12 lõikes 2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bl>
    <w:p w:rsidR="004B59F0" w:rsidRPr="00A94183" w:rsidRDefault="004B59F0" w:rsidP="004B59F0">
      <w:pPr>
        <w:pStyle w:val="AMNumberTabs"/>
        <w:keepNext/>
      </w:pPr>
      <w:r w:rsidRPr="00A94183">
        <w:t>Muudatusettepanek</w:t>
      </w:r>
      <w:r w:rsidRPr="00A94183">
        <w:tab/>
      </w:r>
      <w:r w:rsidRPr="00A94183">
        <w:tab/>
        <w:t>21</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Artikkel 11 – lõige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4.</w:t>
            </w:r>
            <w:r w:rsidRPr="00A94183">
              <w:tab/>
              <w:t xml:space="preserve">Enne delegeeritud õigusakti vastuvõtmist konsulteerib komisjon kooskõlas 13. aprilli 2016. aasta institutsioonidevahelises parema õigusloome kokkuleppes sätestatud põhimõtetega iga liikmesriigi määratud </w:t>
            </w:r>
            <w:r w:rsidRPr="00A94183">
              <w:rPr>
                <w:b/>
                <w:i/>
              </w:rPr>
              <w:t>ekspertidega</w:t>
            </w:r>
            <w:r w:rsidRPr="00A94183">
              <w:t>.</w:t>
            </w:r>
          </w:p>
        </w:tc>
        <w:tc>
          <w:tcPr>
            <w:tcW w:w="4876" w:type="dxa"/>
          </w:tcPr>
          <w:p w:rsidR="004B59F0" w:rsidRPr="00A94183" w:rsidRDefault="004B59F0" w:rsidP="00AC00A8">
            <w:pPr>
              <w:pStyle w:val="Normal6"/>
              <w:rPr>
                <w:szCs w:val="24"/>
              </w:rPr>
            </w:pPr>
            <w:r w:rsidRPr="00A94183">
              <w:t>4.</w:t>
            </w:r>
            <w:r w:rsidRPr="00A94183">
              <w:tab/>
              <w:t xml:space="preserve">Enne delegeeritud õigusakti vastuvõtmist konsulteerib komisjon kooskõlas 13. aprilli 2016. aasta institutsioonidevahelises parema õigusloome kokkuleppes sätestatud põhimõtetega iga liikmesriigi määratud </w:t>
            </w:r>
            <w:r w:rsidRPr="00A94183">
              <w:rPr>
                <w:b/>
                <w:i/>
              </w:rPr>
              <w:t>ekspertide ning EKP ja Europoli esindajatega</w:t>
            </w:r>
            <w:r w:rsidRPr="00A94183">
              <w:t>.</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22</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12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3.</w:t>
            </w:r>
            <w:r w:rsidRPr="00A94183">
              <w:tab/>
              <w:t>Komisjon annab igal aastal Euroopa Parlamendile ja nõukogule teavet programmi tulemuste kohta, võttes arvesse käesoleva ettepaneku lisas esitatud kvantitatiivseid ja kvalitatiivseid näitajaid.</w:t>
            </w:r>
          </w:p>
        </w:tc>
        <w:tc>
          <w:tcPr>
            <w:tcW w:w="4876" w:type="dxa"/>
            <w:hideMark/>
          </w:tcPr>
          <w:p w:rsidR="004B59F0" w:rsidRPr="00A94183" w:rsidRDefault="004B59F0" w:rsidP="00AC00A8">
            <w:pPr>
              <w:pStyle w:val="Normal6"/>
            </w:pPr>
            <w:r w:rsidRPr="00A94183">
              <w:t>3.</w:t>
            </w:r>
            <w:r w:rsidRPr="00A94183">
              <w:tab/>
              <w:t>Komisjon annab igal aastal Euroopa Parlamendile ja nõukogule</w:t>
            </w:r>
            <w:r w:rsidRPr="00A94183">
              <w:rPr>
                <w:b/>
                <w:i/>
              </w:rPr>
              <w:t>, Euroopa Keskpangale, Europolile, Eurojustile ja Euroopa Prokuratuurile</w:t>
            </w:r>
            <w:r w:rsidRPr="00A94183">
              <w:t xml:space="preserve"> teavet programmi tulemuste kohta, võttes arvesse käesoleva ettepaneku lisas esitatud kvantitatiivseid ja kvalitatiivseid näitajaid.</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23</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13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3.</w:t>
            </w:r>
            <w:r w:rsidRPr="00A94183">
              <w:tab/>
              <w:t>Komisjon edastab hindamiste tulemused koos oma tähelepanekutega Euroopa Parlamendile, nõukogule ja</w:t>
            </w:r>
            <w:r w:rsidRPr="00A94183">
              <w:rPr>
                <w:b/>
                <w:i/>
              </w:rPr>
              <w:t xml:space="preserve"> Euroopa</w:t>
            </w:r>
            <w:r w:rsidRPr="00A94183">
              <w:t xml:space="preserve"> </w:t>
            </w:r>
            <w:r w:rsidRPr="00A94183">
              <w:rPr>
                <w:b/>
                <w:i/>
              </w:rPr>
              <w:t>Keskpangale</w:t>
            </w:r>
            <w:r w:rsidRPr="00A94183">
              <w:t>.</w:t>
            </w:r>
          </w:p>
        </w:tc>
        <w:tc>
          <w:tcPr>
            <w:tcW w:w="4876" w:type="dxa"/>
            <w:hideMark/>
          </w:tcPr>
          <w:p w:rsidR="004B59F0" w:rsidRPr="00A94183" w:rsidRDefault="004B59F0" w:rsidP="00AC00A8">
            <w:pPr>
              <w:pStyle w:val="Normal6"/>
            </w:pPr>
            <w:r w:rsidRPr="00A94183">
              <w:t>3.</w:t>
            </w:r>
            <w:r w:rsidRPr="00A94183">
              <w:tab/>
              <w:t>Komisjon edastab hindamiste tulemused koos oma tähelepanekutega Euroopa Parlamendile, nõukogule</w:t>
            </w:r>
            <w:r w:rsidRPr="00A94183">
              <w:rPr>
                <w:b/>
                <w:i/>
              </w:rPr>
              <w:t>, Euroopa Keskpangale, Europolile, Eurojustile</w:t>
            </w:r>
            <w:r w:rsidRPr="00A94183">
              <w:t xml:space="preserve"> ja </w:t>
            </w:r>
            <w:r w:rsidRPr="00A94183">
              <w:rPr>
                <w:b/>
                <w:i/>
              </w:rPr>
              <w:t>Euroopa</w:t>
            </w:r>
            <w:r w:rsidRPr="00A94183">
              <w:t xml:space="preserve"> </w:t>
            </w:r>
            <w:r w:rsidRPr="00A94183">
              <w:rPr>
                <w:b/>
                <w:i/>
              </w:rPr>
              <w:t>Prokuratuurile</w:t>
            </w:r>
            <w:r w:rsidRPr="00A94183">
              <w:t>.</w:t>
            </w:r>
          </w:p>
        </w:tc>
      </w:tr>
    </w:tbl>
    <w:p w:rsidR="004B59F0" w:rsidRPr="00A94183" w:rsidRDefault="004B59F0" w:rsidP="004B59F0"/>
    <w:p w:rsidR="004B59F0" w:rsidRPr="00A94183" w:rsidRDefault="004B59F0" w:rsidP="004B59F0">
      <w:pPr>
        <w:pStyle w:val="AMNumberTabs"/>
      </w:pPr>
      <w:r w:rsidRPr="00A94183">
        <w:t>Muudatusettepanek</w:t>
      </w:r>
      <w:r w:rsidRPr="00A94183">
        <w:tab/>
      </w:r>
      <w:r w:rsidRPr="00A94183">
        <w:tab/>
        <w:t>24</w:t>
      </w:r>
    </w:p>
    <w:p w:rsidR="004B59F0" w:rsidRPr="00A94183" w:rsidRDefault="004B59F0" w:rsidP="004B59F0">
      <w:pPr>
        <w:pStyle w:val="NormalBold12b"/>
      </w:pPr>
      <w:r w:rsidRPr="00A94183">
        <w:t>Ettepanek võtta vastu määrus</w:t>
      </w:r>
    </w:p>
    <w:p w:rsidR="004B59F0" w:rsidRPr="00A94183" w:rsidRDefault="004B59F0" w:rsidP="004B59F0">
      <w:pPr>
        <w:pStyle w:val="NormalBold"/>
      </w:pPr>
      <w:r w:rsidRPr="00A94183">
        <w:t>Artikkel 14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59F0" w:rsidRPr="00A94183" w:rsidTr="00AC00A8">
        <w:trPr>
          <w:trHeight w:val="240"/>
          <w:jc w:val="center"/>
        </w:trPr>
        <w:tc>
          <w:tcPr>
            <w:tcW w:w="9752" w:type="dxa"/>
            <w:gridSpan w:val="2"/>
          </w:tcPr>
          <w:p w:rsidR="004B59F0" w:rsidRPr="00A94183" w:rsidRDefault="004B59F0" w:rsidP="00AC00A8"/>
        </w:tc>
      </w:tr>
      <w:tr w:rsidR="004B59F0" w:rsidRPr="00A94183" w:rsidTr="00AC00A8">
        <w:trPr>
          <w:trHeight w:val="240"/>
          <w:jc w:val="center"/>
        </w:trPr>
        <w:tc>
          <w:tcPr>
            <w:tcW w:w="4876" w:type="dxa"/>
            <w:hideMark/>
          </w:tcPr>
          <w:p w:rsidR="004B59F0" w:rsidRPr="00A94183" w:rsidRDefault="004B59F0" w:rsidP="00AC00A8">
            <w:pPr>
              <w:pStyle w:val="ColumnHeading"/>
            </w:pPr>
            <w:r w:rsidRPr="00A94183">
              <w:lastRenderedPageBreak/>
              <w:t>Komisjoni ettepanek</w:t>
            </w:r>
          </w:p>
        </w:tc>
        <w:tc>
          <w:tcPr>
            <w:tcW w:w="4876" w:type="dxa"/>
            <w:hideMark/>
          </w:tcPr>
          <w:p w:rsidR="004B59F0" w:rsidRPr="00A94183" w:rsidRDefault="004B59F0" w:rsidP="00AC00A8">
            <w:pPr>
              <w:pStyle w:val="ColumnHeading"/>
            </w:pPr>
            <w:r w:rsidRPr="00A94183">
              <w:t>Muudatusettepanek</w:t>
            </w:r>
          </w:p>
        </w:tc>
      </w:tr>
      <w:tr w:rsidR="004B59F0" w:rsidRPr="00A94183" w:rsidTr="00AC00A8">
        <w:trPr>
          <w:jc w:val="center"/>
        </w:trPr>
        <w:tc>
          <w:tcPr>
            <w:tcW w:w="4876" w:type="dxa"/>
            <w:hideMark/>
          </w:tcPr>
          <w:p w:rsidR="004B59F0" w:rsidRPr="00A94183" w:rsidRDefault="004B59F0" w:rsidP="00AC00A8">
            <w:pPr>
              <w:pStyle w:val="Normal6"/>
            </w:pPr>
            <w:r w:rsidRPr="00A94183">
              <w:t>1.</w:t>
            </w:r>
            <w:r w:rsidRPr="00A94183">
              <w:tab/>
              <w:t>Liidu rahaliste vahendite saajad tunnistavad liidu rahaliste vahendite päritolu ja tagavad selle nähtavuse (eriti meetmeid ja nende tulemusi reklaamides), andes eri sihtrühmadele, sealhulgas meediale ja üldsusele selle kohta sidusat, tulemuslikku ja proportsionaalset suunatud teavet.</w:t>
            </w:r>
          </w:p>
        </w:tc>
        <w:tc>
          <w:tcPr>
            <w:tcW w:w="4876" w:type="dxa"/>
            <w:hideMark/>
          </w:tcPr>
          <w:p w:rsidR="004B59F0" w:rsidRPr="00A94183" w:rsidRDefault="004B59F0" w:rsidP="00AC00A8">
            <w:pPr>
              <w:pStyle w:val="Normal6"/>
            </w:pPr>
            <w:r w:rsidRPr="00A94183">
              <w:t>1.</w:t>
            </w:r>
            <w:r w:rsidRPr="00A94183">
              <w:tab/>
              <w:t xml:space="preserve">Liidu rahaliste vahendite saajad tunnistavad liidu rahaliste vahendite päritolu ja tagavad selle </w:t>
            </w:r>
            <w:r w:rsidRPr="00A94183">
              <w:rPr>
                <w:b/>
                <w:i/>
              </w:rPr>
              <w:t xml:space="preserve">läbipaistvuse ja </w:t>
            </w:r>
            <w:r w:rsidRPr="00A94183">
              <w:t>nähtavuse (eriti meetmeid ja nende tulemusi reklaamides), andes eri sihtrühmadele, sealhulgas meediale ja üldsusele selle kohta sidusat, tulemuslikku ja proportsionaalset suunatud teavet.</w:t>
            </w:r>
          </w:p>
        </w:tc>
      </w:tr>
    </w:tbl>
    <w:p w:rsidR="004B59F0" w:rsidRPr="00A94183" w:rsidRDefault="004B59F0" w:rsidP="004B59F0">
      <w:pPr>
        <w:pStyle w:val="AMNumberTabs"/>
        <w:keepNext/>
      </w:pPr>
      <w:r w:rsidRPr="00A94183">
        <w:t>Muudatusettepanek</w:t>
      </w:r>
      <w:r w:rsidRPr="00A94183">
        <w:tab/>
      </w:r>
      <w:r w:rsidRPr="00A94183">
        <w:tab/>
        <w:t>25</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I lisa – lõik 1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Programmi üle teostatakse hoolikat järelevalvet, tuginedes näitajatele, mille eesmärk on mõõta programmi üld- ja erieesmärkide saavutamise ulatust</w:t>
            </w:r>
            <w:r w:rsidR="007A3219" w:rsidRPr="00A94183">
              <w:t xml:space="preserve"> ning minimeerida halduskoormust ja -kulusid</w:t>
            </w:r>
            <w:r w:rsidRPr="00A94183">
              <w:t>. Sellel eesmärgil kogutakse andmeid järgmiste põhinäitajate jaoks:</w:t>
            </w:r>
          </w:p>
        </w:tc>
        <w:tc>
          <w:tcPr>
            <w:tcW w:w="4876" w:type="dxa"/>
          </w:tcPr>
          <w:p w:rsidR="004B59F0" w:rsidRPr="00A94183" w:rsidRDefault="004B59F0" w:rsidP="00AC00A8">
            <w:pPr>
              <w:pStyle w:val="Normal6"/>
              <w:rPr>
                <w:szCs w:val="24"/>
              </w:rPr>
            </w:pPr>
            <w:r w:rsidRPr="00A94183">
              <w:t xml:space="preserve">Programmi üle teostatakse hoolikat järelevalvet, tuginedes näitajatele, mille eesmärk on mõõta </w:t>
            </w:r>
            <w:r w:rsidRPr="00A94183">
              <w:rPr>
                <w:b/>
                <w:i/>
              </w:rPr>
              <w:t xml:space="preserve">minimaalse halduskoormuse ja kuludega </w:t>
            </w:r>
            <w:r w:rsidRPr="00A94183">
              <w:t>programmi üld- ja erieesmärkide saavutamise ulatust. Sellel eesmärgil kogutakse andmeid järgmiste põhinäitajate jaoks:</w:t>
            </w:r>
          </w:p>
        </w:tc>
      </w:tr>
    </w:tbl>
    <w:p w:rsidR="004B59F0" w:rsidRPr="00A94183" w:rsidRDefault="004B59F0" w:rsidP="004B59F0">
      <w:pPr>
        <w:pStyle w:val="AMNumberTabs"/>
        <w:keepNext/>
      </w:pPr>
      <w:r w:rsidRPr="00A94183">
        <w:t>Muudatusettepanek</w:t>
      </w:r>
      <w:r w:rsidRPr="00A94183">
        <w:tab/>
      </w:r>
      <w:r w:rsidRPr="00A94183">
        <w:tab/>
        <w:t>26</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I lisa – lõik 1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rPr>
                <w:b/>
                <w:bCs/>
                <w:i/>
                <w:iCs/>
              </w:rPr>
            </w:pPr>
            <w:r w:rsidRPr="00A94183">
              <w:t>a)</w:t>
            </w:r>
            <w:r w:rsidRPr="00A94183">
              <w:tab/>
            </w:r>
            <w:r w:rsidRPr="00A94183">
              <w:rPr>
                <w:b/>
                <w:bCs/>
                <w:i/>
                <w:iCs/>
              </w:rPr>
              <w:t>avastatud võltseurode arv;</w:t>
            </w:r>
          </w:p>
        </w:tc>
        <w:tc>
          <w:tcPr>
            <w:tcW w:w="4876" w:type="dxa"/>
          </w:tcPr>
          <w:p w:rsidR="004B59F0" w:rsidRPr="00A94183" w:rsidRDefault="004B59F0" w:rsidP="00AC00A8">
            <w:pPr>
              <w:pStyle w:val="Normal6"/>
              <w:rPr>
                <w:b/>
                <w:bCs/>
                <w:i/>
                <w:iCs/>
                <w:szCs w:val="24"/>
              </w:rPr>
            </w:pPr>
            <w:r w:rsidRPr="00A94183">
              <w:t>a)</w:t>
            </w:r>
            <w:r w:rsidRPr="00A94183">
              <w:tab/>
            </w:r>
            <w:r w:rsidRPr="00A94183">
              <w:rPr>
                <w:b/>
                <w:bCs/>
                <w:i/>
                <w:iCs/>
              </w:rPr>
              <w:t>liikmesriikide ja kolmandate riikide arv, kelle pädevad asutused on programmi raames võetud meetmetes osalenud;</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27</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I lisa – lõik 1 – punkt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b)</w:t>
            </w:r>
            <w:r w:rsidRPr="00A94183">
              <w:tab/>
            </w:r>
            <w:r w:rsidRPr="00A94183">
              <w:rPr>
                <w:b/>
                <w:i/>
              </w:rPr>
              <w:t>suletud ebaseaduslike võltsimisvabrikute arv ning</w:t>
            </w:r>
          </w:p>
        </w:tc>
        <w:tc>
          <w:tcPr>
            <w:tcW w:w="4876" w:type="dxa"/>
          </w:tcPr>
          <w:p w:rsidR="004B59F0" w:rsidRPr="00A94183" w:rsidRDefault="004B59F0" w:rsidP="00AC00A8">
            <w:pPr>
              <w:pStyle w:val="Normal6"/>
              <w:rPr>
                <w:szCs w:val="24"/>
              </w:rPr>
            </w:pPr>
            <w:r w:rsidRPr="00A94183">
              <w:t>b)</w:t>
            </w:r>
            <w:r w:rsidRPr="00A94183">
              <w:tab/>
            </w:r>
            <w:r w:rsidRPr="00A94183">
              <w:rPr>
                <w:b/>
                <w:i/>
              </w:rPr>
              <w:t>programmi raames võetud meetmetes osalenute arv ja rahulolu määr, samuti muu võimalik tagasiside meetmete kasulikkuse kohta;</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28</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I lisa – punkt 1 – punkt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rPr>
                <w:b/>
                <w:bCs/>
                <w:i/>
                <w:iCs/>
              </w:rPr>
            </w:pPr>
            <w:r w:rsidRPr="00A94183">
              <w:t>c)</w:t>
            </w:r>
            <w:r w:rsidRPr="00A94183">
              <w:tab/>
            </w:r>
            <w:r w:rsidRPr="00A94183">
              <w:rPr>
                <w:b/>
                <w:i/>
              </w:rPr>
              <w:t>programmi kaudu rahastatud meetmetes osalejatelt saadud tagasiside.</w:t>
            </w:r>
          </w:p>
        </w:tc>
        <w:tc>
          <w:tcPr>
            <w:tcW w:w="4876" w:type="dxa"/>
          </w:tcPr>
          <w:p w:rsidR="004B59F0" w:rsidRPr="00A94183" w:rsidRDefault="004B59F0" w:rsidP="00AC00A8">
            <w:pPr>
              <w:pStyle w:val="Normal6"/>
              <w:rPr>
                <w:b/>
                <w:bCs/>
                <w:i/>
                <w:iCs/>
                <w:szCs w:val="24"/>
              </w:rPr>
            </w:pPr>
            <w:r w:rsidRPr="00A94183">
              <w:t>c)</w:t>
            </w:r>
            <w:r w:rsidRPr="00A94183">
              <w:tab/>
            </w:r>
            <w:r w:rsidRPr="00A94183">
              <w:rPr>
                <w:b/>
                <w:i/>
              </w:rPr>
              <w:t>riikide pädevatelt asutustelt saadud teave selle kohta, kui palju on otseselt tänu programmile paranenud koostööga avastatud võltsitud eurosid ja suletud ebaseaduslikke võltsimisvabrikuid;</w:t>
            </w:r>
          </w:p>
        </w:tc>
      </w:tr>
    </w:tbl>
    <w:p w:rsidR="004B59F0" w:rsidRPr="00A94183" w:rsidRDefault="004B59F0" w:rsidP="004B59F0"/>
    <w:p w:rsidR="004B59F0" w:rsidRPr="00A94183" w:rsidRDefault="004B59F0" w:rsidP="004B59F0">
      <w:pPr>
        <w:pStyle w:val="AMNumberTabs"/>
        <w:keepNext/>
      </w:pPr>
      <w:r w:rsidRPr="00A94183">
        <w:t>Muudatusettepanek</w:t>
      </w:r>
      <w:r w:rsidRPr="00A94183">
        <w:tab/>
      </w:r>
      <w:r w:rsidRPr="00A94183">
        <w:tab/>
        <w:t>29</w:t>
      </w:r>
    </w:p>
    <w:p w:rsidR="004B59F0" w:rsidRPr="00A94183" w:rsidRDefault="004B59F0" w:rsidP="004B59F0">
      <w:pPr>
        <w:pStyle w:val="NormalBold12b"/>
        <w:keepNext/>
      </w:pPr>
      <w:r w:rsidRPr="00A94183">
        <w:t>Ettepanek võtta vastu määrus</w:t>
      </w:r>
    </w:p>
    <w:p w:rsidR="004B59F0" w:rsidRPr="00A94183" w:rsidRDefault="004B59F0" w:rsidP="004B59F0">
      <w:pPr>
        <w:pStyle w:val="NormalBold"/>
      </w:pPr>
      <w:r w:rsidRPr="00A94183">
        <w:t>I lisa – lõik 2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59F0" w:rsidRPr="00A94183" w:rsidTr="00AC00A8">
        <w:trPr>
          <w:jc w:val="center"/>
        </w:trPr>
        <w:tc>
          <w:tcPr>
            <w:tcW w:w="9752" w:type="dxa"/>
            <w:gridSpan w:val="2"/>
          </w:tcPr>
          <w:p w:rsidR="004B59F0" w:rsidRPr="00A94183" w:rsidRDefault="004B59F0" w:rsidP="00AC00A8">
            <w:pPr>
              <w:keepNext/>
            </w:pPr>
          </w:p>
        </w:tc>
      </w:tr>
      <w:tr w:rsidR="004B59F0" w:rsidRPr="00A94183" w:rsidTr="00AC00A8">
        <w:trPr>
          <w:jc w:val="center"/>
        </w:trPr>
        <w:tc>
          <w:tcPr>
            <w:tcW w:w="4876" w:type="dxa"/>
          </w:tcPr>
          <w:p w:rsidR="004B59F0" w:rsidRPr="00A94183" w:rsidRDefault="004B59F0" w:rsidP="00AC00A8">
            <w:pPr>
              <w:pStyle w:val="ColumnHeading"/>
              <w:keepNext/>
            </w:pPr>
            <w:r w:rsidRPr="00A94183">
              <w:t>Komisjoni ettepanek</w:t>
            </w:r>
          </w:p>
        </w:tc>
        <w:tc>
          <w:tcPr>
            <w:tcW w:w="4876" w:type="dxa"/>
          </w:tcPr>
          <w:p w:rsidR="004B59F0" w:rsidRPr="00A94183" w:rsidRDefault="004B59F0" w:rsidP="00AC00A8">
            <w:pPr>
              <w:pStyle w:val="ColumnHeading"/>
              <w:keepNext/>
            </w:pPr>
            <w:r w:rsidRPr="00A94183">
              <w:t>Muudatusettepanek</w:t>
            </w:r>
          </w:p>
        </w:tc>
      </w:tr>
      <w:tr w:rsidR="004B59F0" w:rsidRPr="00A94183" w:rsidTr="00AC00A8">
        <w:trPr>
          <w:jc w:val="center"/>
        </w:trPr>
        <w:tc>
          <w:tcPr>
            <w:tcW w:w="4876" w:type="dxa"/>
          </w:tcPr>
          <w:p w:rsidR="004B59F0" w:rsidRPr="00A94183" w:rsidRDefault="004B59F0" w:rsidP="00AC00A8">
            <w:pPr>
              <w:pStyle w:val="Normal6"/>
            </w:pPr>
            <w:r w:rsidRPr="00A94183">
              <w:t xml:space="preserve">Andmeid ja teavet peamiste tulemusnäitajate kohta koguvad igal aastal </w:t>
            </w:r>
            <w:r w:rsidRPr="00A94183">
              <w:rPr>
                <w:b/>
                <w:i/>
              </w:rPr>
              <w:t>järgmised asjaosalised</w:t>
            </w:r>
            <w:r w:rsidRPr="00592C27">
              <w:rPr>
                <w:b/>
                <w:i/>
              </w:rPr>
              <w:t>:</w:t>
            </w:r>
          </w:p>
        </w:tc>
        <w:tc>
          <w:tcPr>
            <w:tcW w:w="4876" w:type="dxa"/>
          </w:tcPr>
          <w:p w:rsidR="004B59F0" w:rsidRPr="00A94183" w:rsidRDefault="004B59F0" w:rsidP="00E36253">
            <w:pPr>
              <w:pStyle w:val="Normal6"/>
              <w:rPr>
                <w:szCs w:val="24"/>
              </w:rPr>
            </w:pPr>
            <w:r w:rsidRPr="00A94183">
              <w:t xml:space="preserve">Andmeid ja teavet peamiste tulemusnäitajate kohta koguvad igal aastal </w:t>
            </w:r>
            <w:r w:rsidRPr="00A94183">
              <w:rPr>
                <w:b/>
                <w:i/>
              </w:rPr>
              <w:t>komisjon ja programmi toetusesaajad</w:t>
            </w:r>
            <w:r w:rsidR="00E36253" w:rsidRPr="00A94183">
              <w:t>.</w:t>
            </w:r>
          </w:p>
        </w:tc>
      </w:tr>
    </w:tbl>
    <w:p w:rsidR="00E365E1" w:rsidRPr="00A94183" w:rsidRDefault="00E365E1" w:rsidP="004B59F0">
      <w:bookmarkStart w:id="1" w:name="TextBodyEnd"/>
      <w:bookmarkEnd w:id="1"/>
    </w:p>
    <w:sectPr w:rsidR="00E365E1" w:rsidRPr="00A94183" w:rsidSect="003E741D">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27" w:rsidRPr="003E741D" w:rsidRDefault="00096927">
      <w:r w:rsidRPr="003E741D">
        <w:separator/>
      </w:r>
    </w:p>
  </w:endnote>
  <w:endnote w:type="continuationSeparator" w:id="0">
    <w:p w:rsidR="00096927" w:rsidRPr="003E741D" w:rsidRDefault="00096927">
      <w:r w:rsidRPr="003E74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3" w:rsidRDefault="00A9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1D" w:rsidRDefault="003E741D" w:rsidP="00A94183">
    <w:pPr>
      <w:pStyle w:val="Footer"/>
      <w:tabs>
        <w:tab w:val="clear" w:pos="9639"/>
        <w:tab w:val="right" w:pos="9184"/>
      </w:tabs>
    </w:pPr>
  </w:p>
  <w:p w:rsidR="00A94183" w:rsidRDefault="00A94183" w:rsidP="00A94183">
    <w:pPr>
      <w:pStyle w:val="Footer"/>
      <w:pBdr>
        <w:top w:val="single" w:sz="2" w:space="1" w:color="000000"/>
      </w:pBdr>
      <w:tabs>
        <w:tab w:val="clear" w:pos="9639"/>
        <w:tab w:val="right" w:pos="9184"/>
      </w:tabs>
    </w:pPr>
    <w:r>
      <w:tab/>
    </w:r>
    <w:r w:rsidRPr="00A94183">
      <w:rPr>
        <w:rStyle w:val="HideTWBExt"/>
      </w:rPr>
      <w:t>&lt;NuPE&gt;</w:t>
    </w:r>
    <w:r>
      <w:t>PE635.325</w:t>
    </w:r>
    <w:r w:rsidRPr="00A94183">
      <w:rPr>
        <w:rStyle w:val="HideTWBExt"/>
      </w:rPr>
      <w:t>&lt;/NuPE&gt;</w:t>
    </w:r>
    <w:r>
      <w:t xml:space="preserve">/ </w:t>
    </w:r>
    <w:r>
      <w:fldChar w:fldCharType="begin"/>
    </w:r>
    <w:r>
      <w:instrText xml:space="preserve"> PAGE  \* MERGEFORMAT </w:instrText>
    </w:r>
    <w:r>
      <w:fldChar w:fldCharType="separate"/>
    </w:r>
    <w:r w:rsidR="00592C27">
      <w:rPr>
        <w:noProof/>
      </w:rPr>
      <w:t>1</w:t>
    </w:r>
    <w:r>
      <w:fldChar w:fldCharType="end"/>
    </w:r>
  </w:p>
  <w:p w:rsidR="00A94183" w:rsidRPr="00A94183" w:rsidRDefault="00A94183" w:rsidP="00A9418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3" w:rsidRDefault="00A9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27" w:rsidRPr="003E741D" w:rsidRDefault="00096927">
      <w:r w:rsidRPr="003E741D">
        <w:separator/>
      </w:r>
    </w:p>
  </w:footnote>
  <w:footnote w:type="continuationSeparator" w:id="0">
    <w:p w:rsidR="00096927" w:rsidRPr="003E741D" w:rsidRDefault="00096927">
      <w:r w:rsidRPr="003E74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3" w:rsidRDefault="00A9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3" w:rsidRDefault="00A9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3" w:rsidRDefault="00A9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9/2019"/>
    <w:docVar w:name="dvlangue" w:val="ET"/>
    <w:docVar w:name="dvnumam" w:val="29"/>
    <w:docVar w:name="dvpe" w:val="625.589"/>
    <w:docVar w:name="dvrapporteur" w:val="Raportöör: "/>
    <w:docVar w:name="dvtitre" w:val="Euroopa Parlamendi .... 2019. aasta seadusandlik resolutsioon ettepaneku kohta võtta vastu Euroopa Parlamendi ja nõukogu määrus, millega luuakse vahetus-, abi- ja koolitusprogramm euro kaitsmiseks võltsimise eest perioodil 2021–2027 (programm „Perikles IV“) (COM(2018)0369 – C8-0240/2018 – 2018/0194(COD))"/>
    <w:docVar w:name="TA_Comm_A5Nr" w:val="A8-0069/2019"/>
    <w:docVar w:name="TA_Comm_Langue" w:val="ET"/>
    <w:docVar w:name="TA_Comm_NrAM" w:val="001-029"/>
    <w:docVar w:name="TA_Type" w:val="TA_COMM"/>
  </w:docVars>
  <w:rsids>
    <w:rsidRoot w:val="00096927"/>
    <w:rsid w:val="00002272"/>
    <w:rsid w:val="000677B9"/>
    <w:rsid w:val="00096927"/>
    <w:rsid w:val="000E7DD9"/>
    <w:rsid w:val="0010095E"/>
    <w:rsid w:val="00125B37"/>
    <w:rsid w:val="002767FF"/>
    <w:rsid w:val="002B5493"/>
    <w:rsid w:val="00361C00"/>
    <w:rsid w:val="00395FA1"/>
    <w:rsid w:val="003E15D4"/>
    <w:rsid w:val="003E741D"/>
    <w:rsid w:val="00411CCE"/>
    <w:rsid w:val="0041666E"/>
    <w:rsid w:val="00421060"/>
    <w:rsid w:val="00494A28"/>
    <w:rsid w:val="004B59F0"/>
    <w:rsid w:val="0050519A"/>
    <w:rsid w:val="005072A1"/>
    <w:rsid w:val="00514517"/>
    <w:rsid w:val="00592C27"/>
    <w:rsid w:val="006037C0"/>
    <w:rsid w:val="00680577"/>
    <w:rsid w:val="006F74FA"/>
    <w:rsid w:val="00731ADD"/>
    <w:rsid w:val="00734777"/>
    <w:rsid w:val="00751A4A"/>
    <w:rsid w:val="00756632"/>
    <w:rsid w:val="007A3219"/>
    <w:rsid w:val="007D1690"/>
    <w:rsid w:val="007F076A"/>
    <w:rsid w:val="00865F67"/>
    <w:rsid w:val="00881A7B"/>
    <w:rsid w:val="008840E5"/>
    <w:rsid w:val="008C2AC6"/>
    <w:rsid w:val="009509D8"/>
    <w:rsid w:val="00981893"/>
    <w:rsid w:val="00A4678D"/>
    <w:rsid w:val="00A60C79"/>
    <w:rsid w:val="00A94183"/>
    <w:rsid w:val="00AF3B82"/>
    <w:rsid w:val="00B558F0"/>
    <w:rsid w:val="00BC0E7C"/>
    <w:rsid w:val="00BD7BD8"/>
    <w:rsid w:val="00C05BFE"/>
    <w:rsid w:val="00C23CD4"/>
    <w:rsid w:val="00C941CB"/>
    <w:rsid w:val="00C942DC"/>
    <w:rsid w:val="00CC2357"/>
    <w:rsid w:val="00D058B8"/>
    <w:rsid w:val="00D834A0"/>
    <w:rsid w:val="00D91E21"/>
    <w:rsid w:val="00E36253"/>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DFBAD"/>
  <w15:chartTrackingRefBased/>
  <w15:docId w15:val="{08E24DCD-7D13-46B4-8751-D60F5E5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4B59F0"/>
    <w:rPr>
      <w:sz w:val="24"/>
      <w:lang w:val="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4B59F0"/>
    <w:rPr>
      <w:b/>
      <w:sz w:val="24"/>
      <w:lang w:val="et-EE"/>
    </w:rPr>
  </w:style>
  <w:style w:type="paragraph" w:customStyle="1" w:styleId="Normal12Italic">
    <w:name w:val="Normal12Italic"/>
    <w:basedOn w:val="Normal"/>
    <w:rsid w:val="004B59F0"/>
    <w:pPr>
      <w:spacing w:before="240"/>
    </w:pPr>
    <w:rPr>
      <w:i/>
    </w:rPr>
  </w:style>
  <w:style w:type="paragraph" w:customStyle="1" w:styleId="JustificationTitle">
    <w:name w:val="JustificationTitle"/>
    <w:basedOn w:val="Normal"/>
    <w:next w:val="Normal12"/>
    <w:rsid w:val="004B59F0"/>
    <w:pPr>
      <w:keepNext/>
      <w:spacing w:before="240"/>
      <w:jc w:val="center"/>
    </w:pPr>
    <w:rPr>
      <w:i/>
    </w:rPr>
  </w:style>
  <w:style w:type="paragraph" w:customStyle="1" w:styleId="ColumnHeading">
    <w:name w:val="ColumnHeading"/>
    <w:basedOn w:val="Normal"/>
    <w:rsid w:val="004B59F0"/>
    <w:pPr>
      <w:spacing w:after="240"/>
      <w:jc w:val="center"/>
    </w:pPr>
    <w:rPr>
      <w:i/>
    </w:rPr>
  </w:style>
  <w:style w:type="paragraph" w:customStyle="1" w:styleId="AMNumberTabs">
    <w:name w:val="AMNumberTabs"/>
    <w:basedOn w:val="Normal"/>
    <w:rsid w:val="004B59F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B59F0"/>
    <w:pPr>
      <w:spacing w:before="240"/>
    </w:pPr>
    <w:rPr>
      <w:b/>
    </w:rPr>
  </w:style>
  <w:style w:type="paragraph" w:styleId="BalloonText">
    <w:name w:val="Balloon Text"/>
    <w:basedOn w:val="Normal"/>
    <w:link w:val="BalloonTextChar"/>
    <w:rsid w:val="00E36253"/>
    <w:rPr>
      <w:rFonts w:ascii="Segoe UI" w:hAnsi="Segoe UI" w:cs="Segoe UI"/>
      <w:sz w:val="18"/>
      <w:szCs w:val="18"/>
    </w:rPr>
  </w:style>
  <w:style w:type="character" w:customStyle="1" w:styleId="BalloonTextChar">
    <w:name w:val="Balloon Text Char"/>
    <w:basedOn w:val="DefaultParagraphFont"/>
    <w:link w:val="BalloonText"/>
    <w:rsid w:val="00E36253"/>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2383</Words>
  <Characters>17641</Characters>
  <Application>Microsoft Office Word</Application>
  <DocSecurity>0</DocSecurity>
  <Lines>705</Lines>
  <Paragraphs>250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2019-02-12T08:29:00Z</dcterms:created>
  <dcterms:modified xsi:type="dcterms:W3CDTF">2019-02-12T08:29:00Z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A8-0069_001-029</vt:lpwstr>
  </property>
  <property fmtid="{D5CDD505-2E9C-101B-9397-08002B2CF9AE}" pid="4" name="&lt;Type&gt;">
    <vt:lpwstr>AM</vt:lpwstr>
  </property>
</Properties>
</file>