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07A6E" w:rsidRPr="00F13AB0" w14:paraId="02505887" w14:textId="77777777" w:rsidTr="00C75902">
        <w:trPr>
          <w:trHeight w:hRule="exact" w:val="1418"/>
        </w:trPr>
        <w:tc>
          <w:tcPr>
            <w:tcW w:w="6804" w:type="dxa"/>
            <w:shd w:val="clear" w:color="auto" w:fill="auto"/>
            <w:vAlign w:val="center"/>
          </w:tcPr>
          <w:p w14:paraId="1AD31B8D" w14:textId="77777777" w:rsidR="00807A6E" w:rsidRPr="00F13AB0" w:rsidRDefault="008E08D6" w:rsidP="00C75902">
            <w:pPr>
              <w:pStyle w:val="EPName"/>
            </w:pPr>
            <w:r w:rsidRPr="00F13AB0">
              <w:t>Evropski parlament</w:t>
            </w:r>
          </w:p>
          <w:p w14:paraId="2FD49ED4" w14:textId="77777777" w:rsidR="00807A6E" w:rsidRPr="00F13AB0" w:rsidRDefault="00645C2E" w:rsidP="00645C2E">
            <w:pPr>
              <w:pStyle w:val="EPTerm"/>
              <w:rPr>
                <w:rStyle w:val="HideTWBExt"/>
                <w:noProof w:val="0"/>
                <w:vanish w:val="0"/>
                <w:color w:val="auto"/>
              </w:rPr>
            </w:pPr>
            <w:r w:rsidRPr="00F13AB0">
              <w:t>2014-2019</w:t>
            </w:r>
          </w:p>
        </w:tc>
        <w:tc>
          <w:tcPr>
            <w:tcW w:w="2268" w:type="dxa"/>
            <w:shd w:val="clear" w:color="auto" w:fill="auto"/>
          </w:tcPr>
          <w:p w14:paraId="0ADE041C" w14:textId="77777777" w:rsidR="00807A6E" w:rsidRPr="00F13AB0" w:rsidRDefault="005262F0" w:rsidP="00C75902">
            <w:pPr>
              <w:pStyle w:val="EPLogo"/>
            </w:pPr>
            <w:r>
              <w:pict w14:anchorId="0286B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5F60E8EA" w14:textId="77777777" w:rsidR="00390068" w:rsidRPr="00F13AB0" w:rsidRDefault="00390068" w:rsidP="00390068">
      <w:pPr>
        <w:pStyle w:val="LineTop"/>
      </w:pPr>
    </w:p>
    <w:p w14:paraId="23D449DB" w14:textId="1A2728A0" w:rsidR="00390068" w:rsidRPr="00F13AB0" w:rsidRDefault="00FF3BD2" w:rsidP="00390068">
      <w:pPr>
        <w:pStyle w:val="ZCommittee"/>
      </w:pPr>
      <w:r w:rsidRPr="00F13AB0">
        <w:t>Dokument zasedanja</w:t>
      </w:r>
    </w:p>
    <w:p w14:paraId="22220FCE" w14:textId="77777777" w:rsidR="00390068" w:rsidRPr="00F13AB0" w:rsidRDefault="00390068" w:rsidP="00390068">
      <w:pPr>
        <w:pStyle w:val="LineBottom"/>
      </w:pPr>
    </w:p>
    <w:p w14:paraId="0FC522FD" w14:textId="5F4B6182" w:rsidR="00C1531C" w:rsidRPr="00F13AB0" w:rsidRDefault="00FF3BD2">
      <w:pPr>
        <w:pStyle w:val="RefProc"/>
      </w:pPr>
      <w:r w:rsidRPr="00F13AB0">
        <w:rPr>
          <w:rStyle w:val="HideTWBExt"/>
          <w:noProof w:val="0"/>
        </w:rPr>
        <w:t>&lt;NoDocSe&gt;</w:t>
      </w:r>
      <w:r w:rsidRPr="00F13AB0">
        <w:t>A8-0102/2019</w:t>
      </w:r>
      <w:r w:rsidRPr="00F13AB0">
        <w:rPr>
          <w:rStyle w:val="HideTWBExt"/>
          <w:noProof w:val="0"/>
        </w:rPr>
        <w:t>&lt;/NoDocSe&gt;</w:t>
      </w:r>
    </w:p>
    <w:p w14:paraId="18DBEC86" w14:textId="7B1F5266" w:rsidR="00C1531C" w:rsidRPr="00F13AB0" w:rsidRDefault="00C1531C">
      <w:pPr>
        <w:pStyle w:val="ZDate"/>
      </w:pPr>
      <w:r w:rsidRPr="00F13AB0">
        <w:rPr>
          <w:rStyle w:val="HideTWBExt"/>
          <w:noProof w:val="0"/>
        </w:rPr>
        <w:t>&lt;Date&gt;</w:t>
      </w:r>
      <w:r w:rsidR="00170A91">
        <w:rPr>
          <w:rStyle w:val="HideTWBInt"/>
        </w:rPr>
        <w:t>{07/03</w:t>
      </w:r>
      <w:r w:rsidRPr="00F13AB0">
        <w:rPr>
          <w:rStyle w:val="HideTWBInt"/>
        </w:rPr>
        <w:t>/2019}</w:t>
      </w:r>
      <w:r w:rsidR="00170A91">
        <w:t>7.3</w:t>
      </w:r>
      <w:r w:rsidRPr="00F13AB0">
        <w:t>.2019</w:t>
      </w:r>
      <w:r w:rsidRPr="00F13AB0">
        <w:rPr>
          <w:rStyle w:val="HideTWBExt"/>
          <w:noProof w:val="0"/>
        </w:rPr>
        <w:t>&lt;/Date&gt;</w:t>
      </w:r>
    </w:p>
    <w:p w14:paraId="480D9564" w14:textId="1B1DD90C" w:rsidR="00C1531C" w:rsidRPr="00F13AB0" w:rsidRDefault="00C1531C">
      <w:pPr>
        <w:pStyle w:val="TypeDoc"/>
      </w:pPr>
      <w:r w:rsidRPr="00F13AB0">
        <w:rPr>
          <w:rStyle w:val="HideTWBExt"/>
          <w:b w:val="0"/>
          <w:noProof w:val="0"/>
        </w:rPr>
        <w:t>&lt;TitreType&gt;</w:t>
      </w:r>
      <w:r w:rsidRPr="00F13AB0">
        <w:t>POROČILO</w:t>
      </w:r>
      <w:r w:rsidRPr="00F13AB0">
        <w:rPr>
          <w:rStyle w:val="HideTWBExt"/>
          <w:b w:val="0"/>
          <w:noProof w:val="0"/>
        </w:rPr>
        <w:t>&lt;/TitreType&gt;</w:t>
      </w:r>
    </w:p>
    <w:p w14:paraId="4C28E675" w14:textId="77777777" w:rsidR="00C1531C" w:rsidRPr="00F13AB0" w:rsidRDefault="00C1531C">
      <w:pPr>
        <w:pStyle w:val="CoverNormal"/>
      </w:pPr>
      <w:r w:rsidRPr="00F13AB0">
        <w:rPr>
          <w:rStyle w:val="HideTWBExt"/>
          <w:noProof w:val="0"/>
        </w:rPr>
        <w:t>&lt;Titre&gt;</w:t>
      </w:r>
      <w:r w:rsidRPr="00F13AB0">
        <w:t>o razrešnici glede izvrševanja proračuna Skupnega podjetja ECSEL za proračunsko leto 2017</w:t>
      </w:r>
      <w:r w:rsidRPr="00F13AB0">
        <w:rPr>
          <w:rStyle w:val="HideTWBExt"/>
          <w:noProof w:val="0"/>
        </w:rPr>
        <w:t>&lt;/Titre&gt;</w:t>
      </w:r>
    </w:p>
    <w:p w14:paraId="581DFB22" w14:textId="77777777" w:rsidR="00C1531C" w:rsidRPr="00F13AB0" w:rsidRDefault="005C689E">
      <w:pPr>
        <w:pStyle w:val="Cover24"/>
      </w:pPr>
      <w:r w:rsidRPr="00F13AB0">
        <w:rPr>
          <w:rStyle w:val="HideTWBExt"/>
          <w:noProof w:val="0"/>
        </w:rPr>
        <w:t>&lt;DocRef&gt;</w:t>
      </w:r>
      <w:r w:rsidRPr="00F13AB0">
        <w:t>(2018/2218(DEC))</w:t>
      </w:r>
      <w:r w:rsidRPr="00F13AB0">
        <w:rPr>
          <w:rStyle w:val="HideTWBExt"/>
          <w:noProof w:val="0"/>
        </w:rPr>
        <w:t>&lt;/DocRef&gt;</w:t>
      </w:r>
    </w:p>
    <w:p w14:paraId="11381F05" w14:textId="77777777" w:rsidR="00C1531C" w:rsidRPr="00F13AB0" w:rsidRDefault="00C1531C">
      <w:pPr>
        <w:pStyle w:val="Cover24"/>
      </w:pPr>
      <w:r w:rsidRPr="00F13AB0">
        <w:rPr>
          <w:rStyle w:val="HideTWBExt"/>
          <w:noProof w:val="0"/>
        </w:rPr>
        <w:t>&lt;Commission&gt;</w:t>
      </w:r>
      <w:r w:rsidRPr="00F13AB0">
        <w:rPr>
          <w:rStyle w:val="HideTWBInt"/>
        </w:rPr>
        <w:t>{CONT}</w:t>
      </w:r>
      <w:r w:rsidRPr="00F13AB0">
        <w:t>Odbor za proračunski nadzor</w:t>
      </w:r>
      <w:r w:rsidRPr="00F13AB0">
        <w:rPr>
          <w:rStyle w:val="HideTWBExt"/>
          <w:noProof w:val="0"/>
        </w:rPr>
        <w:t>&lt;/Commission&gt;</w:t>
      </w:r>
    </w:p>
    <w:p w14:paraId="310ACA39" w14:textId="77777777" w:rsidR="00C1531C" w:rsidRPr="00F13AB0" w:rsidRDefault="008E08D6">
      <w:pPr>
        <w:pStyle w:val="Cover24"/>
      </w:pPr>
      <w:r w:rsidRPr="00F13AB0">
        <w:t xml:space="preserve">Poročevalka: </w:t>
      </w:r>
      <w:r w:rsidRPr="00F13AB0">
        <w:rPr>
          <w:rStyle w:val="HideTWBExt"/>
          <w:noProof w:val="0"/>
        </w:rPr>
        <w:t>&lt;Depute&gt;</w:t>
      </w:r>
      <w:r w:rsidRPr="00F13AB0">
        <w:t>Martina Dlabajová</w:t>
      </w:r>
      <w:r w:rsidRPr="00F13AB0">
        <w:rPr>
          <w:rStyle w:val="HideTWBExt"/>
          <w:noProof w:val="0"/>
        </w:rPr>
        <w:t>&lt;/Depute&gt;</w:t>
      </w:r>
    </w:p>
    <w:p w14:paraId="05FCCA85" w14:textId="77777777" w:rsidR="00C1531C" w:rsidRPr="00F13AB0" w:rsidRDefault="00C1531C" w:rsidP="00807A6E">
      <w:pPr>
        <w:widowControl/>
        <w:tabs>
          <w:tab w:val="center" w:pos="4677"/>
        </w:tabs>
      </w:pPr>
      <w:r w:rsidRPr="00F13AB0">
        <w:br w:type="page"/>
      </w:r>
    </w:p>
    <w:p w14:paraId="4DF213AD" w14:textId="77777777" w:rsidR="00C1531C" w:rsidRPr="00F13AB0" w:rsidRDefault="008E08D6" w:rsidP="00807A6E">
      <w:pPr>
        <w:widowControl/>
        <w:tabs>
          <w:tab w:val="center" w:pos="4677"/>
        </w:tabs>
      </w:pPr>
      <w:r w:rsidRPr="00F13AB0">
        <w:t>PR_DEC_JointUndertakings</w:t>
      </w:r>
    </w:p>
    <w:p w14:paraId="5AE9B900" w14:textId="77777777" w:rsidR="00C1531C" w:rsidRPr="00F13AB0" w:rsidRDefault="008E08D6">
      <w:pPr>
        <w:pStyle w:val="TOCHeading"/>
      </w:pPr>
      <w:r w:rsidRPr="00F13AB0">
        <w:t>VSEBINA</w:t>
      </w:r>
    </w:p>
    <w:p w14:paraId="0A38BA94" w14:textId="77777777" w:rsidR="005262F0" w:rsidRDefault="008E08D6" w:rsidP="000B47E5">
      <w:pPr>
        <w:pStyle w:val="TOCPage"/>
        <w:rPr>
          <w:noProof/>
        </w:rPr>
      </w:pPr>
      <w:r w:rsidRPr="00F13AB0">
        <w:t>Stran</w:t>
      </w:r>
      <w:bookmarkStart w:id="0" w:name="_GoBack"/>
      <w:r w:rsidR="00C1531C" w:rsidRPr="00F13AB0">
        <w:fldChar w:fldCharType="begin"/>
      </w:r>
      <w:r w:rsidR="00C1531C" w:rsidRPr="00F13AB0">
        <w:instrText xml:space="preserve"> TOC \t "PageHeading</w:instrText>
      </w:r>
      <w:r w:rsidR="005262F0">
        <w:instrText>;</w:instrText>
      </w:r>
      <w:r w:rsidR="00FD18F9" w:rsidRPr="00F13AB0">
        <w:instrText>3</w:instrText>
      </w:r>
      <w:r w:rsidR="00C1531C" w:rsidRPr="00F13AB0">
        <w:instrText xml:space="preserve">" </w:instrText>
      </w:r>
      <w:r w:rsidR="00C1531C" w:rsidRPr="00F13AB0">
        <w:fldChar w:fldCharType="separate"/>
      </w:r>
    </w:p>
    <w:p w14:paraId="3D5A677A" w14:textId="79E046BD" w:rsidR="005262F0" w:rsidRDefault="005262F0">
      <w:pPr>
        <w:pStyle w:val="TOC3"/>
        <w:tabs>
          <w:tab w:val="right" w:leader="dot" w:pos="9060"/>
        </w:tabs>
        <w:rPr>
          <w:rFonts w:asciiTheme="minorHAnsi" w:eastAsiaTheme="minorEastAsia" w:hAnsiTheme="minorHAnsi" w:cstheme="minorBidi"/>
          <w:noProof/>
          <w:sz w:val="22"/>
          <w:szCs w:val="22"/>
          <w:lang w:eastAsia="sl-SI"/>
        </w:rPr>
      </w:pPr>
      <w:r>
        <w:rPr>
          <w:noProof/>
        </w:rPr>
        <w:t>1. PREDLOG SKLEPA EVROPSKEGA PARLAMENTA</w:t>
      </w:r>
      <w:r>
        <w:rPr>
          <w:noProof/>
        </w:rPr>
        <w:tab/>
      </w:r>
      <w:r>
        <w:rPr>
          <w:noProof/>
        </w:rPr>
        <w:fldChar w:fldCharType="begin"/>
      </w:r>
      <w:r>
        <w:rPr>
          <w:noProof/>
        </w:rPr>
        <w:instrText xml:space="preserve"> PAGEREF _Toc3455665 \h </w:instrText>
      </w:r>
      <w:r>
        <w:rPr>
          <w:noProof/>
        </w:rPr>
      </w:r>
      <w:r>
        <w:rPr>
          <w:noProof/>
        </w:rPr>
        <w:fldChar w:fldCharType="separate"/>
      </w:r>
      <w:r>
        <w:rPr>
          <w:noProof/>
        </w:rPr>
        <w:t>3</w:t>
      </w:r>
      <w:r>
        <w:rPr>
          <w:noProof/>
        </w:rPr>
        <w:fldChar w:fldCharType="end"/>
      </w:r>
    </w:p>
    <w:p w14:paraId="50409780" w14:textId="1BD69C60" w:rsidR="005262F0" w:rsidRDefault="005262F0">
      <w:pPr>
        <w:pStyle w:val="TOC3"/>
        <w:tabs>
          <w:tab w:val="right" w:leader="dot" w:pos="9060"/>
        </w:tabs>
        <w:rPr>
          <w:rFonts w:asciiTheme="minorHAnsi" w:eastAsiaTheme="minorEastAsia" w:hAnsiTheme="minorHAnsi" w:cstheme="minorBidi"/>
          <w:noProof/>
          <w:sz w:val="22"/>
          <w:szCs w:val="22"/>
          <w:lang w:eastAsia="sl-SI"/>
        </w:rPr>
      </w:pPr>
      <w:r>
        <w:rPr>
          <w:noProof/>
        </w:rPr>
        <w:t>2. PREDLOG SKLEPA EVROPSKEGA PARLAMENTA</w:t>
      </w:r>
      <w:r>
        <w:rPr>
          <w:noProof/>
        </w:rPr>
        <w:tab/>
      </w:r>
      <w:r>
        <w:rPr>
          <w:noProof/>
        </w:rPr>
        <w:fldChar w:fldCharType="begin"/>
      </w:r>
      <w:r>
        <w:rPr>
          <w:noProof/>
        </w:rPr>
        <w:instrText xml:space="preserve"> PAGEREF _Toc3455666 \h </w:instrText>
      </w:r>
      <w:r>
        <w:rPr>
          <w:noProof/>
        </w:rPr>
      </w:r>
      <w:r>
        <w:rPr>
          <w:noProof/>
        </w:rPr>
        <w:fldChar w:fldCharType="separate"/>
      </w:r>
      <w:r>
        <w:rPr>
          <w:noProof/>
        </w:rPr>
        <w:t>5</w:t>
      </w:r>
      <w:r>
        <w:rPr>
          <w:noProof/>
        </w:rPr>
        <w:fldChar w:fldCharType="end"/>
      </w:r>
    </w:p>
    <w:p w14:paraId="5900DDB8" w14:textId="2EB8B0A1" w:rsidR="005262F0" w:rsidRDefault="005262F0">
      <w:pPr>
        <w:pStyle w:val="TOC3"/>
        <w:tabs>
          <w:tab w:val="right" w:leader="dot" w:pos="9060"/>
        </w:tabs>
        <w:rPr>
          <w:rFonts w:asciiTheme="minorHAnsi" w:eastAsiaTheme="minorEastAsia" w:hAnsiTheme="minorHAnsi" w:cstheme="minorBidi"/>
          <w:noProof/>
          <w:sz w:val="22"/>
          <w:szCs w:val="22"/>
          <w:lang w:eastAsia="sl-SI"/>
        </w:rPr>
      </w:pPr>
      <w:r>
        <w:rPr>
          <w:noProof/>
        </w:rPr>
        <w:t>3. PREDLOG RESOLUCIJE EVROPSKEGA PARLAMENTA</w:t>
      </w:r>
      <w:r>
        <w:rPr>
          <w:noProof/>
        </w:rPr>
        <w:tab/>
      </w:r>
      <w:r>
        <w:rPr>
          <w:noProof/>
        </w:rPr>
        <w:fldChar w:fldCharType="begin"/>
      </w:r>
      <w:r>
        <w:rPr>
          <w:noProof/>
        </w:rPr>
        <w:instrText xml:space="preserve"> PAGEREF _Toc3455667 \h </w:instrText>
      </w:r>
      <w:r>
        <w:rPr>
          <w:noProof/>
        </w:rPr>
      </w:r>
      <w:r>
        <w:rPr>
          <w:noProof/>
        </w:rPr>
        <w:fldChar w:fldCharType="separate"/>
      </w:r>
      <w:r>
        <w:rPr>
          <w:noProof/>
        </w:rPr>
        <w:t>7</w:t>
      </w:r>
      <w:r>
        <w:rPr>
          <w:noProof/>
        </w:rPr>
        <w:fldChar w:fldCharType="end"/>
      </w:r>
    </w:p>
    <w:p w14:paraId="1146BBFB" w14:textId="4BCD5EC0" w:rsidR="005262F0" w:rsidRDefault="005262F0">
      <w:pPr>
        <w:pStyle w:val="TOC3"/>
        <w:tabs>
          <w:tab w:val="right" w:leader="dot" w:pos="9060"/>
        </w:tabs>
        <w:rPr>
          <w:rFonts w:asciiTheme="minorHAnsi" w:eastAsiaTheme="minorEastAsia" w:hAnsiTheme="minorHAnsi" w:cstheme="minorBidi"/>
          <w:noProof/>
          <w:sz w:val="22"/>
          <w:szCs w:val="22"/>
          <w:lang w:eastAsia="sl-SI"/>
        </w:rPr>
      </w:pPr>
      <w:r>
        <w:rPr>
          <w:noProof/>
        </w:rPr>
        <w:t>INFORMACIJE O SPREJETJU V PRISTOJNEM ODBORU</w:t>
      </w:r>
      <w:r>
        <w:rPr>
          <w:noProof/>
        </w:rPr>
        <w:tab/>
      </w:r>
      <w:r>
        <w:rPr>
          <w:noProof/>
        </w:rPr>
        <w:fldChar w:fldCharType="begin"/>
      </w:r>
      <w:r>
        <w:rPr>
          <w:noProof/>
        </w:rPr>
        <w:instrText xml:space="preserve"> PAGEREF _Toc3455668 \h </w:instrText>
      </w:r>
      <w:r>
        <w:rPr>
          <w:noProof/>
        </w:rPr>
      </w:r>
      <w:r>
        <w:rPr>
          <w:noProof/>
        </w:rPr>
        <w:fldChar w:fldCharType="separate"/>
      </w:r>
      <w:r>
        <w:rPr>
          <w:noProof/>
        </w:rPr>
        <w:t>11</w:t>
      </w:r>
      <w:r>
        <w:rPr>
          <w:noProof/>
        </w:rPr>
        <w:fldChar w:fldCharType="end"/>
      </w:r>
    </w:p>
    <w:p w14:paraId="61A64162" w14:textId="6BE87EDF" w:rsidR="005262F0" w:rsidRDefault="005262F0">
      <w:pPr>
        <w:pStyle w:val="TOC3"/>
        <w:tabs>
          <w:tab w:val="right" w:leader="dot" w:pos="9060"/>
        </w:tabs>
        <w:rPr>
          <w:rFonts w:asciiTheme="minorHAnsi" w:eastAsiaTheme="minorEastAsia" w:hAnsiTheme="minorHAnsi" w:cstheme="minorBidi"/>
          <w:noProof/>
          <w:sz w:val="22"/>
          <w:szCs w:val="22"/>
          <w:lang w:eastAsia="sl-SI"/>
        </w:rPr>
      </w:pPr>
      <w:r>
        <w:rPr>
          <w:noProof/>
        </w:rPr>
        <w:t>POIMENSKO GLASOVANJE PRI KONČNEM GLASOVANJU V PRISTOJNEM ODBORU</w:t>
      </w:r>
      <w:r>
        <w:rPr>
          <w:noProof/>
        </w:rPr>
        <w:tab/>
      </w:r>
      <w:r>
        <w:rPr>
          <w:noProof/>
        </w:rPr>
        <w:fldChar w:fldCharType="begin"/>
      </w:r>
      <w:r>
        <w:rPr>
          <w:noProof/>
        </w:rPr>
        <w:instrText xml:space="preserve"> PAGEREF _Toc3455669 \h </w:instrText>
      </w:r>
      <w:r>
        <w:rPr>
          <w:noProof/>
        </w:rPr>
      </w:r>
      <w:r>
        <w:rPr>
          <w:noProof/>
        </w:rPr>
        <w:fldChar w:fldCharType="separate"/>
      </w:r>
      <w:r>
        <w:rPr>
          <w:noProof/>
        </w:rPr>
        <w:t>12</w:t>
      </w:r>
      <w:r>
        <w:rPr>
          <w:noProof/>
        </w:rPr>
        <w:fldChar w:fldCharType="end"/>
      </w:r>
    </w:p>
    <w:p w14:paraId="153077D1" w14:textId="77777777" w:rsidR="00C1531C" w:rsidRPr="00F13AB0" w:rsidRDefault="00C1531C">
      <w:pPr>
        <w:pStyle w:val="PageHeading"/>
      </w:pPr>
      <w:r w:rsidRPr="00F13AB0">
        <w:rPr>
          <w:rFonts w:ascii="Times New Roman" w:hAnsi="Times New Roman"/>
        </w:rPr>
        <w:fldChar w:fldCharType="end"/>
      </w:r>
      <w:bookmarkEnd w:id="0"/>
    </w:p>
    <w:p w14:paraId="7F7155C1" w14:textId="77777777" w:rsidR="00C1531C" w:rsidRPr="00F13AB0" w:rsidRDefault="00C1531C" w:rsidP="004D13BA">
      <w:pPr>
        <w:pStyle w:val="PageHeading"/>
      </w:pPr>
      <w:r w:rsidRPr="00F13AB0">
        <w:br w:type="page"/>
      </w:r>
      <w:bookmarkStart w:id="1" w:name="Decision1"/>
      <w:bookmarkStart w:id="2" w:name="_Toc26759888"/>
      <w:bookmarkStart w:id="3" w:name="_Toc86200285"/>
      <w:bookmarkStart w:id="4" w:name="_Toc3455665"/>
      <w:r w:rsidRPr="00F13AB0">
        <w:t>1. PREDLOG SKLEPA EVROPSKEGA PARLAMENTA</w:t>
      </w:r>
      <w:bookmarkEnd w:id="4"/>
    </w:p>
    <w:p w14:paraId="39F3BC3C" w14:textId="77777777" w:rsidR="00C1531C" w:rsidRPr="00F13AB0" w:rsidRDefault="008E08D6">
      <w:pPr>
        <w:pStyle w:val="NormalBold"/>
      </w:pPr>
      <w:bookmarkStart w:id="5" w:name="DecisionTitle1"/>
      <w:bookmarkEnd w:id="1"/>
      <w:r w:rsidRPr="00F13AB0">
        <w:t>o razrešnici glede izvrševanja proračuna Skupnega podjetja ECSEL za proračunsko leto 2017</w:t>
      </w:r>
    </w:p>
    <w:bookmarkEnd w:id="5"/>
    <w:p w14:paraId="56890BA8" w14:textId="77777777" w:rsidR="00C1531C" w:rsidRPr="00F13AB0" w:rsidRDefault="008E08D6">
      <w:pPr>
        <w:pStyle w:val="Normal12Bold"/>
      </w:pPr>
      <w:r w:rsidRPr="00F13AB0">
        <w:t>(2018/2218(DEC))</w:t>
      </w:r>
    </w:p>
    <w:p w14:paraId="62911F45" w14:textId="77777777" w:rsidR="00C1531C" w:rsidRPr="00F13AB0" w:rsidRDefault="008E08D6">
      <w:pPr>
        <w:pStyle w:val="Normal12"/>
      </w:pPr>
      <w:r w:rsidRPr="00F13AB0">
        <w:rPr>
          <w:i/>
        </w:rPr>
        <w:t>Evropski parlament,</w:t>
      </w:r>
    </w:p>
    <w:p w14:paraId="746981D7" w14:textId="77777777" w:rsidR="00C1531C" w:rsidRPr="00F13AB0" w:rsidRDefault="00C1531C">
      <w:pPr>
        <w:pStyle w:val="Normal12Hanging"/>
      </w:pPr>
      <w:r w:rsidRPr="00F13AB0">
        <w:t>–</w:t>
      </w:r>
      <w:r w:rsidRPr="00F13AB0">
        <w:tab/>
        <w:t>ob upoštevanju končnega zaključnega računa Skupnega podjetja ECSEL za proračunsko leto 2017,</w:t>
      </w:r>
    </w:p>
    <w:p w14:paraId="0EA704E7" w14:textId="77777777" w:rsidR="005A6CAE" w:rsidRPr="00F13AB0" w:rsidRDefault="005A6CAE" w:rsidP="005A6CAE">
      <w:pPr>
        <w:pStyle w:val="Normal12Hanging"/>
      </w:pPr>
      <w:r w:rsidRPr="00F13AB0">
        <w:t>–</w:t>
      </w:r>
      <w:r w:rsidRPr="00F13AB0">
        <w:tab/>
        <w:t>ob upoštevanju poročila Računskega sodišča o zaključnem računu Skupnega podjetja ECSEL za proračunsko leto 2017 z odgovorom skupnega podjetja</w:t>
      </w:r>
      <w:r w:rsidR="00645C2E" w:rsidRPr="00F13AB0">
        <w:rPr>
          <w:rStyle w:val="FootnoteReference"/>
        </w:rPr>
        <w:footnoteReference w:id="1"/>
      </w:r>
      <w:r w:rsidRPr="00F13AB0">
        <w:t>,</w:t>
      </w:r>
    </w:p>
    <w:p w14:paraId="3873C5B2" w14:textId="77777777" w:rsidR="009B566F" w:rsidRPr="00F13AB0" w:rsidRDefault="009B566F" w:rsidP="009B566F">
      <w:pPr>
        <w:pStyle w:val="Normal12Hanging"/>
      </w:pPr>
      <w:r w:rsidRPr="00F13AB0">
        <w:t>–</w:t>
      </w:r>
      <w:r w:rsidRPr="00F13AB0">
        <w:tab/>
        <w:t>ob upoštevanju izjave o zanesljivosti</w:t>
      </w:r>
      <w:r w:rsidR="00645C2E" w:rsidRPr="00F13AB0">
        <w:rPr>
          <w:rStyle w:val="FootnoteReference"/>
        </w:rPr>
        <w:footnoteReference w:id="2"/>
      </w:r>
      <w:r w:rsidRPr="00F13AB0">
        <w:t xml:space="preserve"> računovodskih izkazov ter zakonitosti in pravilnosti z njimi povezanih transakcij, ki jo je za proračunsko leto 2017 v skladu s členom 287 Pogodbe o delovanju Evropske unije pripravilo Računsko sodišče,</w:t>
      </w:r>
    </w:p>
    <w:p w14:paraId="4C7404D8" w14:textId="014F794F" w:rsidR="005A6CAE" w:rsidRPr="00F13AB0" w:rsidRDefault="005A6CAE" w:rsidP="005A6CAE">
      <w:pPr>
        <w:pStyle w:val="Normal12Hanging"/>
      </w:pPr>
      <w:r w:rsidRPr="00F13AB0">
        <w:t>–</w:t>
      </w:r>
      <w:r w:rsidRPr="00F13AB0">
        <w:tab/>
        <w:t xml:space="preserve">ob upoštevanju priporočila Sveta z dne </w:t>
      </w:r>
      <w:r w:rsidRPr="00190881">
        <w:t>20. februarja 2019</w:t>
      </w:r>
      <w:r w:rsidRPr="00F13AB0">
        <w:t xml:space="preserve"> o podelitvi razrešnice skupnemu podjetju glede izvrševanja proračuna za proračunsko leto 2017 (05827/2019 – C8-0107/2019),</w:t>
      </w:r>
    </w:p>
    <w:p w14:paraId="19EAC1BD" w14:textId="4FBAE6B8" w:rsidR="005A6CAE" w:rsidRPr="00F13AB0" w:rsidRDefault="005A6CAE" w:rsidP="005A6CAE">
      <w:pPr>
        <w:pStyle w:val="Normal12Hanging"/>
      </w:pPr>
      <w:r w:rsidRPr="00F13AB0">
        <w:t>–</w:t>
      </w:r>
      <w:r w:rsidRPr="00F13AB0">
        <w:tab/>
        <w:t xml:space="preserve">ob upoštevanju člena 319 Pogodbe o delovanju Evropske unije, </w:t>
      </w:r>
    </w:p>
    <w:p w14:paraId="5E173F62" w14:textId="59526E8F" w:rsidR="00CF07EC" w:rsidRPr="00F13AB0" w:rsidRDefault="00CF07EC" w:rsidP="00CF07EC">
      <w:pPr>
        <w:pStyle w:val="Normal12Hanging"/>
      </w:pPr>
      <w:r w:rsidRPr="00F13AB0">
        <w:t>–</w:t>
      </w:r>
      <w:r w:rsidRPr="00F13AB0">
        <w:tab/>
        <w:t>ob upoštevanju Uredbe (EU, Euratom) št. 966/2012 Evropskega parlamenta in Sveta z dne 25. oktobra 2012 o finančnih pravilih, ki se uporabljajo za splošni proračun Unije, in razveljavitvi Uredbe Sveta (ES, Euratom) št. 1605/2002</w:t>
      </w:r>
      <w:r w:rsidR="00645C2E" w:rsidRPr="00F13AB0">
        <w:rPr>
          <w:rStyle w:val="FootnoteReference"/>
        </w:rPr>
        <w:footnoteReference w:id="3"/>
      </w:r>
      <w:r w:rsidRPr="00F13AB0">
        <w:t xml:space="preserve"> in zlasti člena 209,</w:t>
      </w:r>
    </w:p>
    <w:p w14:paraId="3CE776A2" w14:textId="77777777" w:rsidR="00645C2E" w:rsidRPr="00F13AB0" w:rsidRDefault="00645C2E" w:rsidP="00645C2E">
      <w:pPr>
        <w:pStyle w:val="Normal12Hanging"/>
      </w:pPr>
      <w:r w:rsidRPr="00F13AB0">
        <w:t>–</w:t>
      </w:r>
      <w:r w:rsidRPr="00F13AB0">
        <w:tab/>
        <w:t>ob upoštevanju 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r w:rsidRPr="00F13AB0">
        <w:rPr>
          <w:vertAlign w:val="superscript"/>
        </w:rPr>
        <w:t>4</w:t>
      </w:r>
      <w:r w:rsidRPr="00F13AB0">
        <w:t xml:space="preserve"> in zlasti člena 71,</w:t>
      </w:r>
    </w:p>
    <w:p w14:paraId="16BEEB23" w14:textId="108CA6BD" w:rsidR="005A6CAE" w:rsidRPr="00F13AB0" w:rsidRDefault="005A6CAE" w:rsidP="0017746B">
      <w:pPr>
        <w:pStyle w:val="Normal12Hanging"/>
      </w:pPr>
      <w:r w:rsidRPr="00F13AB0">
        <w:t>–</w:t>
      </w:r>
      <w:r w:rsidRPr="00F13AB0">
        <w:tab/>
        <w:t>ob upoštevanju Uredbe Sveta (EU) št. 561/2014 z dne 6. maja 2014 o ustanovitvi Skupnega podjetja ECSEL</w:t>
      </w:r>
      <w:r w:rsidR="00645C2E" w:rsidRPr="00F13AB0">
        <w:rPr>
          <w:rStyle w:val="FootnoteReference"/>
        </w:rPr>
        <w:footnoteReference w:id="4"/>
      </w:r>
      <w:r w:rsidRPr="00F13AB0">
        <w:t xml:space="preserve"> in zlasti člena 12,</w:t>
      </w:r>
    </w:p>
    <w:p w14:paraId="354F5FBA" w14:textId="77777777" w:rsidR="005A6CAE" w:rsidRPr="00F13AB0" w:rsidRDefault="005A6CAE" w:rsidP="00BA46FB">
      <w:pPr>
        <w:pStyle w:val="Normal12Hanging"/>
      </w:pPr>
      <w:r w:rsidRPr="00F13AB0">
        <w:t>–</w:t>
      </w:r>
      <w:r w:rsidRPr="00F13AB0">
        <w:tab/>
        <w:t>ob upoštevanju Delegirane uredbe Komisije (EU) št. 110/2014 z dne 30. septembra 2013 o vzorčni finančni uredbi za subjekte javno-zasebnega partnerstva iz člena 209 Uredbe (EU, Euratom) št. 966/2012 Evropskega parlamenta in Sveta</w:t>
      </w:r>
      <w:r w:rsidR="00645C2E" w:rsidRPr="00F13AB0">
        <w:rPr>
          <w:rStyle w:val="FootnoteReference"/>
        </w:rPr>
        <w:footnoteReference w:id="5"/>
      </w:r>
      <w:r w:rsidRPr="00F13AB0">
        <w:t>,</w:t>
      </w:r>
    </w:p>
    <w:p w14:paraId="41183D62" w14:textId="77777777" w:rsidR="005A6CAE" w:rsidRPr="00F13AB0" w:rsidRDefault="005A6CAE" w:rsidP="005A6CAE">
      <w:pPr>
        <w:pStyle w:val="Normal12Hanging"/>
      </w:pPr>
      <w:r w:rsidRPr="00F13AB0">
        <w:t>–</w:t>
      </w:r>
      <w:r w:rsidRPr="00F13AB0">
        <w:tab/>
        <w:t>ob upoštevanju člena 94 in Priloge IV Poslovnika,</w:t>
      </w:r>
    </w:p>
    <w:p w14:paraId="59F7B822" w14:textId="54D1FAAB" w:rsidR="005A6CAE" w:rsidRPr="00F13AB0" w:rsidRDefault="005A6CAE" w:rsidP="005A6CAE">
      <w:pPr>
        <w:pStyle w:val="Normal12Hanging"/>
      </w:pPr>
      <w:r w:rsidRPr="00F13AB0">
        <w:t>–</w:t>
      </w:r>
      <w:r w:rsidRPr="00F13AB0">
        <w:tab/>
        <w:t>ob upoštevanju poročila Odbora za proračunski nadzor (A8-0102/2019),</w:t>
      </w:r>
    </w:p>
    <w:p w14:paraId="0F5FE0E6" w14:textId="64EAEDE2" w:rsidR="00C1531C" w:rsidRPr="00F13AB0" w:rsidRDefault="00890A20">
      <w:pPr>
        <w:pStyle w:val="Normal12Hanging"/>
      </w:pPr>
      <w:r w:rsidRPr="00F13AB0">
        <w:t>1.</w:t>
      </w:r>
      <w:r w:rsidRPr="00F13AB0">
        <w:tab/>
        <w:t>podeli razrešnico izvršnemu direktorju Skupnega podjetja ECSEL glede izvrševanja proračuna skupnega podjetja za proračunsko leto 2017;</w:t>
      </w:r>
    </w:p>
    <w:p w14:paraId="6C438449" w14:textId="77777777" w:rsidR="00C1531C" w:rsidRPr="00F13AB0" w:rsidRDefault="00C1531C">
      <w:pPr>
        <w:pStyle w:val="Normal12Hanging"/>
      </w:pPr>
      <w:r w:rsidRPr="00F13AB0">
        <w:t>2.</w:t>
      </w:r>
      <w:r w:rsidRPr="00F13AB0">
        <w:tab/>
        <w:t>navaja svoje pripombe v spodnji resoluciji;</w:t>
      </w:r>
    </w:p>
    <w:p w14:paraId="7536CF37" w14:textId="77777777" w:rsidR="00C1531C" w:rsidRPr="00F13AB0" w:rsidRDefault="00C1531C">
      <w:pPr>
        <w:pStyle w:val="Normal12Hanging"/>
      </w:pPr>
      <w:r w:rsidRPr="00F13AB0">
        <w:t>3.</w:t>
      </w:r>
      <w:r w:rsidRPr="00F13AB0">
        <w:tab/>
        <w:t xml:space="preserve">naroči svojemu predsedniku, naj ta sklep in resolucijo, ki je del sklepa, posreduje izvršnemu direktorju Skupnega podjetja ECSEL, Svetu, Komisiji in Računskemu sodišču ter poskrbi za objavo v </w:t>
      </w:r>
      <w:r w:rsidRPr="00F13AB0">
        <w:rPr>
          <w:i/>
        </w:rPr>
        <w:t>Uradnem listu Evropske unije</w:t>
      </w:r>
      <w:r w:rsidRPr="00F13AB0">
        <w:t xml:space="preserve"> (serija L).</w:t>
      </w:r>
    </w:p>
    <w:p w14:paraId="52B863FF" w14:textId="77777777" w:rsidR="00C1531C" w:rsidRPr="00F13AB0" w:rsidRDefault="00C1531C" w:rsidP="004D13BA">
      <w:pPr>
        <w:pStyle w:val="PageHeading"/>
      </w:pPr>
      <w:r w:rsidRPr="00F13AB0">
        <w:br w:type="page"/>
      </w:r>
      <w:bookmarkStart w:id="6" w:name="Decision2"/>
      <w:bookmarkStart w:id="7" w:name="_Toc3455666"/>
      <w:r w:rsidRPr="00F13AB0">
        <w:t>2. PREDLOG SKLEPA EVROPSKEGA PARLAMENTA</w:t>
      </w:r>
      <w:bookmarkEnd w:id="7"/>
    </w:p>
    <w:p w14:paraId="06E10096" w14:textId="77777777" w:rsidR="00C1531C" w:rsidRPr="00F13AB0" w:rsidRDefault="008E08D6">
      <w:pPr>
        <w:pStyle w:val="NormalBold"/>
      </w:pPr>
      <w:bookmarkStart w:id="8" w:name="DecisionTitle2"/>
      <w:bookmarkEnd w:id="6"/>
      <w:r w:rsidRPr="00F13AB0">
        <w:t>o zaključnem računu Skupnega podjetja ECSEL za proračunsko leto 2017</w:t>
      </w:r>
    </w:p>
    <w:bookmarkEnd w:id="8"/>
    <w:p w14:paraId="00E030E5" w14:textId="77777777" w:rsidR="00C1531C" w:rsidRPr="00F13AB0" w:rsidRDefault="008E08D6">
      <w:pPr>
        <w:pStyle w:val="Normal12Bold"/>
      </w:pPr>
      <w:r w:rsidRPr="00F13AB0">
        <w:t>(2018/2218(DEC))</w:t>
      </w:r>
    </w:p>
    <w:p w14:paraId="33C06FB9" w14:textId="77777777" w:rsidR="00C1531C" w:rsidRPr="00F13AB0" w:rsidRDefault="008E08D6">
      <w:pPr>
        <w:pStyle w:val="Normal12"/>
      </w:pPr>
      <w:r w:rsidRPr="00F13AB0">
        <w:rPr>
          <w:i/>
        </w:rPr>
        <w:t>Evropski parlament,</w:t>
      </w:r>
    </w:p>
    <w:p w14:paraId="788ADE54" w14:textId="77777777" w:rsidR="009A1AE4" w:rsidRPr="00F13AB0" w:rsidRDefault="009A1AE4" w:rsidP="009A1AE4">
      <w:pPr>
        <w:pStyle w:val="Normal12Hanging"/>
      </w:pPr>
      <w:r w:rsidRPr="00F13AB0">
        <w:t>–</w:t>
      </w:r>
      <w:r w:rsidRPr="00F13AB0">
        <w:tab/>
        <w:t>ob upoštevanju končnega zaključnega računa Skupnega podjetja ECSEL za proračunsko leto 2017,</w:t>
      </w:r>
    </w:p>
    <w:p w14:paraId="028024DB" w14:textId="77777777" w:rsidR="009A1AE4" w:rsidRPr="00F13AB0" w:rsidRDefault="009A1AE4" w:rsidP="009A1AE4">
      <w:pPr>
        <w:pStyle w:val="Normal12Hanging"/>
      </w:pPr>
      <w:r w:rsidRPr="00F13AB0">
        <w:t>–</w:t>
      </w:r>
      <w:r w:rsidRPr="00F13AB0">
        <w:tab/>
        <w:t>ob upoštevanju poročila Računskega sodišča o zaključnem računu Skupnega podjetja ECSEL za proračunsko leto 2017 z odgovorom skupnega podjetja</w:t>
      </w:r>
      <w:r w:rsidR="00645C2E" w:rsidRPr="00F13AB0">
        <w:rPr>
          <w:rStyle w:val="FootnoteReference"/>
        </w:rPr>
        <w:footnoteReference w:id="6"/>
      </w:r>
      <w:r w:rsidRPr="00F13AB0">
        <w:t>,</w:t>
      </w:r>
    </w:p>
    <w:p w14:paraId="0912A9D2" w14:textId="77777777" w:rsidR="009A1AE4" w:rsidRPr="00F13AB0" w:rsidRDefault="009A1AE4" w:rsidP="009A1AE4">
      <w:pPr>
        <w:pStyle w:val="Normal12Hanging"/>
      </w:pPr>
      <w:r w:rsidRPr="00F13AB0">
        <w:t>–</w:t>
      </w:r>
      <w:r w:rsidRPr="00F13AB0">
        <w:tab/>
        <w:t>ob upoštevanju izjave o zanesljivosti</w:t>
      </w:r>
      <w:r w:rsidR="00645C2E" w:rsidRPr="00F13AB0">
        <w:rPr>
          <w:rStyle w:val="FootnoteReference"/>
        </w:rPr>
        <w:footnoteReference w:id="7"/>
      </w:r>
      <w:r w:rsidRPr="00F13AB0">
        <w:t xml:space="preserve"> računovodskih izkazov ter zakonitosti in pravilnosti z njimi povezanih transakcij, ki jo je za proračunsko leto 2017 v skladu s členom 287 Pogodbe o delovanju Evropske unije pripravilo Računsko sodišče,</w:t>
      </w:r>
    </w:p>
    <w:p w14:paraId="2C09A2FA" w14:textId="4BB82CC4" w:rsidR="009A1AE4" w:rsidRPr="00F13AB0" w:rsidRDefault="009A1AE4" w:rsidP="009A1AE4">
      <w:pPr>
        <w:pStyle w:val="Normal12Hanging"/>
      </w:pPr>
      <w:r w:rsidRPr="00F13AB0">
        <w:t>–</w:t>
      </w:r>
      <w:r w:rsidRPr="00F13AB0">
        <w:tab/>
        <w:t xml:space="preserve">ob upoštevanju priporočila Sveta z dne </w:t>
      </w:r>
      <w:r w:rsidRPr="00190881">
        <w:t>20. februarja 2019</w:t>
      </w:r>
      <w:r w:rsidRPr="00F13AB0">
        <w:t xml:space="preserve"> o podelitvi razrešnice skupnemu podjetju glede izvrševanja proračuna za proračunsko leto 2017 (05827/2019 – C8-0107/2019),</w:t>
      </w:r>
    </w:p>
    <w:p w14:paraId="08BE1872" w14:textId="6D19B433" w:rsidR="009A1AE4" w:rsidRPr="00F13AB0" w:rsidRDefault="009A1AE4" w:rsidP="009A1AE4">
      <w:pPr>
        <w:pStyle w:val="Normal12Hanging"/>
      </w:pPr>
      <w:r w:rsidRPr="00F13AB0">
        <w:t>–</w:t>
      </w:r>
      <w:r w:rsidRPr="00F13AB0">
        <w:tab/>
        <w:t xml:space="preserve">ob upoštevanju člena 319 Pogodbe o delovanju Evropske unije, </w:t>
      </w:r>
    </w:p>
    <w:p w14:paraId="7FBC8A84" w14:textId="6E7F602C" w:rsidR="009A1AE4" w:rsidRPr="00F13AB0" w:rsidRDefault="009A1AE4" w:rsidP="009A1AE4">
      <w:pPr>
        <w:pStyle w:val="Normal12Hanging"/>
      </w:pPr>
      <w:r w:rsidRPr="00F13AB0">
        <w:t>–</w:t>
      </w:r>
      <w:r w:rsidRPr="00F13AB0">
        <w:tab/>
        <w:t>ob upoštevanju Uredbe (EU, Euratom) št. 966/2012 Evropskega parlamenta in Sveta z dne 25. oktobra 2012 o finančnih pravilih, ki se uporabljajo za splošni proračun Unije, in razveljavitvi Uredbe Sveta (ES, Euratom) št. 1605/2002</w:t>
      </w:r>
      <w:r w:rsidR="00645C2E" w:rsidRPr="00F13AB0">
        <w:rPr>
          <w:rStyle w:val="FootnoteReference"/>
        </w:rPr>
        <w:footnoteReference w:id="8"/>
      </w:r>
      <w:r w:rsidRPr="00F13AB0">
        <w:t xml:space="preserve"> in zlasti člena 209,</w:t>
      </w:r>
    </w:p>
    <w:p w14:paraId="7F1ADBE1" w14:textId="77777777" w:rsidR="00645C2E" w:rsidRPr="00F13AB0" w:rsidRDefault="00645C2E" w:rsidP="00645C2E">
      <w:pPr>
        <w:pStyle w:val="Normal12Hanging"/>
      </w:pPr>
      <w:r w:rsidRPr="00F13AB0">
        <w:t>–</w:t>
      </w:r>
      <w:r w:rsidRPr="00F13AB0">
        <w:tab/>
        <w:t>ob upoštevanju 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r w:rsidRPr="00F13AB0">
        <w:rPr>
          <w:vertAlign w:val="superscript"/>
        </w:rPr>
        <w:t>4</w:t>
      </w:r>
      <w:r w:rsidRPr="00F13AB0">
        <w:t xml:space="preserve"> in zlasti člena 71,</w:t>
      </w:r>
    </w:p>
    <w:p w14:paraId="44723AF4" w14:textId="5A1A1D61" w:rsidR="009A1AE4" w:rsidRPr="00F13AB0" w:rsidRDefault="009A1AE4" w:rsidP="009A1AE4">
      <w:pPr>
        <w:pStyle w:val="Normal12Hanging"/>
      </w:pPr>
      <w:r w:rsidRPr="00F13AB0">
        <w:t>–</w:t>
      </w:r>
      <w:r w:rsidRPr="00F13AB0">
        <w:tab/>
        <w:t>ob upoštevanju Uredbe Sveta (EU) št. 561/2014 z dne 6. maja 2014 o ustanovitvi Skupnega podjetja ECSEL</w:t>
      </w:r>
      <w:r w:rsidR="00645C2E" w:rsidRPr="00F13AB0">
        <w:rPr>
          <w:rStyle w:val="FootnoteReference"/>
        </w:rPr>
        <w:footnoteReference w:id="9"/>
      </w:r>
      <w:r w:rsidRPr="00F13AB0">
        <w:t xml:space="preserve"> in zlasti člena 12,</w:t>
      </w:r>
    </w:p>
    <w:p w14:paraId="6D4C71FD" w14:textId="77777777" w:rsidR="009A1AE4" w:rsidRPr="00F13AB0" w:rsidRDefault="009A1AE4" w:rsidP="009A1AE4">
      <w:pPr>
        <w:pStyle w:val="Normal12Hanging"/>
      </w:pPr>
      <w:r w:rsidRPr="00F13AB0">
        <w:t>–</w:t>
      </w:r>
      <w:r w:rsidRPr="00F13AB0">
        <w:tab/>
        <w:t>ob upoštevanju Delegirane uredbe Komisije (EU) št. 110/2014 z dne 30. septembra 2013 o vzorčni finančni uredbi za subjekte javno-zasebnega partnerstva iz člena 209 Uredbe (EU, Euratom) št. 966/2012 Evropskega parlamenta in Sveta</w:t>
      </w:r>
      <w:r w:rsidR="00645C2E" w:rsidRPr="00F13AB0">
        <w:rPr>
          <w:rStyle w:val="FootnoteReference"/>
        </w:rPr>
        <w:footnoteReference w:id="10"/>
      </w:r>
      <w:r w:rsidRPr="00F13AB0">
        <w:t>,</w:t>
      </w:r>
    </w:p>
    <w:p w14:paraId="28BDDE76" w14:textId="77777777" w:rsidR="009A1AE4" w:rsidRPr="00F13AB0" w:rsidRDefault="009A1AE4" w:rsidP="009A1AE4">
      <w:pPr>
        <w:pStyle w:val="Normal12Hanging"/>
      </w:pPr>
      <w:r w:rsidRPr="00F13AB0">
        <w:t>–</w:t>
      </w:r>
      <w:r w:rsidRPr="00F13AB0">
        <w:tab/>
        <w:t>ob upoštevanju člena 94 in Priloge IV Poslovnika,</w:t>
      </w:r>
    </w:p>
    <w:p w14:paraId="170C2FE8" w14:textId="1728B37E" w:rsidR="009A1AE4" w:rsidRPr="00F13AB0" w:rsidRDefault="009A1AE4" w:rsidP="009A1AE4">
      <w:pPr>
        <w:pStyle w:val="Normal12Hanging"/>
      </w:pPr>
      <w:r w:rsidRPr="00F13AB0">
        <w:t>–</w:t>
      </w:r>
      <w:r w:rsidRPr="00F13AB0">
        <w:tab/>
        <w:t>ob upoštevanju poročila Odbora za proračunski nadzor (A8-0102/2019),</w:t>
      </w:r>
    </w:p>
    <w:p w14:paraId="4996A55B" w14:textId="1F2241C9" w:rsidR="00C1531C" w:rsidRPr="00F13AB0" w:rsidRDefault="005A6CAE" w:rsidP="00E33DBA">
      <w:pPr>
        <w:pStyle w:val="Normal12Hanging"/>
      </w:pPr>
      <w:r w:rsidRPr="00F13AB0">
        <w:t>1.</w:t>
      </w:r>
      <w:r w:rsidRPr="00F13AB0">
        <w:tab/>
      </w:r>
      <w:r w:rsidR="00170A91" w:rsidRPr="00190881">
        <w:rPr>
          <w:szCs w:val="24"/>
        </w:rPr>
        <w:t>odobri zaključni račun</w:t>
      </w:r>
      <w:r w:rsidR="00170A91">
        <w:rPr>
          <w:szCs w:val="24"/>
        </w:rPr>
        <w:t xml:space="preserve"> </w:t>
      </w:r>
      <w:r w:rsidRPr="00F13AB0">
        <w:t>Skupnega podjetja ECSEL za proračunsko leto 2017;</w:t>
      </w:r>
    </w:p>
    <w:p w14:paraId="3352783D" w14:textId="77777777" w:rsidR="00C1531C" w:rsidRPr="00F13AB0" w:rsidRDefault="00E33DBA">
      <w:pPr>
        <w:pStyle w:val="Normal12Hanging"/>
      </w:pPr>
      <w:r w:rsidRPr="00F13AB0">
        <w:t>2.</w:t>
      </w:r>
      <w:r w:rsidRPr="00F13AB0">
        <w:tab/>
        <w:t xml:space="preserve">naroči svojemu predsedniku, naj ta sklep posreduje izvršnemu direktorju Skupnega podjetja ECSEL, Svetu, Komisiji in Računskemu sodišču ter poskrbi za objavo v </w:t>
      </w:r>
      <w:r w:rsidRPr="00F13AB0">
        <w:rPr>
          <w:i/>
        </w:rPr>
        <w:t>Uradnem listu Evropske unije</w:t>
      </w:r>
      <w:r w:rsidRPr="00F13AB0">
        <w:t xml:space="preserve"> (serija L).</w:t>
      </w:r>
    </w:p>
    <w:p w14:paraId="7DDB9060" w14:textId="77777777" w:rsidR="00C1531C" w:rsidRPr="00F13AB0" w:rsidRDefault="00C1531C" w:rsidP="004D13BA">
      <w:pPr>
        <w:pStyle w:val="PageHeading"/>
      </w:pPr>
      <w:r w:rsidRPr="00F13AB0">
        <w:br w:type="page"/>
      </w:r>
      <w:bookmarkStart w:id="9" w:name="Resolution"/>
      <w:bookmarkStart w:id="10" w:name="_Toc3455667"/>
      <w:bookmarkEnd w:id="2"/>
      <w:bookmarkEnd w:id="3"/>
      <w:r w:rsidRPr="00F13AB0">
        <w:t>3. PREDLOG RESOLUCIJE EVROPSKEGA PARLAMENTA</w:t>
      </w:r>
      <w:bookmarkEnd w:id="10"/>
    </w:p>
    <w:p w14:paraId="6B3EB95E" w14:textId="77777777" w:rsidR="00C1531C" w:rsidRPr="00F13AB0" w:rsidRDefault="008E08D6">
      <w:pPr>
        <w:pStyle w:val="NormalBold"/>
      </w:pPr>
      <w:bookmarkStart w:id="11" w:name="ResolutionTitle"/>
      <w:bookmarkEnd w:id="9"/>
      <w:r w:rsidRPr="00F13AB0">
        <w:t>s pripombami, ki so del sklepa o razrešnici glede izvrševanja proračuna Skupnega podjetja ECSEL za proračunsko leto 2017</w:t>
      </w:r>
    </w:p>
    <w:bookmarkEnd w:id="11"/>
    <w:p w14:paraId="605A4D26" w14:textId="77777777" w:rsidR="00C1531C" w:rsidRPr="00F13AB0" w:rsidRDefault="008E08D6">
      <w:pPr>
        <w:pStyle w:val="Normal12Bold"/>
      </w:pPr>
      <w:r w:rsidRPr="00F13AB0">
        <w:t>(2018/2218(DEC))</w:t>
      </w:r>
    </w:p>
    <w:p w14:paraId="034E8A58" w14:textId="77777777" w:rsidR="00C1531C" w:rsidRPr="00F13AB0" w:rsidRDefault="008E08D6">
      <w:pPr>
        <w:pStyle w:val="Normal12"/>
      </w:pPr>
      <w:r w:rsidRPr="00F13AB0">
        <w:rPr>
          <w:i/>
        </w:rPr>
        <w:t>Evropski parlament,</w:t>
      </w:r>
    </w:p>
    <w:p w14:paraId="771DF5C8" w14:textId="77777777" w:rsidR="00A35902" w:rsidRPr="00F13AB0" w:rsidRDefault="00A35902" w:rsidP="00A35902">
      <w:pPr>
        <w:pStyle w:val="Normal12Hanging"/>
      </w:pPr>
      <w:r w:rsidRPr="00F13AB0">
        <w:t>–</w:t>
      </w:r>
      <w:r w:rsidRPr="00F13AB0">
        <w:tab/>
        <w:t>ob upoštevanju sklepa o razrešnici glede izvrševanja proračuna Skupnega podjetja ECSEL za proračunsko leto 2017,</w:t>
      </w:r>
    </w:p>
    <w:p w14:paraId="536AF31E" w14:textId="77777777" w:rsidR="00A35902" w:rsidRPr="00F13AB0" w:rsidRDefault="00A35902" w:rsidP="00A35902">
      <w:pPr>
        <w:pStyle w:val="Normal12Hanging"/>
      </w:pPr>
      <w:r w:rsidRPr="00F13AB0">
        <w:t>–</w:t>
      </w:r>
      <w:r w:rsidRPr="00F13AB0">
        <w:tab/>
        <w:t>ob upoštevanju člena 94 in Priloge IV Poslovnika,</w:t>
      </w:r>
    </w:p>
    <w:p w14:paraId="48FDA13C" w14:textId="77CACD92" w:rsidR="00A35902" w:rsidRPr="00F13AB0" w:rsidRDefault="00A35902" w:rsidP="00A35902">
      <w:pPr>
        <w:pStyle w:val="Normal12Hanging"/>
      </w:pPr>
      <w:r w:rsidRPr="00F13AB0">
        <w:t>–</w:t>
      </w:r>
      <w:r w:rsidRPr="00F13AB0">
        <w:tab/>
        <w:t>ob upoštevanju poročila Odbora za proračunski nadzor (A8-0102/2019),</w:t>
      </w:r>
    </w:p>
    <w:p w14:paraId="3A9F8AD5" w14:textId="77777777" w:rsidR="00890A20" w:rsidRPr="00F13AB0" w:rsidRDefault="00890A20" w:rsidP="00890A20">
      <w:pPr>
        <w:pStyle w:val="Normal12Hanging"/>
      </w:pPr>
      <w:r w:rsidRPr="00F13AB0">
        <w:t>A.</w:t>
      </w:r>
      <w:r w:rsidRPr="00F13AB0">
        <w:tab/>
        <w:t>ker je bilo Skupno podjetje ECSEL (Elektronske komponente in sistemi za evropski vodilni položaj; v nadaljnjem besedilu: skupno podjetje) ustanovljeno 7. junija 2014 v smislu člena 187 Pogodbe o delovanju Evropske unije, da bi v obdobju do 31. decembra 2024 izvajalo skupno tehnološko pobudo Elektronske komponente in sistemi za evropski vodilni položaj (ECSEL);</w:t>
      </w:r>
    </w:p>
    <w:p w14:paraId="159DE772" w14:textId="77777777" w:rsidR="00890A20" w:rsidRPr="00F13AB0" w:rsidRDefault="00890A20" w:rsidP="00890A20">
      <w:pPr>
        <w:pStyle w:val="Normal12Hanging"/>
      </w:pPr>
      <w:r w:rsidRPr="00F13AB0">
        <w:t>B.</w:t>
      </w:r>
      <w:r w:rsidRPr="00F13AB0">
        <w:tab/>
        <w:t>ker je bilo skupno podjetje junija 2014 ustanovljeno z Uredbo Sveta (EU) št. 561/2014</w:t>
      </w:r>
      <w:r w:rsidRPr="00F13AB0">
        <w:rPr>
          <w:vertAlign w:val="superscript"/>
        </w:rPr>
        <w:footnoteReference w:id="11"/>
      </w:r>
      <w:r w:rsidRPr="00F13AB0">
        <w:t xml:space="preserve"> z namenom, da nadomesti in nasledi skupni podjetji ARTEMIS in ENIAC;</w:t>
      </w:r>
    </w:p>
    <w:p w14:paraId="65C4C0A0" w14:textId="77777777" w:rsidR="00890A20" w:rsidRPr="00F13AB0" w:rsidRDefault="00890A20" w:rsidP="00890A20">
      <w:pPr>
        <w:pStyle w:val="Normal12Hanging"/>
      </w:pPr>
      <w:r w:rsidRPr="00F13AB0">
        <w:t>C.</w:t>
      </w:r>
      <w:r w:rsidRPr="00F13AB0">
        <w:tab/>
        <w:t>ker ima skupno podjetje posebno, tristransko sestavo in ker so njegovi člani Unija, države članice in prostovoljno države, pridružene programu Obzorje 2020 (v nadaljnjem besedilu: sodelujoče države), ter združenja v vlogi zasebnih članov (v nadaljnjem besedilu: zasebni člani), ki zastopajo gospodarske družbe, katerih člani so, in druge organizacije v Uniji, ki delujejo na področju elektronskih komponent in sistemov; ker bi morali imeti tudi novi člani možnost pristopiti k skupnemu podjetju;</w:t>
      </w:r>
    </w:p>
    <w:p w14:paraId="481EAD84" w14:textId="77777777" w:rsidR="00890A20" w:rsidRPr="00F13AB0" w:rsidRDefault="00890A20" w:rsidP="00890A20">
      <w:pPr>
        <w:pStyle w:val="Normal12Hanging"/>
      </w:pPr>
      <w:r w:rsidRPr="00F13AB0">
        <w:t>D.</w:t>
      </w:r>
      <w:r w:rsidRPr="00F13AB0">
        <w:tab/>
        <w:t>ker je glavni cilj skupnega podjetja prispevati k razvoju močne in svetovno konkurenčne panoge elektronskih komponent in sistemov v EU na osnovi usklajenih strategij držav članic za pritegnitev zasebnih naložb;</w:t>
      </w:r>
    </w:p>
    <w:p w14:paraId="5BF3704D" w14:textId="77777777" w:rsidR="00890A20" w:rsidRPr="00F13AB0" w:rsidRDefault="00890A20" w:rsidP="00890A20">
      <w:pPr>
        <w:pStyle w:val="Normal12Hanging"/>
      </w:pPr>
      <w:r w:rsidRPr="00F13AB0">
        <w:t>E.</w:t>
      </w:r>
      <w:r w:rsidRPr="00F13AB0">
        <w:tab/>
        <w:t>ker bo Unija za skupno podjetje med celotnim trajanjem programa Obzorje 2020 prispevala 1.184.874.000 EUR, sodelujoče države 1.170.000.000 EUR, zasebni člani pa 1.657.500.000 EUR;</w:t>
      </w:r>
    </w:p>
    <w:p w14:paraId="25282187" w14:textId="77777777" w:rsidR="00890A20" w:rsidRPr="00F13AB0" w:rsidRDefault="00890A20" w:rsidP="00890A20">
      <w:pPr>
        <w:pStyle w:val="Normal12Hanging"/>
        <w:rPr>
          <w:b/>
          <w:i/>
        </w:rPr>
      </w:pPr>
      <w:r w:rsidRPr="00F13AB0">
        <w:rPr>
          <w:b/>
          <w:i/>
        </w:rPr>
        <w:t>Upravljanje proračuna in finančno poslovodenje</w:t>
      </w:r>
    </w:p>
    <w:p w14:paraId="0F9AEC92" w14:textId="77777777" w:rsidR="00890A20" w:rsidRPr="00F13AB0" w:rsidRDefault="00890A20" w:rsidP="00890A20">
      <w:pPr>
        <w:pStyle w:val="Normal12Hanging"/>
      </w:pPr>
      <w:r w:rsidRPr="00F13AB0">
        <w:t>1.</w:t>
      </w:r>
      <w:r w:rsidRPr="00F13AB0">
        <w:tab/>
        <w:t>ugotavlja, da je Računsko sodišče v poročilu o zaključnem računu skupnega podjetja za proračunsko leto 2017 (v nadaljnjem besedilu: poročilo Računskega sodišča) navedlo, da zaključni račun skupnega podjetja v vseh pomembnih vidikih pošteno predstavlja njegov finančni položaj na dan 31. decembra 2017 ter njegov poslovni izid in denarne tokove za tedaj končano leto v skladu z njegovimi finančnimi pravili in računovodskimi pravili, ki jih je sprejel računovodja Komisije;</w:t>
      </w:r>
    </w:p>
    <w:p w14:paraId="45725D2D" w14:textId="77777777" w:rsidR="00890A20" w:rsidRPr="00F13AB0" w:rsidRDefault="00890A20" w:rsidP="00890A20">
      <w:pPr>
        <w:pStyle w:val="Normal12Hanging"/>
      </w:pPr>
      <w:r w:rsidRPr="00F13AB0">
        <w:t>2.</w:t>
      </w:r>
      <w:r w:rsidRPr="00F13AB0">
        <w:tab/>
        <w:t>ugotavlja, da je končni proračun skupnega podjetja za leto 2017 vključeval sredstva za prevzem obveznosti v višini 183.900.000 EUR in sredstva za plačila v višini 290.100.000 EUR; ugotavlja, da je stopnja porabe obveznosti znašala 98 %, stopnja porabe plačil pa 83 %;</w:t>
      </w:r>
    </w:p>
    <w:p w14:paraId="4F6D73C5" w14:textId="77777777" w:rsidR="00890A20" w:rsidRPr="00F13AB0" w:rsidRDefault="00890A20" w:rsidP="00890A20">
      <w:pPr>
        <w:pStyle w:val="Normal12Hanging"/>
      </w:pPr>
      <w:r w:rsidRPr="00F13AB0">
        <w:t>3.</w:t>
      </w:r>
      <w:r w:rsidRPr="00F13AB0">
        <w:tab/>
        <w:t>je seznanjen s trditvijo iz poročila Računskega sodišča, da so transakcije, povezane z letnimi računovodskimi izkazi skupnega podjetja za proračunsko leto 2017, v vseh pomembnih vidikih zakonite in pravilne;</w:t>
      </w:r>
    </w:p>
    <w:p w14:paraId="34FF200A" w14:textId="77777777" w:rsidR="00890A20" w:rsidRPr="00F13AB0" w:rsidRDefault="00890A20" w:rsidP="00890A20">
      <w:pPr>
        <w:pStyle w:val="Normal12Hanging"/>
      </w:pPr>
      <w:r w:rsidRPr="00F13AB0">
        <w:t>4.</w:t>
      </w:r>
      <w:r w:rsidRPr="00F13AB0">
        <w:tab/>
        <w:t>ugotavlja, da je Računsko sodišče dalo mnenje s pridržkom o zakonitosti in pravilnosti plačil, povezanih z letnimi računovodskimi izkazi, in sicer zaradi projektov, ki jih je skupno podjetje prevzelo od svojih pravnih predhodnikov, skupnih podjetij Artemis in ENIAC; poziva Računsko sodišče, naj razmisli o metodologiji, zaradi katere je večkrat dalo mnenje s pridržkom zaradi iste težave, ki je ne bo mogoče rešiti, dokler projekti sedmega okvirnega programa ne bodo končani;</w:t>
      </w:r>
    </w:p>
    <w:p w14:paraId="3A7CE072" w14:textId="77777777" w:rsidR="00890A20" w:rsidRPr="00F13AB0" w:rsidRDefault="00890A20" w:rsidP="00890A20">
      <w:pPr>
        <w:pStyle w:val="Normal12Hanging"/>
      </w:pPr>
      <w:r w:rsidRPr="00F13AB0">
        <w:t>5.</w:t>
      </w:r>
      <w:r w:rsidRPr="00F13AB0">
        <w:tab/>
        <w:t>je seznanjen z zapletenim proračunskim in računovodskim modelom skupnega podjetja, ki je posledica njegove tristranske narave; ugotavlja, da bi skupno podjetje potrebovalo nadaljnjo poenostavitev računovodstva in revizije;</w:t>
      </w:r>
    </w:p>
    <w:p w14:paraId="63BB53D2" w14:textId="77777777" w:rsidR="00890A20" w:rsidRPr="00F13AB0" w:rsidRDefault="00890A20" w:rsidP="00890A20">
      <w:pPr>
        <w:pStyle w:val="Normal12Hanging"/>
      </w:pPr>
      <w:r w:rsidRPr="00F13AB0">
        <w:t>6.</w:t>
      </w:r>
      <w:r w:rsidRPr="00F13AB0">
        <w:tab/>
        <w:t>ugotavlja, da je skupno podjetje iz sredstev programa Obzorje 2020 v višini 1.204.700.000 EUR, ki so mu bila dodeljena, vključno z denarnim prispevkom članov panoge v višini 19.700.000 EUR za kritje njegovih upravnih stroškov, do konca leta 2017 prevzelo obveznosti v višini 455.000.000 EUR in izvršilo plačila v višini 314.000.000 EUR (31,81 % dodeljenih sredstev), predvsem plačila v okviru predhodnega financiranja za prvi sklop projektov iz programa Obzorje 2020;</w:t>
      </w:r>
    </w:p>
    <w:p w14:paraId="248B9A66" w14:textId="77777777" w:rsidR="00890A20" w:rsidRPr="00F13AB0" w:rsidRDefault="00890A20" w:rsidP="00890A20">
      <w:pPr>
        <w:pStyle w:val="Normal12Hanging"/>
      </w:pPr>
      <w:r w:rsidRPr="00F13AB0">
        <w:t>7.</w:t>
      </w:r>
      <w:r w:rsidRPr="00F13AB0">
        <w:tab/>
        <w:t>ugotavlja, da je konec leta 2017 skupno podjetje v zvezi s prispevki v višini 1.657.500.000 EUR, ki jih morajo za njegove dejavnosti prispevati člani panoge, ocenilo, da so stvarni prispevki članov znašali 421.000.000 EUR, medtem ko je denarni prispevek Unije znašal 377.000.000 EUR;</w:t>
      </w:r>
    </w:p>
    <w:p w14:paraId="1AAEFF3E" w14:textId="77777777" w:rsidR="00890A20" w:rsidRPr="00F13AB0" w:rsidRDefault="00890A20" w:rsidP="00890A20">
      <w:pPr>
        <w:pStyle w:val="Normal12Hanging"/>
        <w:rPr>
          <w:b/>
          <w:i/>
        </w:rPr>
      </w:pPr>
      <w:r w:rsidRPr="00F13AB0">
        <w:rPr>
          <w:b/>
          <w:i/>
        </w:rPr>
        <w:t>Uspešnost</w:t>
      </w:r>
    </w:p>
    <w:p w14:paraId="4682AC3D" w14:textId="77777777" w:rsidR="00890A20" w:rsidRPr="00F13AB0" w:rsidRDefault="00890A20" w:rsidP="00890A20">
      <w:pPr>
        <w:pStyle w:val="Normal12Hanging"/>
      </w:pPr>
      <w:r w:rsidRPr="00F13AB0">
        <w:t>8.</w:t>
      </w:r>
      <w:r w:rsidRPr="00F13AB0">
        <w:tab/>
        <w:t>pozdravlja dejstvo, da neobstoj uveljavljenih ključnih kazalnikov uspešnosti ni več problem v okviru programa Obzorje 2020; ugotavlja, da je bila večina ciljev glede ključnih kazalnikov uspešnosti iz tretjega sklopa že izpolnjenih;</w:t>
      </w:r>
    </w:p>
    <w:p w14:paraId="1E167B46" w14:textId="77777777" w:rsidR="00890A20" w:rsidRPr="00F13AB0" w:rsidRDefault="00890A20" w:rsidP="00890A20">
      <w:pPr>
        <w:pStyle w:val="Normal12Hanging"/>
      </w:pPr>
      <w:r w:rsidRPr="00F13AB0">
        <w:t>9.</w:t>
      </w:r>
      <w:r w:rsidRPr="00F13AB0">
        <w:tab/>
        <w:t>ugotavlja, da je stopnja stroškov upravljanja (administrativni/operativni proračun) še vedno nižja od 5 %, kar kaže, da je organizacijska struktura skupnega podjetja precej varčna in učinkovita;</w:t>
      </w:r>
    </w:p>
    <w:p w14:paraId="5F840179" w14:textId="77777777" w:rsidR="00890A20" w:rsidRPr="00F13AB0" w:rsidRDefault="00890A20" w:rsidP="00890A20">
      <w:pPr>
        <w:pStyle w:val="Normal12Hanging"/>
      </w:pPr>
      <w:r w:rsidRPr="00F13AB0">
        <w:t>10.</w:t>
      </w:r>
      <w:r w:rsidRPr="00F13AB0">
        <w:tab/>
        <w:t>pozdravlja, da je vrednost učinka vzvoda, ki je v letu 2017 znašala 3,0, presega ciljno vrednost učinka izvoda v celotnem obdobju 2014–2020;</w:t>
      </w:r>
    </w:p>
    <w:p w14:paraId="66395F03" w14:textId="77777777" w:rsidR="00890A20" w:rsidRPr="00F13AB0" w:rsidRDefault="00890A20" w:rsidP="00890A20">
      <w:pPr>
        <w:pStyle w:val="Normal12Hanging"/>
      </w:pPr>
      <w:r w:rsidRPr="00F13AB0">
        <w:t>11.</w:t>
      </w:r>
      <w:r w:rsidRPr="00F13AB0">
        <w:tab/>
        <w:t>z zadovoljstvom ugotavlja, da si je skupno podjetje močno prizadevalo, da bi bilo pregledno, pri čemer so bili objavljeni vsi izvedeni razpisi za zbiranje predlogov;</w:t>
      </w:r>
    </w:p>
    <w:p w14:paraId="41FEF10C" w14:textId="77777777" w:rsidR="00890A20" w:rsidRPr="00F13AB0" w:rsidRDefault="00890A20" w:rsidP="00890A20">
      <w:pPr>
        <w:pStyle w:val="Normal12Hanging"/>
      </w:pPr>
      <w:r w:rsidRPr="00F13AB0">
        <w:t>12.</w:t>
      </w:r>
      <w:r w:rsidRPr="00F13AB0">
        <w:tab/>
        <w:t>pozdravlja vpliv skupnega podjetja na njegovem strokovnem področju po celotni Evropi in njegovo sposobnost za oblikovanje medsebojno povezanega ekosistema ustreznih deležnikov; je seznanjen, da strokovnjaki poudarjajo, da skupno podjetje privablja najboljše evropske igralce na področju polprevodnikov in sistemov; poziva skupno podjetje, naj pritegne več malih in srednjih podjetij;</w:t>
      </w:r>
    </w:p>
    <w:p w14:paraId="6C7235F8" w14:textId="77777777" w:rsidR="00890A20" w:rsidRPr="00F13AB0" w:rsidRDefault="00890A20" w:rsidP="00890A20">
      <w:pPr>
        <w:pStyle w:val="Normal12Hanging"/>
      </w:pPr>
      <w:r w:rsidRPr="00F13AB0">
        <w:t>13.</w:t>
      </w:r>
      <w:r w:rsidRPr="00F13AB0">
        <w:tab/>
        <w:t>pozdravlja dejstvo, da so bili vsi javni razpisi objavljeni in zaključeni v skladu z ustreznimi delovnimi načrti in da so bila nepovratna sredstva dodeljena in izplačila izvedena precej pred koncem ciljnih rokov;</w:t>
      </w:r>
    </w:p>
    <w:p w14:paraId="748D5869" w14:textId="77777777" w:rsidR="00890A20" w:rsidRPr="00F13AB0" w:rsidRDefault="00890A20" w:rsidP="00890A20">
      <w:pPr>
        <w:pStyle w:val="Normal12Hanging"/>
        <w:rPr>
          <w:b/>
          <w:i/>
        </w:rPr>
      </w:pPr>
      <w:r w:rsidRPr="00F13AB0">
        <w:rPr>
          <w:b/>
          <w:i/>
        </w:rPr>
        <w:t>Javna naročila</w:t>
      </w:r>
    </w:p>
    <w:p w14:paraId="6D85B4F2" w14:textId="77777777" w:rsidR="00890A20" w:rsidRPr="00F13AB0" w:rsidRDefault="00890A20" w:rsidP="00890A20">
      <w:pPr>
        <w:pStyle w:val="Normal12Hanging"/>
      </w:pPr>
      <w:r w:rsidRPr="00F13AB0">
        <w:t>14.</w:t>
      </w:r>
      <w:r w:rsidRPr="00F13AB0">
        <w:tab/>
        <w:t>je seznanjen, da je Računsko sodišče ugotovilo precejšnje pomanjkljivosti pri vodenju postopkov za oddajo javnih naročil za upravne storitve; na podlagi odgovorov skupnega podjetja ugotavlja, da je bil za odpravo teh pomanjkljivosti imenovan strokovni sodelavec za proračun, javno naročanje in pogodbe;</w:t>
      </w:r>
    </w:p>
    <w:p w14:paraId="3D7B8B0B" w14:textId="77777777" w:rsidR="00890A20" w:rsidRPr="00F13AB0" w:rsidRDefault="00890A20" w:rsidP="00890A20">
      <w:pPr>
        <w:pStyle w:val="Normal12Hanging"/>
        <w:rPr>
          <w:b/>
          <w:i/>
        </w:rPr>
      </w:pPr>
      <w:r w:rsidRPr="00F13AB0">
        <w:rPr>
          <w:b/>
          <w:i/>
        </w:rPr>
        <w:t>Notranje kontrole</w:t>
      </w:r>
    </w:p>
    <w:p w14:paraId="47920AD3" w14:textId="77777777" w:rsidR="00890A20" w:rsidRPr="00F13AB0" w:rsidRDefault="00890A20" w:rsidP="00890A20">
      <w:pPr>
        <w:pStyle w:val="Normal12Hanging"/>
      </w:pPr>
      <w:r w:rsidRPr="00F13AB0">
        <w:t>15.</w:t>
      </w:r>
      <w:r w:rsidRPr="00F13AB0">
        <w:tab/>
        <w:t>pozdravlja dejstvo, da je skupno podjetje sprejelo ukrepe za oceno izvajanja naknadnih revizij s strani nacionalnih organov za financiranje in je pridobilo njihove pisne izjave, s katerimi ti organi potrjujejo, da izvajanje nacionalnih postopkov daje razumno zagotovilo za zakonitost in pravilnost transakcij;</w:t>
      </w:r>
    </w:p>
    <w:p w14:paraId="48B614B9" w14:textId="77777777" w:rsidR="00890A20" w:rsidRPr="00F13AB0" w:rsidRDefault="00890A20" w:rsidP="00890A20">
      <w:pPr>
        <w:pStyle w:val="Normal12Hanging"/>
      </w:pPr>
      <w:r w:rsidRPr="00F13AB0">
        <w:t>16.</w:t>
      </w:r>
      <w:r w:rsidRPr="00F13AB0">
        <w:tab/>
        <w:t>z zadovoljstvom ugotavlja, da razlike med metodologijami in postopki, ki jih uporabljajo nacionalni organi za financiranje, niso več relevantne za izvajanje projektov Obzorja 2020, saj naknadne revizije izvajata bodisi skupno podjetje bodisi Komisija; ugotavlja, da se v skladu z določbami skupnega načrta naknadnih revizij za program Obzorje 2020 zdaj že izvaja 17 naknadnih revizij transakcij v zvezi z dejavnostmi skupnega podjetja;</w:t>
      </w:r>
    </w:p>
    <w:p w14:paraId="0C45CF68" w14:textId="77777777" w:rsidR="00890A20" w:rsidRPr="00F13AB0" w:rsidRDefault="00890A20" w:rsidP="00890A20">
      <w:pPr>
        <w:pStyle w:val="Normal12Hanging"/>
      </w:pPr>
      <w:r w:rsidRPr="00F13AB0">
        <w:t>17.</w:t>
      </w:r>
      <w:r w:rsidRPr="00F13AB0">
        <w:tab/>
        <w:t>je seznanjen, da skupno podjetje v letu 2017 v svojem registru izjem ni ustrezno evidentiralo poslovodskega izogibanja kontrolam in odstopanja od ustaljenih procesov in postopkov; na podlagi odgovora skupnega podjetja ugotavlja, da je slednje sprejelo ukrepe za rešitev tega problema, npr. pregled standarda notranje kontrole št. 8, da ima register izjem in da je bilo leta 2018 izvedeno usposabljanje zaposlenih;</w:t>
      </w:r>
    </w:p>
    <w:p w14:paraId="6D328638" w14:textId="77777777" w:rsidR="00890A20" w:rsidRPr="00F13AB0" w:rsidRDefault="00890A20" w:rsidP="00890A20">
      <w:pPr>
        <w:pStyle w:val="Normal12Hanging"/>
      </w:pPr>
      <w:r w:rsidRPr="00F13AB0">
        <w:t>18.</w:t>
      </w:r>
      <w:r w:rsidRPr="00F13AB0">
        <w:tab/>
        <w:t>ugotavlja, da je Komisija izvedla končno oceno skupnih podjetij Artemis in ENIAC za obdobje 2008–2013, pa tudi vmesno oceno skupnega podjetja, ki deluje v okviru programa Obzorje 2020, za obdobje 2014–2016; je seznanjen, da je skupno podjetje pripravilo in sprejelo akcijski načrt za izvedbo priporočil iz teh ocen ter da so se nekatere dejavnosti že začele izvajati;</w:t>
      </w:r>
    </w:p>
    <w:p w14:paraId="46541073" w14:textId="77777777" w:rsidR="00890A20" w:rsidRPr="00F13AB0" w:rsidRDefault="00890A20" w:rsidP="00890A20">
      <w:pPr>
        <w:pStyle w:val="Normal12Hanging"/>
        <w:rPr>
          <w:b/>
          <w:i/>
        </w:rPr>
      </w:pPr>
      <w:r w:rsidRPr="00F13AB0">
        <w:rPr>
          <w:b/>
          <w:i/>
        </w:rPr>
        <w:t>Notranja revizija</w:t>
      </w:r>
    </w:p>
    <w:p w14:paraId="2207DA3B" w14:textId="77777777" w:rsidR="00890A20" w:rsidRPr="00F13AB0" w:rsidRDefault="00890A20" w:rsidP="00890A20">
      <w:pPr>
        <w:pStyle w:val="Normal12Hanging"/>
      </w:pPr>
      <w:r w:rsidRPr="00F13AB0">
        <w:t>19.</w:t>
      </w:r>
      <w:r w:rsidRPr="00F13AB0">
        <w:tab/>
        <w:t>ugotavlja, da je služba Komisije za notranjo revizijo leta 2017 opravila revizijo upravljanja uspešnosti in zahtevala, da skupno podjetje oblikuje akcijski načrt za izvedbo priporočil iz tega poročila</w:t>
      </w:r>
      <w:r w:rsidRPr="00F13AB0">
        <w:rPr>
          <w:rStyle w:val="Sup"/>
        </w:rPr>
        <w:footnoteReference w:id="12"/>
      </w:r>
      <w:r w:rsidRPr="00F13AB0">
        <w:t>; je seznanjen, da je upravni odbor skupnega podjetja aprila 2018 sprejel akcijski načrt;</w:t>
      </w:r>
    </w:p>
    <w:p w14:paraId="224BC3BB" w14:textId="77777777" w:rsidR="00890A20" w:rsidRPr="00F13AB0" w:rsidRDefault="00890A20" w:rsidP="00890A20">
      <w:pPr>
        <w:pStyle w:val="Normal12Hanging"/>
        <w:rPr>
          <w:b/>
          <w:bCs/>
          <w:i/>
          <w:iCs/>
        </w:rPr>
      </w:pPr>
      <w:r w:rsidRPr="00F13AB0">
        <w:rPr>
          <w:b/>
          <w:bCs/>
          <w:i/>
          <w:iCs/>
        </w:rPr>
        <w:t>Upravljanje človeških virov</w:t>
      </w:r>
    </w:p>
    <w:p w14:paraId="4FA09C8C" w14:textId="77777777" w:rsidR="00890A20" w:rsidRPr="00F13AB0" w:rsidRDefault="00890A20" w:rsidP="00890A20">
      <w:pPr>
        <w:pStyle w:val="Normal12Hanging"/>
        <w:rPr>
          <w:bCs/>
          <w:iCs/>
        </w:rPr>
      </w:pPr>
      <w:r w:rsidRPr="00F13AB0">
        <w:t>20.</w:t>
      </w:r>
      <w:r w:rsidRPr="00F13AB0">
        <w:tab/>
        <w:t>ugotavlja, da je imelo skupno podjetje 31. decembra 2017 29 zaposlenih, toliko kot v letu prej; ugotavlja, da je skupno podjetje zaposlilo enega uslužbenca na področju komuniciranja ter objavilo razpis za dve delovni mesti, in sicer za upravljanje notranjih kontrol in revizij in za vodjo upravne in finančne službe, ter razpis za napotenega nacionalnega strokovnjaka;</w:t>
      </w:r>
    </w:p>
    <w:p w14:paraId="5FA288DD" w14:textId="77777777" w:rsidR="00890A20" w:rsidRPr="00F13AB0" w:rsidRDefault="00890A20" w:rsidP="00890A20">
      <w:pPr>
        <w:pStyle w:val="Normal12Hanging"/>
        <w:ind w:left="560" w:hanging="560"/>
      </w:pPr>
      <w:r w:rsidRPr="00F13AB0">
        <w:t>21.</w:t>
      </w:r>
      <w:r w:rsidRPr="00F13AB0">
        <w:tab/>
        <w:t xml:space="preserve">pozdravlja dejstvo, da je bil 1. junija 2017 organigram skupnega podjetja posodobljen, da bi strukturo organizacije prilagodili prednostnim nalogam in potrebam po strokovnem znanju. </w:t>
      </w:r>
    </w:p>
    <w:p w14:paraId="0094BCD4" w14:textId="603902FF" w:rsidR="00FF3BD2" w:rsidRPr="00F13AB0" w:rsidRDefault="00FF3BD2" w:rsidP="00FF3BD2">
      <w:pPr>
        <w:pStyle w:val="PageHeading"/>
      </w:pPr>
      <w:r w:rsidRPr="00F13AB0">
        <w:br w:type="page"/>
      </w:r>
      <w:bookmarkStart w:id="12" w:name="ProcPageRR"/>
      <w:bookmarkStart w:id="13" w:name="_Toc3455668"/>
      <w:r w:rsidRPr="00F13AB0">
        <w:t>INFORMACIJE O SPREJETJU V PRISTOJNEM ODBORU</w:t>
      </w:r>
      <w:bookmarkEnd w:id="1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F3BD2" w:rsidRPr="00F13AB0" w14:paraId="6D10A8B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51CCEE8" w14:textId="77777777" w:rsidR="00FF3BD2" w:rsidRPr="00F13AB0" w:rsidRDefault="00FF3BD2">
            <w:pPr>
              <w:autoSpaceDE w:val="0"/>
              <w:autoSpaceDN w:val="0"/>
              <w:adjustRightInd w:val="0"/>
              <w:rPr>
                <w:b/>
                <w:bCs/>
                <w:color w:val="000000"/>
                <w:sz w:val="20"/>
              </w:rPr>
            </w:pPr>
            <w:r w:rsidRPr="00F13AB0">
              <w:rPr>
                <w:b/>
                <w:bCs/>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D3A7579" w14:textId="77777777" w:rsidR="00FF3BD2" w:rsidRPr="00F13AB0" w:rsidRDefault="00FF3BD2">
            <w:pPr>
              <w:autoSpaceDE w:val="0"/>
              <w:autoSpaceDN w:val="0"/>
              <w:adjustRightInd w:val="0"/>
              <w:rPr>
                <w:color w:val="000000"/>
                <w:sz w:val="20"/>
              </w:rPr>
            </w:pPr>
            <w:r w:rsidRPr="00F13AB0">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6B96411" w14:textId="77777777" w:rsidR="00FF3BD2" w:rsidRPr="00F13AB0" w:rsidRDefault="00FF3BD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140DA75" w14:textId="77777777" w:rsidR="00FF3BD2" w:rsidRPr="00F13AB0" w:rsidRDefault="00FF3BD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009A520" w14:textId="77777777" w:rsidR="00FF3BD2" w:rsidRPr="00F13AB0" w:rsidRDefault="00FF3BD2">
            <w:pPr>
              <w:autoSpaceDE w:val="0"/>
              <w:autoSpaceDN w:val="0"/>
              <w:adjustRightInd w:val="0"/>
              <w:rPr>
                <w:rFonts w:ascii="sans-serif" w:hAnsi="sans-serif" w:cs="sans-serif"/>
                <w:color w:val="000000"/>
                <w:szCs w:val="24"/>
              </w:rPr>
            </w:pPr>
          </w:p>
        </w:tc>
      </w:tr>
      <w:tr w:rsidR="00FF3BD2" w:rsidRPr="00F13AB0" w14:paraId="6B81543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3268559" w14:textId="77777777" w:rsidR="00FF3BD2" w:rsidRPr="00F13AB0" w:rsidRDefault="00FF3BD2">
            <w:pPr>
              <w:autoSpaceDE w:val="0"/>
              <w:autoSpaceDN w:val="0"/>
              <w:adjustRightInd w:val="0"/>
              <w:rPr>
                <w:b/>
                <w:bCs/>
                <w:color w:val="000000"/>
                <w:sz w:val="20"/>
              </w:rPr>
            </w:pPr>
            <w:r w:rsidRPr="00F13AB0">
              <w:rPr>
                <w:b/>
                <w:bCs/>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7D678C7" w14:textId="77777777" w:rsidR="00FF3BD2" w:rsidRPr="00F13AB0" w:rsidRDefault="00FF3BD2">
            <w:pPr>
              <w:autoSpaceDE w:val="0"/>
              <w:autoSpaceDN w:val="0"/>
              <w:adjustRightInd w:val="0"/>
              <w:rPr>
                <w:color w:val="000000"/>
                <w:sz w:val="20"/>
              </w:rPr>
            </w:pPr>
            <w:r w:rsidRPr="00F13AB0">
              <w:rPr>
                <w:color w:val="000000"/>
                <w:sz w:val="20"/>
              </w:rPr>
              <w:t>+:</w:t>
            </w:r>
          </w:p>
          <w:p w14:paraId="29E45524" w14:textId="77777777" w:rsidR="00FF3BD2" w:rsidRPr="00F13AB0" w:rsidRDefault="00FF3BD2">
            <w:pPr>
              <w:autoSpaceDE w:val="0"/>
              <w:autoSpaceDN w:val="0"/>
              <w:adjustRightInd w:val="0"/>
              <w:rPr>
                <w:color w:val="000000"/>
                <w:sz w:val="20"/>
              </w:rPr>
            </w:pPr>
            <w:r w:rsidRPr="00F13AB0">
              <w:rPr>
                <w:color w:val="000000"/>
                <w:sz w:val="20"/>
              </w:rPr>
              <w:t>–:</w:t>
            </w:r>
          </w:p>
          <w:p w14:paraId="37A320AB" w14:textId="77777777" w:rsidR="00FF3BD2" w:rsidRPr="00F13AB0" w:rsidRDefault="00FF3BD2">
            <w:pPr>
              <w:autoSpaceDE w:val="0"/>
              <w:autoSpaceDN w:val="0"/>
              <w:adjustRightInd w:val="0"/>
              <w:rPr>
                <w:color w:val="000000"/>
                <w:sz w:val="20"/>
              </w:rPr>
            </w:pPr>
            <w:r w:rsidRPr="00F13AB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8290AC1" w14:textId="77777777" w:rsidR="00FF3BD2" w:rsidRPr="00F13AB0" w:rsidRDefault="00FF3BD2">
            <w:pPr>
              <w:autoSpaceDE w:val="0"/>
              <w:autoSpaceDN w:val="0"/>
              <w:adjustRightInd w:val="0"/>
              <w:rPr>
                <w:color w:val="000000"/>
                <w:sz w:val="20"/>
              </w:rPr>
            </w:pPr>
            <w:r w:rsidRPr="00F13AB0">
              <w:rPr>
                <w:color w:val="000000"/>
                <w:sz w:val="20"/>
              </w:rPr>
              <w:t>18</w:t>
            </w:r>
          </w:p>
          <w:p w14:paraId="298E3E4B" w14:textId="77777777" w:rsidR="00FF3BD2" w:rsidRPr="00F13AB0" w:rsidRDefault="00FF3BD2">
            <w:pPr>
              <w:autoSpaceDE w:val="0"/>
              <w:autoSpaceDN w:val="0"/>
              <w:adjustRightInd w:val="0"/>
              <w:rPr>
                <w:color w:val="000000"/>
                <w:sz w:val="20"/>
              </w:rPr>
            </w:pPr>
            <w:r w:rsidRPr="00F13AB0">
              <w:rPr>
                <w:color w:val="000000"/>
                <w:sz w:val="20"/>
              </w:rPr>
              <w:t>2</w:t>
            </w:r>
          </w:p>
          <w:p w14:paraId="50F89538" w14:textId="77777777" w:rsidR="00FF3BD2" w:rsidRPr="00F13AB0" w:rsidRDefault="00FF3BD2">
            <w:pPr>
              <w:autoSpaceDE w:val="0"/>
              <w:autoSpaceDN w:val="0"/>
              <w:adjustRightInd w:val="0"/>
              <w:rPr>
                <w:color w:val="000000"/>
                <w:sz w:val="20"/>
              </w:rPr>
            </w:pPr>
            <w:r w:rsidRPr="00F13AB0">
              <w:rPr>
                <w:color w:val="000000"/>
                <w:sz w:val="20"/>
              </w:rPr>
              <w:t>0</w:t>
            </w:r>
          </w:p>
        </w:tc>
      </w:tr>
      <w:tr w:rsidR="00FF3BD2" w:rsidRPr="00F13AB0" w14:paraId="484811E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B89B2A0" w14:textId="77777777" w:rsidR="00FF3BD2" w:rsidRPr="00F13AB0" w:rsidRDefault="00FF3BD2">
            <w:pPr>
              <w:autoSpaceDE w:val="0"/>
              <w:autoSpaceDN w:val="0"/>
              <w:adjustRightInd w:val="0"/>
              <w:rPr>
                <w:b/>
                <w:bCs/>
                <w:color w:val="000000"/>
                <w:sz w:val="20"/>
              </w:rPr>
            </w:pPr>
            <w:r w:rsidRPr="00F13AB0">
              <w:rPr>
                <w:b/>
                <w:bCs/>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9697BD" w14:textId="5441010C" w:rsidR="00FF3BD2" w:rsidRPr="00F13AB0" w:rsidRDefault="00F66C61">
            <w:pPr>
              <w:autoSpaceDE w:val="0"/>
              <w:autoSpaceDN w:val="0"/>
              <w:adjustRightInd w:val="0"/>
              <w:rPr>
                <w:color w:val="000000"/>
                <w:sz w:val="20"/>
              </w:rPr>
            </w:pPr>
            <w:r w:rsidRPr="00F13AB0">
              <w:rPr>
                <w:color w:val="000000"/>
                <w:sz w:val="20"/>
              </w:rPr>
              <w:t>Nedžmi Ali (Nedzhmi Ali), Inés Ayala Sender, Zigmantas Balčytis, Dennis de Jong, Tamás Deutsch, Martina Dlabajová, Ingeborg Gräßle, Jean-François Jalkh, Wolf Klinz, Monica Macovei, Georgi Pirinski, José Ignacio Salafranca Sánchez-Neyra, Petri Sarvamaa, Claudia Schmidt, Bart Staes, Marco Valli, Derek Vaughan, Tomáš Zdechovský, Joachim Zeller</w:t>
            </w:r>
          </w:p>
        </w:tc>
      </w:tr>
      <w:tr w:rsidR="00FF3BD2" w:rsidRPr="00F13AB0" w14:paraId="7E60ED48"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FE41933" w14:textId="77777777" w:rsidR="00FF3BD2" w:rsidRPr="00F13AB0" w:rsidRDefault="00FF3BD2">
            <w:pPr>
              <w:autoSpaceDE w:val="0"/>
              <w:autoSpaceDN w:val="0"/>
              <w:adjustRightInd w:val="0"/>
              <w:rPr>
                <w:b/>
                <w:bCs/>
                <w:color w:val="000000"/>
                <w:sz w:val="20"/>
              </w:rPr>
            </w:pPr>
            <w:r w:rsidRPr="00F13AB0">
              <w:rPr>
                <w:b/>
                <w:bCs/>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CA76F2D" w14:textId="77777777" w:rsidR="00FF3BD2" w:rsidRPr="00F13AB0" w:rsidRDefault="00FF3BD2">
            <w:pPr>
              <w:autoSpaceDE w:val="0"/>
              <w:autoSpaceDN w:val="0"/>
              <w:adjustRightInd w:val="0"/>
              <w:rPr>
                <w:color w:val="000000"/>
                <w:sz w:val="20"/>
              </w:rPr>
            </w:pPr>
            <w:r w:rsidRPr="00F13AB0">
              <w:rPr>
                <w:color w:val="000000"/>
                <w:sz w:val="20"/>
              </w:rPr>
              <w:t>Karin Kadenbach</w:t>
            </w:r>
          </w:p>
        </w:tc>
      </w:tr>
    </w:tbl>
    <w:p w14:paraId="677BDE7C" w14:textId="77777777" w:rsidR="00FF3BD2" w:rsidRPr="00F13AB0" w:rsidRDefault="00FF3BD2" w:rsidP="00890A20"/>
    <w:bookmarkEnd w:id="12"/>
    <w:p w14:paraId="7AB07AF7" w14:textId="77777777" w:rsidR="00890A20" w:rsidRPr="00F13AB0" w:rsidRDefault="00890A20" w:rsidP="00890A20">
      <w:pPr>
        <w:sectPr w:rsidR="00890A20" w:rsidRPr="00F13AB0" w:rsidSect="003F0C1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pPr>
    </w:p>
    <w:p w14:paraId="0094E415" w14:textId="3F408B01" w:rsidR="00890A20" w:rsidRPr="00F13AB0" w:rsidRDefault="00890A20" w:rsidP="00AD5932">
      <w:pPr>
        <w:pStyle w:val="PageHeading"/>
        <w:rPr>
          <w:szCs w:val="24"/>
        </w:rPr>
      </w:pPr>
      <w:bookmarkStart w:id="14" w:name="RollCallPageRR"/>
      <w:bookmarkStart w:id="15" w:name="_Toc3455669"/>
      <w:r w:rsidRPr="00F13AB0">
        <w:t>POIMENSKO GLASOVANJE PRI KONČNEM GLASOVANJU</w:t>
      </w:r>
      <w:r w:rsidRPr="00F13AB0">
        <w:br/>
        <w:t>V PRISTOJNEM ODBORU</w:t>
      </w:r>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90A20" w:rsidRPr="00F13AB0" w14:paraId="0F7D4CA0" w14:textId="77777777" w:rsidTr="002E6D13">
        <w:trPr>
          <w:cantSplit/>
        </w:trPr>
        <w:tc>
          <w:tcPr>
            <w:tcW w:w="1701" w:type="dxa"/>
            <w:shd w:val="pct10" w:color="000000" w:fill="FFFFFF"/>
            <w:vAlign w:val="center"/>
          </w:tcPr>
          <w:p w14:paraId="7D17C2FE" w14:textId="77777777" w:rsidR="00890A20" w:rsidRPr="00F13AB0" w:rsidRDefault="00890A20" w:rsidP="002E6D13">
            <w:pPr>
              <w:spacing w:before="120" w:after="120"/>
              <w:jc w:val="center"/>
              <w:rPr>
                <w:b/>
                <w:sz w:val="20"/>
              </w:rPr>
            </w:pPr>
            <w:r w:rsidRPr="00F13AB0">
              <w:rPr>
                <w:b/>
                <w:sz w:val="20"/>
              </w:rPr>
              <w:t>18</w:t>
            </w:r>
          </w:p>
        </w:tc>
        <w:tc>
          <w:tcPr>
            <w:tcW w:w="7371" w:type="dxa"/>
            <w:shd w:val="pct10" w:color="000000" w:fill="FFFFFF"/>
          </w:tcPr>
          <w:p w14:paraId="13A080E3" w14:textId="77777777" w:rsidR="00890A20" w:rsidRPr="00F13AB0" w:rsidRDefault="00890A20" w:rsidP="002E6D13">
            <w:pPr>
              <w:spacing w:before="120" w:after="120"/>
              <w:jc w:val="center"/>
              <w:rPr>
                <w:rFonts w:ascii="Arial" w:hAnsi="Arial" w:cs="Arial"/>
                <w:b/>
                <w:sz w:val="28"/>
                <w:szCs w:val="28"/>
              </w:rPr>
            </w:pPr>
            <w:r w:rsidRPr="00F13AB0">
              <w:rPr>
                <w:rFonts w:ascii="Arial" w:hAnsi="Arial"/>
                <w:b/>
                <w:sz w:val="28"/>
                <w:szCs w:val="28"/>
              </w:rPr>
              <w:t>+</w:t>
            </w:r>
          </w:p>
        </w:tc>
      </w:tr>
      <w:tr w:rsidR="00890A20" w:rsidRPr="00F13AB0" w14:paraId="6D3D1345" w14:textId="77777777" w:rsidTr="002E6D13">
        <w:trPr>
          <w:cantSplit/>
        </w:trPr>
        <w:tc>
          <w:tcPr>
            <w:tcW w:w="1701" w:type="dxa"/>
            <w:shd w:val="clear" w:color="auto" w:fill="FFFFFF"/>
          </w:tcPr>
          <w:p w14:paraId="54F14687" w14:textId="77777777" w:rsidR="00890A20" w:rsidRPr="00F13AB0" w:rsidRDefault="00890A20" w:rsidP="002E6D13">
            <w:pPr>
              <w:spacing w:before="120" w:after="120"/>
              <w:rPr>
                <w:sz w:val="20"/>
              </w:rPr>
            </w:pPr>
            <w:r w:rsidRPr="00F13AB0">
              <w:rPr>
                <w:sz w:val="20"/>
              </w:rPr>
              <w:t>ALDE</w:t>
            </w:r>
          </w:p>
        </w:tc>
        <w:tc>
          <w:tcPr>
            <w:tcW w:w="7371" w:type="dxa"/>
            <w:shd w:val="clear" w:color="auto" w:fill="FFFFFF"/>
          </w:tcPr>
          <w:p w14:paraId="472B8FEB" w14:textId="3272E2B6" w:rsidR="00890A20" w:rsidRPr="00F13AB0" w:rsidRDefault="00F66C61" w:rsidP="002E6D13">
            <w:pPr>
              <w:spacing w:before="120" w:after="120"/>
              <w:rPr>
                <w:sz w:val="20"/>
              </w:rPr>
            </w:pPr>
            <w:r w:rsidRPr="00F13AB0">
              <w:rPr>
                <w:sz w:val="20"/>
              </w:rPr>
              <w:t>Nedžmi Ali (Nedzhmi Ali), Martina Dlabajová, Wolf Klinz</w:t>
            </w:r>
          </w:p>
        </w:tc>
      </w:tr>
      <w:tr w:rsidR="00890A20" w:rsidRPr="00F13AB0" w14:paraId="3B185948" w14:textId="77777777" w:rsidTr="002E6D13">
        <w:trPr>
          <w:cantSplit/>
        </w:trPr>
        <w:tc>
          <w:tcPr>
            <w:tcW w:w="1701" w:type="dxa"/>
            <w:shd w:val="clear" w:color="auto" w:fill="FFFFFF"/>
          </w:tcPr>
          <w:p w14:paraId="5B19234B" w14:textId="77777777" w:rsidR="00890A20" w:rsidRPr="00F13AB0" w:rsidRDefault="00890A20" w:rsidP="002E6D13">
            <w:pPr>
              <w:spacing w:before="120" w:after="120"/>
              <w:rPr>
                <w:sz w:val="20"/>
              </w:rPr>
            </w:pPr>
            <w:r w:rsidRPr="00F13AB0">
              <w:rPr>
                <w:sz w:val="20"/>
              </w:rPr>
              <w:t>ECR</w:t>
            </w:r>
          </w:p>
        </w:tc>
        <w:tc>
          <w:tcPr>
            <w:tcW w:w="7371" w:type="dxa"/>
            <w:shd w:val="clear" w:color="auto" w:fill="FFFFFF"/>
          </w:tcPr>
          <w:p w14:paraId="6E6BDD5E" w14:textId="77777777" w:rsidR="00890A20" w:rsidRPr="00F13AB0" w:rsidRDefault="00890A20" w:rsidP="002E6D13">
            <w:pPr>
              <w:spacing w:before="120" w:after="120"/>
              <w:rPr>
                <w:sz w:val="20"/>
              </w:rPr>
            </w:pPr>
            <w:r w:rsidRPr="00F13AB0">
              <w:rPr>
                <w:sz w:val="20"/>
              </w:rPr>
              <w:t>Monica Macovei</w:t>
            </w:r>
          </w:p>
        </w:tc>
      </w:tr>
      <w:tr w:rsidR="00890A20" w:rsidRPr="00F13AB0" w14:paraId="28BADBB8" w14:textId="77777777" w:rsidTr="002E6D13">
        <w:trPr>
          <w:cantSplit/>
        </w:trPr>
        <w:tc>
          <w:tcPr>
            <w:tcW w:w="1701" w:type="dxa"/>
            <w:shd w:val="clear" w:color="auto" w:fill="FFFFFF"/>
          </w:tcPr>
          <w:p w14:paraId="3025FBFE" w14:textId="77777777" w:rsidR="00890A20" w:rsidRPr="00F13AB0" w:rsidRDefault="00890A20" w:rsidP="002E6D13">
            <w:pPr>
              <w:spacing w:before="120" w:after="120"/>
              <w:rPr>
                <w:sz w:val="20"/>
              </w:rPr>
            </w:pPr>
            <w:r w:rsidRPr="00F13AB0">
              <w:rPr>
                <w:sz w:val="20"/>
              </w:rPr>
              <w:t>EFDD</w:t>
            </w:r>
          </w:p>
        </w:tc>
        <w:tc>
          <w:tcPr>
            <w:tcW w:w="7371" w:type="dxa"/>
            <w:shd w:val="clear" w:color="auto" w:fill="FFFFFF"/>
          </w:tcPr>
          <w:p w14:paraId="3C411B23" w14:textId="77777777" w:rsidR="00890A20" w:rsidRPr="00F13AB0" w:rsidRDefault="00890A20" w:rsidP="002E6D13">
            <w:pPr>
              <w:spacing w:before="120" w:after="120"/>
              <w:rPr>
                <w:sz w:val="20"/>
              </w:rPr>
            </w:pPr>
            <w:r w:rsidRPr="00F13AB0">
              <w:rPr>
                <w:sz w:val="20"/>
              </w:rPr>
              <w:t>Marco Valli</w:t>
            </w:r>
          </w:p>
        </w:tc>
      </w:tr>
      <w:tr w:rsidR="00890A20" w:rsidRPr="00F13AB0" w14:paraId="1FAB3157" w14:textId="77777777" w:rsidTr="002E6D13">
        <w:trPr>
          <w:cantSplit/>
        </w:trPr>
        <w:tc>
          <w:tcPr>
            <w:tcW w:w="1701" w:type="dxa"/>
            <w:shd w:val="clear" w:color="auto" w:fill="FFFFFF"/>
          </w:tcPr>
          <w:p w14:paraId="238BD8B1" w14:textId="77777777" w:rsidR="00890A20" w:rsidRPr="00F13AB0" w:rsidRDefault="00890A20" w:rsidP="002E6D13">
            <w:pPr>
              <w:spacing w:before="120" w:after="120"/>
              <w:rPr>
                <w:sz w:val="20"/>
              </w:rPr>
            </w:pPr>
            <w:r w:rsidRPr="00F13AB0">
              <w:rPr>
                <w:sz w:val="20"/>
              </w:rPr>
              <w:t>PPE</w:t>
            </w:r>
          </w:p>
        </w:tc>
        <w:tc>
          <w:tcPr>
            <w:tcW w:w="7371" w:type="dxa"/>
            <w:shd w:val="clear" w:color="auto" w:fill="FFFFFF"/>
          </w:tcPr>
          <w:p w14:paraId="4704D6A4" w14:textId="77777777" w:rsidR="00890A20" w:rsidRPr="00F13AB0" w:rsidRDefault="00890A20" w:rsidP="002E6D13">
            <w:pPr>
              <w:spacing w:before="120" w:after="120"/>
              <w:rPr>
                <w:sz w:val="20"/>
              </w:rPr>
            </w:pPr>
            <w:r w:rsidRPr="00F13AB0">
              <w:rPr>
                <w:sz w:val="20"/>
              </w:rPr>
              <w:t>Tamás Deutsch, Ingeborg Gräßle, José Ignacio Salafranca Sánchez-Neyra, Petri Sarvamaa, Claudia Schmidt, Tomáš Zdechovský, Joachim Zeller</w:t>
            </w:r>
          </w:p>
        </w:tc>
      </w:tr>
      <w:tr w:rsidR="00890A20" w:rsidRPr="00F13AB0" w14:paraId="002E6CB6" w14:textId="77777777" w:rsidTr="002E6D13">
        <w:trPr>
          <w:cantSplit/>
        </w:trPr>
        <w:tc>
          <w:tcPr>
            <w:tcW w:w="1701" w:type="dxa"/>
            <w:shd w:val="clear" w:color="auto" w:fill="FFFFFF"/>
          </w:tcPr>
          <w:p w14:paraId="05908F55" w14:textId="77777777" w:rsidR="00890A20" w:rsidRPr="00F13AB0" w:rsidRDefault="00890A20" w:rsidP="002E6D13">
            <w:pPr>
              <w:spacing w:before="120" w:after="120"/>
              <w:rPr>
                <w:sz w:val="20"/>
              </w:rPr>
            </w:pPr>
            <w:r w:rsidRPr="00F13AB0">
              <w:rPr>
                <w:sz w:val="20"/>
              </w:rPr>
              <w:t>S&amp;D</w:t>
            </w:r>
          </w:p>
        </w:tc>
        <w:tc>
          <w:tcPr>
            <w:tcW w:w="7371" w:type="dxa"/>
            <w:shd w:val="clear" w:color="auto" w:fill="FFFFFF"/>
          </w:tcPr>
          <w:p w14:paraId="15D75040" w14:textId="77777777" w:rsidR="00890A20" w:rsidRPr="00F13AB0" w:rsidRDefault="00890A20" w:rsidP="002E6D13">
            <w:pPr>
              <w:spacing w:before="120" w:after="120"/>
              <w:rPr>
                <w:sz w:val="20"/>
              </w:rPr>
            </w:pPr>
            <w:r w:rsidRPr="00F13AB0">
              <w:rPr>
                <w:sz w:val="20"/>
              </w:rPr>
              <w:t>Inés Ayala Sender, Zigmantas Balčytis, Karin Kadenbach, Georgi Pirinski, Derek Vaughan</w:t>
            </w:r>
          </w:p>
        </w:tc>
      </w:tr>
      <w:tr w:rsidR="00890A20" w:rsidRPr="00F13AB0" w14:paraId="24CF9044" w14:textId="77777777" w:rsidTr="002E6D13">
        <w:trPr>
          <w:cantSplit/>
        </w:trPr>
        <w:tc>
          <w:tcPr>
            <w:tcW w:w="1701" w:type="dxa"/>
            <w:shd w:val="clear" w:color="auto" w:fill="FFFFFF"/>
          </w:tcPr>
          <w:p w14:paraId="100D4435" w14:textId="77777777" w:rsidR="00890A20" w:rsidRPr="00F13AB0" w:rsidRDefault="00890A20" w:rsidP="002E6D13">
            <w:pPr>
              <w:spacing w:before="120" w:after="120"/>
              <w:rPr>
                <w:sz w:val="20"/>
              </w:rPr>
            </w:pPr>
            <w:r w:rsidRPr="00F13AB0">
              <w:rPr>
                <w:sz w:val="20"/>
              </w:rPr>
              <w:t>VERTS/ALE</w:t>
            </w:r>
          </w:p>
        </w:tc>
        <w:tc>
          <w:tcPr>
            <w:tcW w:w="7371" w:type="dxa"/>
            <w:shd w:val="clear" w:color="auto" w:fill="FFFFFF"/>
          </w:tcPr>
          <w:p w14:paraId="67FE60AC" w14:textId="77777777" w:rsidR="00890A20" w:rsidRPr="00F13AB0" w:rsidRDefault="00890A20" w:rsidP="002E6D13">
            <w:pPr>
              <w:spacing w:before="120" w:after="120"/>
              <w:rPr>
                <w:sz w:val="20"/>
              </w:rPr>
            </w:pPr>
            <w:r w:rsidRPr="00F13AB0">
              <w:rPr>
                <w:sz w:val="20"/>
              </w:rPr>
              <w:t>Bart Staes</w:t>
            </w:r>
          </w:p>
        </w:tc>
      </w:tr>
    </w:tbl>
    <w:p w14:paraId="49DE4E54" w14:textId="77777777" w:rsidR="00890A20" w:rsidRPr="00F13AB0" w:rsidRDefault="00890A20" w:rsidP="00890A2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90A20" w:rsidRPr="00F13AB0" w14:paraId="093B876B" w14:textId="77777777" w:rsidTr="002E6D13">
        <w:trPr>
          <w:cantSplit/>
        </w:trPr>
        <w:tc>
          <w:tcPr>
            <w:tcW w:w="1701" w:type="dxa"/>
            <w:shd w:val="pct10" w:color="000000" w:fill="FFFFFF"/>
            <w:vAlign w:val="center"/>
          </w:tcPr>
          <w:p w14:paraId="706FCD3F" w14:textId="77777777" w:rsidR="00890A20" w:rsidRPr="00F13AB0" w:rsidRDefault="00890A20" w:rsidP="002E6D13">
            <w:pPr>
              <w:spacing w:before="120" w:after="120"/>
              <w:jc w:val="center"/>
              <w:rPr>
                <w:b/>
                <w:sz w:val="20"/>
              </w:rPr>
            </w:pPr>
            <w:r w:rsidRPr="00F13AB0">
              <w:rPr>
                <w:b/>
                <w:sz w:val="20"/>
              </w:rPr>
              <w:t>2</w:t>
            </w:r>
          </w:p>
        </w:tc>
        <w:tc>
          <w:tcPr>
            <w:tcW w:w="7371" w:type="dxa"/>
            <w:shd w:val="pct10" w:color="000000" w:fill="FFFFFF"/>
          </w:tcPr>
          <w:p w14:paraId="0C21D6D6" w14:textId="77777777" w:rsidR="00890A20" w:rsidRPr="00F13AB0" w:rsidRDefault="00890A20" w:rsidP="002E6D13">
            <w:pPr>
              <w:spacing w:before="120" w:after="120"/>
              <w:jc w:val="center"/>
              <w:rPr>
                <w:sz w:val="28"/>
                <w:szCs w:val="28"/>
              </w:rPr>
            </w:pPr>
            <w:r w:rsidRPr="00F13AB0">
              <w:rPr>
                <w:rFonts w:ascii="Arial" w:hAnsi="Arial"/>
                <w:b/>
                <w:sz w:val="28"/>
                <w:szCs w:val="28"/>
              </w:rPr>
              <w:t>-</w:t>
            </w:r>
          </w:p>
        </w:tc>
      </w:tr>
      <w:tr w:rsidR="00890A20" w:rsidRPr="00F13AB0" w14:paraId="02B4170E" w14:textId="77777777" w:rsidTr="002E6D13">
        <w:trPr>
          <w:cantSplit/>
        </w:trPr>
        <w:tc>
          <w:tcPr>
            <w:tcW w:w="1701" w:type="dxa"/>
            <w:shd w:val="clear" w:color="auto" w:fill="FFFFFF"/>
          </w:tcPr>
          <w:p w14:paraId="4BC6C5C6" w14:textId="77777777" w:rsidR="00890A20" w:rsidRPr="00F13AB0" w:rsidRDefault="00890A20" w:rsidP="002E6D13">
            <w:pPr>
              <w:spacing w:before="120" w:after="120"/>
              <w:rPr>
                <w:sz w:val="20"/>
              </w:rPr>
            </w:pPr>
            <w:r w:rsidRPr="00F13AB0">
              <w:rPr>
                <w:sz w:val="20"/>
              </w:rPr>
              <w:t>ENF</w:t>
            </w:r>
          </w:p>
        </w:tc>
        <w:tc>
          <w:tcPr>
            <w:tcW w:w="7371" w:type="dxa"/>
            <w:shd w:val="clear" w:color="auto" w:fill="FFFFFF"/>
          </w:tcPr>
          <w:p w14:paraId="239E15B9" w14:textId="77777777" w:rsidR="00890A20" w:rsidRPr="00F13AB0" w:rsidRDefault="00890A20" w:rsidP="002E6D13">
            <w:pPr>
              <w:spacing w:before="120" w:after="120"/>
              <w:rPr>
                <w:sz w:val="20"/>
              </w:rPr>
            </w:pPr>
            <w:r w:rsidRPr="00F13AB0">
              <w:rPr>
                <w:sz w:val="20"/>
              </w:rPr>
              <w:t>Jean-François Jalkh</w:t>
            </w:r>
          </w:p>
        </w:tc>
      </w:tr>
      <w:tr w:rsidR="00890A20" w:rsidRPr="00F13AB0" w14:paraId="25E2785E" w14:textId="77777777" w:rsidTr="002E6D13">
        <w:trPr>
          <w:cantSplit/>
        </w:trPr>
        <w:tc>
          <w:tcPr>
            <w:tcW w:w="1701" w:type="dxa"/>
            <w:shd w:val="clear" w:color="auto" w:fill="FFFFFF"/>
          </w:tcPr>
          <w:p w14:paraId="51E51414" w14:textId="77777777" w:rsidR="00890A20" w:rsidRPr="00F13AB0" w:rsidRDefault="00890A20" w:rsidP="002E6D13">
            <w:pPr>
              <w:spacing w:before="120" w:after="120"/>
              <w:rPr>
                <w:sz w:val="20"/>
              </w:rPr>
            </w:pPr>
            <w:r w:rsidRPr="00F13AB0">
              <w:rPr>
                <w:sz w:val="20"/>
              </w:rPr>
              <w:t>GUE/NGL</w:t>
            </w:r>
          </w:p>
        </w:tc>
        <w:tc>
          <w:tcPr>
            <w:tcW w:w="7371" w:type="dxa"/>
            <w:shd w:val="clear" w:color="auto" w:fill="FFFFFF"/>
          </w:tcPr>
          <w:p w14:paraId="5C40329C" w14:textId="77777777" w:rsidR="00890A20" w:rsidRPr="00F13AB0" w:rsidRDefault="00890A20" w:rsidP="002E6D13">
            <w:pPr>
              <w:spacing w:before="120" w:after="120"/>
              <w:rPr>
                <w:sz w:val="20"/>
              </w:rPr>
            </w:pPr>
            <w:r w:rsidRPr="00F13AB0">
              <w:rPr>
                <w:sz w:val="20"/>
              </w:rPr>
              <w:t>Dennis de Jong</w:t>
            </w:r>
          </w:p>
        </w:tc>
      </w:tr>
    </w:tbl>
    <w:p w14:paraId="7C3084FD" w14:textId="77777777" w:rsidR="00890A20" w:rsidRPr="00F13AB0" w:rsidRDefault="00890A20" w:rsidP="00890A2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90A20" w:rsidRPr="00F13AB0" w14:paraId="1AFDC340" w14:textId="77777777" w:rsidTr="002E6D13">
        <w:trPr>
          <w:cantSplit/>
        </w:trPr>
        <w:tc>
          <w:tcPr>
            <w:tcW w:w="1701" w:type="dxa"/>
            <w:shd w:val="pct10" w:color="000000" w:fill="FFFFFF"/>
            <w:vAlign w:val="center"/>
          </w:tcPr>
          <w:p w14:paraId="6C6ACBC1" w14:textId="77777777" w:rsidR="00890A20" w:rsidRPr="00F13AB0" w:rsidRDefault="00890A20" w:rsidP="002E6D13">
            <w:pPr>
              <w:spacing w:before="120" w:after="120"/>
              <w:jc w:val="center"/>
              <w:rPr>
                <w:b/>
                <w:sz w:val="20"/>
              </w:rPr>
            </w:pPr>
            <w:r w:rsidRPr="00F13AB0">
              <w:rPr>
                <w:b/>
                <w:sz w:val="20"/>
              </w:rPr>
              <w:t>0</w:t>
            </w:r>
          </w:p>
        </w:tc>
        <w:tc>
          <w:tcPr>
            <w:tcW w:w="7371" w:type="dxa"/>
            <w:shd w:val="pct10" w:color="000000" w:fill="FFFFFF"/>
          </w:tcPr>
          <w:p w14:paraId="5817900A" w14:textId="77777777" w:rsidR="00890A20" w:rsidRPr="00F13AB0" w:rsidRDefault="00890A20" w:rsidP="002E6D13">
            <w:pPr>
              <w:spacing w:before="120" w:after="120"/>
              <w:jc w:val="center"/>
              <w:rPr>
                <w:sz w:val="28"/>
                <w:szCs w:val="28"/>
              </w:rPr>
            </w:pPr>
            <w:r w:rsidRPr="00F13AB0">
              <w:rPr>
                <w:rFonts w:ascii="Arial" w:hAnsi="Arial"/>
                <w:b/>
                <w:sz w:val="28"/>
                <w:szCs w:val="28"/>
              </w:rPr>
              <w:t>0</w:t>
            </w:r>
          </w:p>
        </w:tc>
      </w:tr>
      <w:tr w:rsidR="00890A20" w:rsidRPr="00F13AB0" w14:paraId="52CED8B7" w14:textId="77777777" w:rsidTr="002E6D13">
        <w:trPr>
          <w:cantSplit/>
        </w:trPr>
        <w:tc>
          <w:tcPr>
            <w:tcW w:w="1701" w:type="dxa"/>
            <w:shd w:val="clear" w:color="auto" w:fill="FFFFFF"/>
          </w:tcPr>
          <w:p w14:paraId="14382C25" w14:textId="77777777" w:rsidR="00890A20" w:rsidRPr="00F13AB0" w:rsidRDefault="00890A20" w:rsidP="002E6D13">
            <w:pPr>
              <w:spacing w:before="120" w:after="120"/>
              <w:rPr>
                <w:sz w:val="20"/>
              </w:rPr>
            </w:pPr>
          </w:p>
        </w:tc>
        <w:tc>
          <w:tcPr>
            <w:tcW w:w="7371" w:type="dxa"/>
            <w:shd w:val="clear" w:color="auto" w:fill="FFFFFF"/>
          </w:tcPr>
          <w:p w14:paraId="4A023C44" w14:textId="77777777" w:rsidR="00890A20" w:rsidRPr="00F13AB0" w:rsidRDefault="00890A20" w:rsidP="002E6D13">
            <w:pPr>
              <w:spacing w:before="120" w:after="120"/>
              <w:rPr>
                <w:sz w:val="20"/>
              </w:rPr>
            </w:pPr>
          </w:p>
        </w:tc>
      </w:tr>
    </w:tbl>
    <w:p w14:paraId="61414BEA" w14:textId="77777777" w:rsidR="00890A20" w:rsidRPr="00F13AB0" w:rsidRDefault="00890A20" w:rsidP="00147FBF">
      <w:pPr>
        <w:pStyle w:val="Normal12"/>
      </w:pPr>
    </w:p>
    <w:p w14:paraId="210A3B28" w14:textId="41AF0AB0" w:rsidR="00890A20" w:rsidRPr="00F13AB0" w:rsidRDefault="00890A20" w:rsidP="00B735E3">
      <w:r w:rsidRPr="00F13AB0">
        <w:t>Uporabljeni znaki:</w:t>
      </w:r>
    </w:p>
    <w:p w14:paraId="208C3DA2" w14:textId="0CA8BEDE" w:rsidR="00890A20" w:rsidRPr="00F13AB0" w:rsidRDefault="00890A20" w:rsidP="00B735E3">
      <w:pPr>
        <w:pStyle w:val="NormalTabs"/>
      </w:pPr>
      <w:r w:rsidRPr="00F13AB0">
        <w:t>+</w:t>
      </w:r>
      <w:r w:rsidRPr="00F13AB0">
        <w:tab/>
        <w:t>:</w:t>
      </w:r>
      <w:r w:rsidRPr="00F13AB0">
        <w:tab/>
        <w:t>za</w:t>
      </w:r>
    </w:p>
    <w:p w14:paraId="3F2529FF" w14:textId="139FEB94" w:rsidR="00890A20" w:rsidRPr="00F13AB0" w:rsidRDefault="00890A20" w:rsidP="00B735E3">
      <w:pPr>
        <w:pStyle w:val="NormalTabs"/>
      </w:pPr>
      <w:r w:rsidRPr="00F13AB0">
        <w:t>-</w:t>
      </w:r>
      <w:r w:rsidRPr="00F13AB0">
        <w:tab/>
        <w:t>:</w:t>
      </w:r>
      <w:r w:rsidRPr="00F13AB0">
        <w:tab/>
        <w:t>proti</w:t>
      </w:r>
    </w:p>
    <w:p w14:paraId="0FC8F3AE" w14:textId="716D253F" w:rsidR="00890A20" w:rsidRPr="00F13AB0" w:rsidRDefault="00890A20" w:rsidP="00B735E3">
      <w:pPr>
        <w:pStyle w:val="NormalTabs"/>
      </w:pPr>
      <w:r w:rsidRPr="00F13AB0">
        <w:t>0</w:t>
      </w:r>
      <w:r w:rsidRPr="00F13AB0">
        <w:tab/>
        <w:t>:</w:t>
      </w:r>
      <w:r w:rsidRPr="00F13AB0">
        <w:tab/>
        <w:t>vzdržani</w:t>
      </w:r>
    </w:p>
    <w:p w14:paraId="2B391E19" w14:textId="77777777" w:rsidR="00890A20" w:rsidRPr="00F13AB0" w:rsidRDefault="00890A20" w:rsidP="00AD5932"/>
    <w:bookmarkEnd w:id="14"/>
    <w:p w14:paraId="02F58879" w14:textId="07ECBD5A" w:rsidR="00FB502A" w:rsidRPr="00F13AB0" w:rsidRDefault="00FB502A" w:rsidP="00890A20"/>
    <w:sectPr w:rsidR="00FB502A" w:rsidRPr="00F13AB0" w:rsidSect="00890A20">
      <w:footerReference w:type="default" r:id="rId14"/>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92E0C" w14:textId="77777777" w:rsidR="008E08D6" w:rsidRPr="00F13AB0" w:rsidRDefault="008E08D6">
      <w:r w:rsidRPr="00F13AB0">
        <w:separator/>
      </w:r>
    </w:p>
  </w:endnote>
  <w:endnote w:type="continuationSeparator" w:id="0">
    <w:p w14:paraId="1DEFF6F3" w14:textId="77777777" w:rsidR="008E08D6" w:rsidRPr="00F13AB0" w:rsidRDefault="008E08D6">
      <w:r w:rsidRPr="00F13AB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D9FEF" w14:textId="1A345A9E" w:rsidR="003F0C17" w:rsidRPr="00F13AB0" w:rsidRDefault="003F0C17" w:rsidP="003F0C17">
    <w:pPr>
      <w:pStyle w:val="Footer"/>
    </w:pPr>
    <w:r w:rsidRPr="00F13AB0">
      <w:t>PE</w:t>
    </w:r>
    <w:r w:rsidRPr="00F13AB0">
      <w:rPr>
        <w:rStyle w:val="HideTWBExt"/>
        <w:noProof w:val="0"/>
      </w:rPr>
      <w:t>&lt;NoPE&gt;</w:t>
    </w:r>
    <w:r w:rsidRPr="00F13AB0">
      <w:t>626.828</w:t>
    </w:r>
    <w:r w:rsidRPr="00F13AB0">
      <w:rPr>
        <w:rStyle w:val="HideTWBExt"/>
        <w:noProof w:val="0"/>
      </w:rPr>
      <w:t>&lt;/NoPE&gt;&lt;Version&gt;</w:t>
    </w:r>
    <w:r w:rsidRPr="00F13AB0">
      <w:t>v03-00</w:t>
    </w:r>
    <w:r w:rsidRPr="00F13AB0">
      <w:rPr>
        <w:rStyle w:val="HideTWBExt"/>
        <w:noProof w:val="0"/>
      </w:rPr>
      <w:t>&lt;/Version&gt;</w:t>
    </w:r>
    <w:r w:rsidRPr="00F13AB0">
      <w:tab/>
    </w:r>
    <w:r w:rsidRPr="00F13AB0">
      <w:fldChar w:fldCharType="begin"/>
    </w:r>
    <w:r w:rsidRPr="00F13AB0">
      <w:instrText xml:space="preserve"> PAGE  \* MERGEFORMAT </w:instrText>
    </w:r>
    <w:r w:rsidRPr="00F13AB0">
      <w:fldChar w:fldCharType="separate"/>
    </w:r>
    <w:r w:rsidR="005262F0">
      <w:rPr>
        <w:noProof/>
      </w:rPr>
      <w:t>2</w:t>
    </w:r>
    <w:r w:rsidRPr="00F13AB0">
      <w:fldChar w:fldCharType="end"/>
    </w:r>
    <w:r w:rsidRPr="00F13AB0">
      <w:t>/</w:t>
    </w:r>
    <w:r w:rsidR="00190881">
      <w:rPr>
        <w:noProof/>
      </w:rPr>
      <w:fldChar w:fldCharType="begin"/>
    </w:r>
    <w:r w:rsidR="00190881">
      <w:rPr>
        <w:noProof/>
      </w:rPr>
      <w:instrText xml:space="preserve"> NUMPAGES  \* MERGEFORMAT </w:instrText>
    </w:r>
    <w:r w:rsidR="00190881">
      <w:rPr>
        <w:noProof/>
      </w:rPr>
      <w:fldChar w:fldCharType="separate"/>
    </w:r>
    <w:r w:rsidR="005262F0">
      <w:rPr>
        <w:noProof/>
      </w:rPr>
      <w:t>12</w:t>
    </w:r>
    <w:r w:rsidR="00190881">
      <w:rPr>
        <w:noProof/>
      </w:rPr>
      <w:fldChar w:fldCharType="end"/>
    </w:r>
    <w:r w:rsidRPr="00F13AB0">
      <w:tab/>
    </w:r>
    <w:r w:rsidRPr="00F13AB0">
      <w:rPr>
        <w:rStyle w:val="HideTWBExt"/>
        <w:noProof w:val="0"/>
      </w:rPr>
      <w:t>&lt;PathFdR&gt;</w:t>
    </w:r>
    <w:r w:rsidRPr="00F13AB0">
      <w:t>RR\1179009SL.docx</w:t>
    </w:r>
    <w:r w:rsidRPr="00F13AB0">
      <w:rPr>
        <w:rStyle w:val="HideTWBExt"/>
        <w:noProof w:val="0"/>
      </w:rPr>
      <w:t>&lt;/PathFdR&gt;</w:t>
    </w:r>
  </w:p>
  <w:p w14:paraId="2133EB5C" w14:textId="726911FC" w:rsidR="00390068" w:rsidRPr="00F13AB0" w:rsidRDefault="003F0C17" w:rsidP="003F0C17">
    <w:pPr>
      <w:pStyle w:val="Footer2"/>
    </w:pPr>
    <w:r w:rsidRPr="00F13AB0">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468C" w14:textId="2BC8808F" w:rsidR="003F0C17" w:rsidRPr="00F13AB0" w:rsidRDefault="003F0C17" w:rsidP="003F0C17">
    <w:pPr>
      <w:pStyle w:val="Footer"/>
    </w:pPr>
    <w:r w:rsidRPr="00F13AB0">
      <w:rPr>
        <w:rStyle w:val="HideTWBExt"/>
        <w:noProof w:val="0"/>
      </w:rPr>
      <w:t>&lt;PathFdR&gt;</w:t>
    </w:r>
    <w:r w:rsidRPr="00F13AB0">
      <w:t>RR\1179009SL.docx</w:t>
    </w:r>
    <w:r w:rsidRPr="00F13AB0">
      <w:rPr>
        <w:rStyle w:val="HideTWBExt"/>
        <w:noProof w:val="0"/>
      </w:rPr>
      <w:t>&lt;/PathFdR&gt;</w:t>
    </w:r>
    <w:r w:rsidRPr="00F13AB0">
      <w:tab/>
    </w:r>
    <w:r w:rsidRPr="00F13AB0">
      <w:fldChar w:fldCharType="begin"/>
    </w:r>
    <w:r w:rsidRPr="00F13AB0">
      <w:instrText xml:space="preserve"> PAGE  \* MERGEFORMAT </w:instrText>
    </w:r>
    <w:r w:rsidRPr="00F13AB0">
      <w:fldChar w:fldCharType="separate"/>
    </w:r>
    <w:r w:rsidR="005262F0">
      <w:rPr>
        <w:noProof/>
      </w:rPr>
      <w:t>3</w:t>
    </w:r>
    <w:r w:rsidRPr="00F13AB0">
      <w:fldChar w:fldCharType="end"/>
    </w:r>
    <w:r w:rsidRPr="00F13AB0">
      <w:t>/</w:t>
    </w:r>
    <w:r w:rsidR="00190881">
      <w:rPr>
        <w:noProof/>
      </w:rPr>
      <w:fldChar w:fldCharType="begin"/>
    </w:r>
    <w:r w:rsidR="00190881">
      <w:rPr>
        <w:noProof/>
      </w:rPr>
      <w:instrText xml:space="preserve"> NUMPAGES  \* MERGEFORMAT </w:instrText>
    </w:r>
    <w:r w:rsidR="00190881">
      <w:rPr>
        <w:noProof/>
      </w:rPr>
      <w:fldChar w:fldCharType="separate"/>
    </w:r>
    <w:r w:rsidR="005262F0">
      <w:rPr>
        <w:noProof/>
      </w:rPr>
      <w:t>12</w:t>
    </w:r>
    <w:r w:rsidR="00190881">
      <w:rPr>
        <w:noProof/>
      </w:rPr>
      <w:fldChar w:fldCharType="end"/>
    </w:r>
    <w:r w:rsidRPr="00F13AB0">
      <w:tab/>
      <w:t>PE</w:t>
    </w:r>
    <w:r w:rsidRPr="00F13AB0">
      <w:rPr>
        <w:rStyle w:val="HideTWBExt"/>
        <w:noProof w:val="0"/>
      </w:rPr>
      <w:t>&lt;NoPE&gt;</w:t>
    </w:r>
    <w:r w:rsidRPr="00F13AB0">
      <w:t>626.828</w:t>
    </w:r>
    <w:r w:rsidRPr="00F13AB0">
      <w:rPr>
        <w:rStyle w:val="HideTWBExt"/>
        <w:noProof w:val="0"/>
      </w:rPr>
      <w:t>&lt;/NoPE&gt;&lt;Version&gt;</w:t>
    </w:r>
    <w:r w:rsidRPr="00F13AB0">
      <w:t>v03-00</w:t>
    </w:r>
    <w:r w:rsidRPr="00F13AB0">
      <w:rPr>
        <w:rStyle w:val="HideTWBExt"/>
        <w:noProof w:val="0"/>
      </w:rPr>
      <w:t>&lt;/Version&gt;</w:t>
    </w:r>
  </w:p>
  <w:p w14:paraId="16A5EFD7" w14:textId="44384057" w:rsidR="00390068" w:rsidRPr="00F13AB0" w:rsidRDefault="003F0C17" w:rsidP="003F0C17">
    <w:pPr>
      <w:pStyle w:val="Footer2"/>
    </w:pPr>
    <w:r w:rsidRPr="00F13AB0">
      <w:tab/>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49A6" w14:textId="77777777" w:rsidR="003F0C17" w:rsidRPr="00F13AB0" w:rsidRDefault="003F0C17" w:rsidP="003F0C17">
    <w:pPr>
      <w:pStyle w:val="Footer"/>
    </w:pPr>
    <w:r w:rsidRPr="00F13AB0">
      <w:rPr>
        <w:rStyle w:val="HideTWBExt"/>
        <w:noProof w:val="0"/>
      </w:rPr>
      <w:t>&lt;PathFdR&gt;</w:t>
    </w:r>
    <w:r w:rsidRPr="00F13AB0">
      <w:t>RR\1179009SL.docx</w:t>
    </w:r>
    <w:r w:rsidRPr="00F13AB0">
      <w:rPr>
        <w:rStyle w:val="HideTWBExt"/>
        <w:noProof w:val="0"/>
      </w:rPr>
      <w:t>&lt;/PathFdR&gt;</w:t>
    </w:r>
    <w:r w:rsidRPr="00F13AB0">
      <w:tab/>
    </w:r>
    <w:r w:rsidRPr="00F13AB0">
      <w:tab/>
      <w:t>PE</w:t>
    </w:r>
    <w:r w:rsidRPr="00F13AB0">
      <w:rPr>
        <w:rStyle w:val="HideTWBExt"/>
        <w:noProof w:val="0"/>
      </w:rPr>
      <w:t>&lt;NoPE&gt;</w:t>
    </w:r>
    <w:r w:rsidRPr="00F13AB0">
      <w:t>626.828</w:t>
    </w:r>
    <w:r w:rsidRPr="00F13AB0">
      <w:rPr>
        <w:rStyle w:val="HideTWBExt"/>
        <w:noProof w:val="0"/>
      </w:rPr>
      <w:t>&lt;/NoPE&gt;&lt;Version&gt;</w:t>
    </w:r>
    <w:r w:rsidRPr="00F13AB0">
      <w:t>v03-00</w:t>
    </w:r>
    <w:r w:rsidRPr="00F13AB0">
      <w:rPr>
        <w:rStyle w:val="HideTWBExt"/>
        <w:noProof w:val="0"/>
      </w:rPr>
      <w:t>&lt;/Version&gt;</w:t>
    </w:r>
  </w:p>
  <w:p w14:paraId="6354D151" w14:textId="6F35FCBD" w:rsidR="00390068" w:rsidRPr="00F13AB0" w:rsidRDefault="003F0C17" w:rsidP="003F0C17">
    <w:pPr>
      <w:pStyle w:val="Footer2"/>
      <w:tabs>
        <w:tab w:val="center" w:pos="4535"/>
      </w:tabs>
    </w:pPr>
    <w:r w:rsidRPr="00F13AB0">
      <w:t>SL</w:t>
    </w:r>
    <w:r w:rsidRPr="00F13AB0">
      <w:tab/>
    </w:r>
    <w:r w:rsidRPr="00F13AB0">
      <w:rPr>
        <w:b w:val="0"/>
        <w:i/>
        <w:color w:val="C0C0C0"/>
        <w:sz w:val="22"/>
      </w:rPr>
      <w:t>Združena v raznolikosti</w:t>
    </w:r>
    <w:r w:rsidRPr="00F13AB0">
      <w:tab/>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06BE" w14:textId="5C7414C4" w:rsidR="003F0C17" w:rsidRDefault="003F0C17" w:rsidP="003F0C17">
    <w:pPr>
      <w:pStyle w:val="Footer"/>
    </w:pPr>
    <w:r w:rsidRPr="003F0C17">
      <w:rPr>
        <w:rStyle w:val="HideTWBExt"/>
      </w:rPr>
      <w:t>&lt;PathFdR&gt;</w:t>
    </w:r>
    <w:r>
      <w:t>RR\1179009SL.docx</w:t>
    </w:r>
    <w:r w:rsidRPr="003F0C17">
      <w:rPr>
        <w:rStyle w:val="HideTWBExt"/>
      </w:rPr>
      <w:t>&lt;/PathFdR&gt;</w:t>
    </w:r>
    <w:r>
      <w:tab/>
    </w:r>
    <w:r>
      <w:fldChar w:fldCharType="begin"/>
    </w:r>
    <w:r>
      <w:instrText xml:space="preserve"> PAGE  \* MERGEFORMAT </w:instrText>
    </w:r>
    <w:r>
      <w:fldChar w:fldCharType="separate"/>
    </w:r>
    <w:r w:rsidR="005262F0">
      <w:rPr>
        <w:noProof/>
      </w:rPr>
      <w:t>12</w:t>
    </w:r>
    <w:r>
      <w:fldChar w:fldCharType="end"/>
    </w:r>
    <w:r>
      <w:t>/</w:t>
    </w:r>
    <w:r w:rsidR="00190881">
      <w:rPr>
        <w:noProof/>
      </w:rPr>
      <w:fldChar w:fldCharType="begin"/>
    </w:r>
    <w:r w:rsidR="00190881">
      <w:rPr>
        <w:noProof/>
      </w:rPr>
      <w:instrText xml:space="preserve"> NUMPAGES  \* MERGEFORMAT </w:instrText>
    </w:r>
    <w:r w:rsidR="00190881">
      <w:rPr>
        <w:noProof/>
      </w:rPr>
      <w:fldChar w:fldCharType="separate"/>
    </w:r>
    <w:r w:rsidR="005262F0">
      <w:rPr>
        <w:noProof/>
      </w:rPr>
      <w:t>12</w:t>
    </w:r>
    <w:r w:rsidR="00190881">
      <w:rPr>
        <w:noProof/>
      </w:rPr>
      <w:fldChar w:fldCharType="end"/>
    </w:r>
    <w:r>
      <w:tab/>
      <w:t>PE</w:t>
    </w:r>
    <w:r w:rsidRPr="003F0C17">
      <w:rPr>
        <w:rStyle w:val="HideTWBExt"/>
      </w:rPr>
      <w:t>&lt;NoPE&gt;</w:t>
    </w:r>
    <w:r>
      <w:t>626.828</w:t>
    </w:r>
    <w:r w:rsidRPr="003F0C17">
      <w:rPr>
        <w:rStyle w:val="HideTWBExt"/>
      </w:rPr>
      <w:t>&lt;/NoPE&gt;&lt;Version&gt;</w:t>
    </w:r>
    <w:r>
      <w:t>v03-00</w:t>
    </w:r>
    <w:r w:rsidRPr="003F0C17">
      <w:rPr>
        <w:rStyle w:val="HideTWBExt"/>
      </w:rPr>
      <w:t>&lt;/Version&gt;</w:t>
    </w:r>
  </w:p>
  <w:p w14:paraId="6147D21D" w14:textId="6DDC60B4" w:rsidR="00283187" w:rsidRDefault="003F0C17" w:rsidP="003F0C17">
    <w:pPr>
      <w:pStyle w:val="Footer2"/>
    </w:pPr>
    <w:r>
      <w:tab/>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EAC2B" w14:textId="77777777" w:rsidR="008E08D6" w:rsidRPr="00F13AB0" w:rsidRDefault="008E08D6">
      <w:r w:rsidRPr="00F13AB0">
        <w:separator/>
      </w:r>
    </w:p>
  </w:footnote>
  <w:footnote w:type="continuationSeparator" w:id="0">
    <w:p w14:paraId="5CC87791" w14:textId="77777777" w:rsidR="008E08D6" w:rsidRPr="00F13AB0" w:rsidRDefault="008E08D6">
      <w:r w:rsidRPr="00F13AB0">
        <w:continuationSeparator/>
      </w:r>
    </w:p>
  </w:footnote>
  <w:footnote w:id="1">
    <w:p w14:paraId="5D2CB27F" w14:textId="0546AD0D" w:rsidR="00645C2E" w:rsidRPr="00F13AB0" w:rsidRDefault="00645C2E">
      <w:pPr>
        <w:pStyle w:val="FootnoteText"/>
      </w:pPr>
      <w:r w:rsidRPr="00F13AB0">
        <w:rPr>
          <w:rStyle w:val="FootnoteReference"/>
        </w:rPr>
        <w:footnoteRef/>
      </w:r>
      <w:r w:rsidRPr="00F13AB0">
        <w:t xml:space="preserve"> UL C 452,14.12.2018 str.10</w:t>
      </w:r>
    </w:p>
  </w:footnote>
  <w:footnote w:id="2">
    <w:p w14:paraId="16C89C63" w14:textId="74FEC357" w:rsidR="00645C2E" w:rsidRPr="00F13AB0" w:rsidRDefault="00645C2E">
      <w:pPr>
        <w:pStyle w:val="FootnoteText"/>
      </w:pPr>
      <w:r w:rsidRPr="00F13AB0">
        <w:rPr>
          <w:rStyle w:val="FootnoteReference"/>
        </w:rPr>
        <w:footnoteRef/>
      </w:r>
      <w:r w:rsidRPr="00F13AB0">
        <w:t xml:space="preserve"> UL C 452,14.12.2018 str.12</w:t>
      </w:r>
    </w:p>
  </w:footnote>
  <w:footnote w:id="3">
    <w:p w14:paraId="29244B2C" w14:textId="77777777" w:rsidR="00645C2E" w:rsidRPr="00F13AB0" w:rsidRDefault="00645C2E">
      <w:pPr>
        <w:pStyle w:val="FootnoteText"/>
      </w:pPr>
      <w:r w:rsidRPr="00F13AB0">
        <w:rPr>
          <w:rStyle w:val="FootnoteReference"/>
        </w:rPr>
        <w:footnoteRef/>
      </w:r>
      <w:r w:rsidRPr="00F13AB0">
        <w:t xml:space="preserve"> UL L 298, 26.10.2012, str. 1.</w:t>
      </w:r>
    </w:p>
  </w:footnote>
  <w:footnote w:id="4">
    <w:p w14:paraId="70649C37" w14:textId="44A56466" w:rsidR="00645C2E" w:rsidRPr="00F13AB0" w:rsidRDefault="00645C2E">
      <w:pPr>
        <w:pStyle w:val="FootnoteText"/>
      </w:pPr>
      <w:r w:rsidRPr="00F13AB0">
        <w:rPr>
          <w:rStyle w:val="FootnoteReference"/>
        </w:rPr>
        <w:footnoteRef/>
      </w:r>
      <w:r w:rsidRPr="00F13AB0">
        <w:t xml:space="preserve"> UL L 193, 30.7.2018, str. 1.</w:t>
      </w:r>
    </w:p>
  </w:footnote>
  <w:footnote w:id="5">
    <w:p w14:paraId="5EC9E3E3" w14:textId="77777777" w:rsidR="00645C2E" w:rsidRPr="00F13AB0" w:rsidRDefault="00645C2E">
      <w:pPr>
        <w:pStyle w:val="FootnoteText"/>
      </w:pPr>
      <w:r w:rsidRPr="00F13AB0">
        <w:rPr>
          <w:rStyle w:val="FootnoteReference"/>
        </w:rPr>
        <w:footnoteRef/>
      </w:r>
      <w:r w:rsidRPr="00F13AB0">
        <w:t xml:space="preserve"> UL L 38, 7.2.2014, str. 2.</w:t>
      </w:r>
    </w:p>
  </w:footnote>
  <w:footnote w:id="6">
    <w:p w14:paraId="023869B0" w14:textId="2028C3AD" w:rsidR="00645C2E" w:rsidRPr="00F13AB0" w:rsidRDefault="00645C2E">
      <w:pPr>
        <w:pStyle w:val="FootnoteText"/>
      </w:pPr>
      <w:r w:rsidRPr="00F13AB0">
        <w:rPr>
          <w:rStyle w:val="FootnoteReference"/>
        </w:rPr>
        <w:footnoteRef/>
      </w:r>
      <w:r w:rsidRPr="00F13AB0">
        <w:t xml:space="preserve"> UL C 452,14.12.2018 str.10</w:t>
      </w:r>
    </w:p>
  </w:footnote>
  <w:footnote w:id="7">
    <w:p w14:paraId="493B3FD5" w14:textId="38AE4C71" w:rsidR="00645C2E" w:rsidRPr="00F13AB0" w:rsidRDefault="00645C2E">
      <w:pPr>
        <w:pStyle w:val="FootnoteText"/>
      </w:pPr>
      <w:r w:rsidRPr="00F13AB0">
        <w:rPr>
          <w:rStyle w:val="FootnoteReference"/>
        </w:rPr>
        <w:footnoteRef/>
      </w:r>
      <w:r w:rsidRPr="00F13AB0">
        <w:t xml:space="preserve"> UL C 452,14.12.2018 str.12</w:t>
      </w:r>
    </w:p>
  </w:footnote>
  <w:footnote w:id="8">
    <w:p w14:paraId="010C9F62" w14:textId="77777777" w:rsidR="00645C2E" w:rsidRPr="00F13AB0" w:rsidRDefault="00645C2E">
      <w:pPr>
        <w:pStyle w:val="FootnoteText"/>
      </w:pPr>
      <w:r w:rsidRPr="00F13AB0">
        <w:rPr>
          <w:rStyle w:val="FootnoteReference"/>
        </w:rPr>
        <w:footnoteRef/>
      </w:r>
      <w:r w:rsidRPr="00F13AB0">
        <w:t xml:space="preserve"> UL L 298, 26.10.2012, str. 1.</w:t>
      </w:r>
    </w:p>
  </w:footnote>
  <w:footnote w:id="9">
    <w:p w14:paraId="5C4B2447" w14:textId="092B5CCD" w:rsidR="00645C2E" w:rsidRPr="00F13AB0" w:rsidRDefault="00645C2E">
      <w:pPr>
        <w:pStyle w:val="FootnoteText"/>
      </w:pPr>
      <w:r w:rsidRPr="00F13AB0">
        <w:rPr>
          <w:rStyle w:val="FootnoteReference"/>
        </w:rPr>
        <w:footnoteRef/>
      </w:r>
      <w:r w:rsidRPr="00F13AB0">
        <w:t xml:space="preserve"> UL L 193, 30.7.2018, str. 1.</w:t>
      </w:r>
    </w:p>
  </w:footnote>
  <w:footnote w:id="10">
    <w:p w14:paraId="49BBA20B" w14:textId="77777777" w:rsidR="00645C2E" w:rsidRPr="00F13AB0" w:rsidRDefault="00645C2E">
      <w:pPr>
        <w:pStyle w:val="FootnoteText"/>
      </w:pPr>
      <w:r w:rsidRPr="00F13AB0">
        <w:rPr>
          <w:rStyle w:val="FootnoteReference"/>
        </w:rPr>
        <w:footnoteRef/>
      </w:r>
      <w:r w:rsidRPr="00F13AB0">
        <w:t xml:space="preserve"> UL L 38, 7.2.2014, str. 2.</w:t>
      </w:r>
    </w:p>
  </w:footnote>
  <w:footnote w:id="11">
    <w:p w14:paraId="79697699" w14:textId="0387D8FA" w:rsidR="00890A20" w:rsidRPr="00F13AB0" w:rsidRDefault="00890A20" w:rsidP="00890A20">
      <w:pPr>
        <w:pStyle w:val="FootnoteText"/>
      </w:pPr>
      <w:r w:rsidRPr="00F13AB0">
        <w:rPr>
          <w:rStyle w:val="FootnoteReference"/>
        </w:rPr>
        <w:footnoteRef/>
      </w:r>
      <w:r w:rsidR="00170A91">
        <w:t xml:space="preserve"> </w:t>
      </w:r>
      <w:r w:rsidRPr="00F13AB0">
        <w:t>UL L 169, 7.6.2014, str. 152.</w:t>
      </w:r>
    </w:p>
  </w:footnote>
  <w:footnote w:id="12">
    <w:p w14:paraId="5DF7D67F" w14:textId="39CE60DA" w:rsidR="00890A20" w:rsidRPr="00F13AB0" w:rsidRDefault="00890A20" w:rsidP="00890A20">
      <w:pPr>
        <w:pStyle w:val="FootnoteText"/>
      </w:pPr>
      <w:r w:rsidRPr="00F13AB0">
        <w:rPr>
          <w:rStyle w:val="FootnoteReference"/>
        </w:rPr>
        <w:footnoteRef/>
      </w:r>
      <w:r w:rsidR="00170A91">
        <w:t xml:space="preserve"> </w:t>
      </w:r>
      <w:r w:rsidRPr="00F13AB0">
        <w:t>Letno poročilo o dejavnostih, str. 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8E35" w14:textId="77777777" w:rsidR="00170A91" w:rsidRDefault="00170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F623" w14:textId="77777777" w:rsidR="00170A91" w:rsidRDefault="00170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229F5" w14:textId="77777777" w:rsidR="00170A91" w:rsidRDefault="00170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84C4EBF0">
      <w:start w:val="1"/>
      <w:numFmt w:val="upperLetter"/>
      <w:lvlText w:val="%1."/>
      <w:lvlJc w:val="left"/>
      <w:pPr>
        <w:tabs>
          <w:tab w:val="num" w:pos="360"/>
        </w:tabs>
        <w:ind w:left="360" w:hanging="360"/>
      </w:pPr>
      <w:rPr>
        <w:rFonts w:hint="default"/>
      </w:rPr>
    </w:lvl>
    <w:lvl w:ilvl="1" w:tplc="DE46D28E" w:tentative="1">
      <w:start w:val="1"/>
      <w:numFmt w:val="lowerLetter"/>
      <w:lvlText w:val="%2."/>
      <w:lvlJc w:val="left"/>
      <w:pPr>
        <w:tabs>
          <w:tab w:val="num" w:pos="1080"/>
        </w:tabs>
        <w:ind w:left="1080" w:hanging="360"/>
      </w:pPr>
    </w:lvl>
    <w:lvl w:ilvl="2" w:tplc="34B44E5A" w:tentative="1">
      <w:start w:val="1"/>
      <w:numFmt w:val="lowerRoman"/>
      <w:lvlText w:val="%3."/>
      <w:lvlJc w:val="right"/>
      <w:pPr>
        <w:tabs>
          <w:tab w:val="num" w:pos="1800"/>
        </w:tabs>
        <w:ind w:left="1800" w:hanging="180"/>
      </w:pPr>
    </w:lvl>
    <w:lvl w:ilvl="3" w:tplc="68B2F23E" w:tentative="1">
      <w:start w:val="1"/>
      <w:numFmt w:val="decimal"/>
      <w:lvlText w:val="%4."/>
      <w:lvlJc w:val="left"/>
      <w:pPr>
        <w:tabs>
          <w:tab w:val="num" w:pos="2520"/>
        </w:tabs>
        <w:ind w:left="2520" w:hanging="360"/>
      </w:pPr>
    </w:lvl>
    <w:lvl w:ilvl="4" w:tplc="EA265C0E" w:tentative="1">
      <w:start w:val="1"/>
      <w:numFmt w:val="lowerLetter"/>
      <w:lvlText w:val="%5."/>
      <w:lvlJc w:val="left"/>
      <w:pPr>
        <w:tabs>
          <w:tab w:val="num" w:pos="3240"/>
        </w:tabs>
        <w:ind w:left="3240" w:hanging="360"/>
      </w:pPr>
    </w:lvl>
    <w:lvl w:ilvl="5" w:tplc="EB083C8E" w:tentative="1">
      <w:start w:val="1"/>
      <w:numFmt w:val="lowerRoman"/>
      <w:lvlText w:val="%6."/>
      <w:lvlJc w:val="right"/>
      <w:pPr>
        <w:tabs>
          <w:tab w:val="num" w:pos="3960"/>
        </w:tabs>
        <w:ind w:left="3960" w:hanging="180"/>
      </w:pPr>
    </w:lvl>
    <w:lvl w:ilvl="6" w:tplc="9612BCB6" w:tentative="1">
      <w:start w:val="1"/>
      <w:numFmt w:val="decimal"/>
      <w:lvlText w:val="%7."/>
      <w:lvlJc w:val="left"/>
      <w:pPr>
        <w:tabs>
          <w:tab w:val="num" w:pos="4680"/>
        </w:tabs>
        <w:ind w:left="4680" w:hanging="360"/>
      </w:pPr>
    </w:lvl>
    <w:lvl w:ilvl="7" w:tplc="1E2CDB80" w:tentative="1">
      <w:start w:val="1"/>
      <w:numFmt w:val="lowerLetter"/>
      <w:lvlText w:val="%8."/>
      <w:lvlJc w:val="left"/>
      <w:pPr>
        <w:tabs>
          <w:tab w:val="num" w:pos="5400"/>
        </w:tabs>
        <w:ind w:left="5400" w:hanging="360"/>
      </w:pPr>
    </w:lvl>
    <w:lvl w:ilvl="8" w:tplc="6C7A1086"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9394FF6E">
      <w:start w:val="1"/>
      <w:numFmt w:val="decimal"/>
      <w:lvlText w:val="%1."/>
      <w:lvlJc w:val="left"/>
      <w:pPr>
        <w:tabs>
          <w:tab w:val="num" w:pos="720"/>
        </w:tabs>
        <w:ind w:left="720" w:hanging="360"/>
      </w:pPr>
    </w:lvl>
    <w:lvl w:ilvl="1" w:tplc="E6A631A8" w:tentative="1">
      <w:start w:val="1"/>
      <w:numFmt w:val="lowerLetter"/>
      <w:lvlText w:val="%2."/>
      <w:lvlJc w:val="left"/>
      <w:pPr>
        <w:tabs>
          <w:tab w:val="num" w:pos="1440"/>
        </w:tabs>
        <w:ind w:left="1440" w:hanging="360"/>
      </w:pPr>
    </w:lvl>
    <w:lvl w:ilvl="2" w:tplc="8772AF04" w:tentative="1">
      <w:start w:val="1"/>
      <w:numFmt w:val="lowerRoman"/>
      <w:lvlText w:val="%3."/>
      <w:lvlJc w:val="right"/>
      <w:pPr>
        <w:tabs>
          <w:tab w:val="num" w:pos="2160"/>
        </w:tabs>
        <w:ind w:left="2160" w:hanging="180"/>
      </w:pPr>
    </w:lvl>
    <w:lvl w:ilvl="3" w:tplc="A7760BB2" w:tentative="1">
      <w:start w:val="1"/>
      <w:numFmt w:val="decimal"/>
      <w:lvlText w:val="%4."/>
      <w:lvlJc w:val="left"/>
      <w:pPr>
        <w:tabs>
          <w:tab w:val="num" w:pos="2880"/>
        </w:tabs>
        <w:ind w:left="2880" w:hanging="360"/>
      </w:pPr>
    </w:lvl>
    <w:lvl w:ilvl="4" w:tplc="F8D6F024" w:tentative="1">
      <w:start w:val="1"/>
      <w:numFmt w:val="lowerLetter"/>
      <w:lvlText w:val="%5."/>
      <w:lvlJc w:val="left"/>
      <w:pPr>
        <w:tabs>
          <w:tab w:val="num" w:pos="3600"/>
        </w:tabs>
        <w:ind w:left="3600" w:hanging="360"/>
      </w:pPr>
    </w:lvl>
    <w:lvl w:ilvl="5" w:tplc="1818C9EA" w:tentative="1">
      <w:start w:val="1"/>
      <w:numFmt w:val="lowerRoman"/>
      <w:lvlText w:val="%6."/>
      <w:lvlJc w:val="right"/>
      <w:pPr>
        <w:tabs>
          <w:tab w:val="num" w:pos="4320"/>
        </w:tabs>
        <w:ind w:left="4320" w:hanging="180"/>
      </w:pPr>
    </w:lvl>
    <w:lvl w:ilvl="6" w:tplc="CCFA31B8" w:tentative="1">
      <w:start w:val="1"/>
      <w:numFmt w:val="decimal"/>
      <w:lvlText w:val="%7."/>
      <w:lvlJc w:val="left"/>
      <w:pPr>
        <w:tabs>
          <w:tab w:val="num" w:pos="5040"/>
        </w:tabs>
        <w:ind w:left="5040" w:hanging="360"/>
      </w:pPr>
    </w:lvl>
    <w:lvl w:ilvl="7" w:tplc="E960AFE2" w:tentative="1">
      <w:start w:val="1"/>
      <w:numFmt w:val="lowerLetter"/>
      <w:lvlText w:val="%8."/>
      <w:lvlJc w:val="left"/>
      <w:pPr>
        <w:tabs>
          <w:tab w:val="num" w:pos="5760"/>
        </w:tabs>
        <w:ind w:left="5760" w:hanging="360"/>
      </w:pPr>
    </w:lvl>
    <w:lvl w:ilvl="8" w:tplc="F58E0BC0"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nl-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OPINMNU" w:val=" 1"/>
    <w:docVar w:name="CopyToNetwork" w:val="-1"/>
    <w:docVar w:name="DECISIONMNU" w:val=" 3"/>
    <w:docVar w:name="FN1DT" w:val="..."/>
    <w:docVar w:name="FN2DT" w:val="..."/>
    <w:docVar w:name="HEADINGMNU" w:val=" 2"/>
    <w:docVar w:name="LastEditedSection" w:val=" 1"/>
    <w:docVar w:name="PAR1MNU" w:val="1"/>
    <w:docVar w:name="STOREDT" w:val="..."/>
    <w:docVar w:name="strDocTypeID" w:val="PR_DEC_JointUndertakings"/>
    <w:docVar w:name="strSubDir" w:val="1179"/>
    <w:docVar w:name="TITLEMNU" w:val=" 3"/>
    <w:docVar w:name="TXTBUDYEAR" w:val="2017"/>
    <w:docVar w:name="TXTFN1" w:val="…"/>
    <w:docVar w:name="TXTFN2" w:val="…"/>
    <w:docVar w:name="TXTLANGUE" w:val="SL"/>
    <w:docVar w:name="TXTLANGUEMIN" w:val="sl"/>
    <w:docVar w:name="TXTNRC" w:val="0000/2018"/>
    <w:docVar w:name="TXTNRCOUNC" w:val="00000/2018"/>
    <w:docVar w:name="TXTNRDEC" w:val="2018/2218"/>
    <w:docVar w:name="TXTNRPE" w:val="626.828"/>
    <w:docVar w:name="TXTPEorAP" w:val="PE"/>
    <w:docVar w:name="TXTPG1" w:val="…"/>
    <w:docVar w:name="TXTPG2" w:val="…"/>
    <w:docVar w:name="TXTROUTE" w:val="RR\1179009SL.docx"/>
    <w:docVar w:name="TXTVERSION" w:val="03-00"/>
  </w:docVars>
  <w:rsids>
    <w:rsidRoot w:val="008E08D6"/>
    <w:rsid w:val="00002C51"/>
    <w:rsid w:val="000053C1"/>
    <w:rsid w:val="000141D8"/>
    <w:rsid w:val="000529F2"/>
    <w:rsid w:val="00063308"/>
    <w:rsid w:val="0007106B"/>
    <w:rsid w:val="00090E0B"/>
    <w:rsid w:val="000B47E5"/>
    <w:rsid w:val="000B5E71"/>
    <w:rsid w:val="000E4F0F"/>
    <w:rsid w:val="00104CB9"/>
    <w:rsid w:val="00116CB4"/>
    <w:rsid w:val="00150EC1"/>
    <w:rsid w:val="00170313"/>
    <w:rsid w:val="00170A91"/>
    <w:rsid w:val="0017746B"/>
    <w:rsid w:val="00190881"/>
    <w:rsid w:val="001B40FB"/>
    <w:rsid w:val="001B4494"/>
    <w:rsid w:val="001C4F41"/>
    <w:rsid w:val="001E1032"/>
    <w:rsid w:val="00202D84"/>
    <w:rsid w:val="002033B0"/>
    <w:rsid w:val="00244C68"/>
    <w:rsid w:val="00253648"/>
    <w:rsid w:val="00276092"/>
    <w:rsid w:val="00282E69"/>
    <w:rsid w:val="002D0CD7"/>
    <w:rsid w:val="002D6EA9"/>
    <w:rsid w:val="00365187"/>
    <w:rsid w:val="003717A3"/>
    <w:rsid w:val="00381864"/>
    <w:rsid w:val="00390068"/>
    <w:rsid w:val="003E735B"/>
    <w:rsid w:val="003F0C17"/>
    <w:rsid w:val="003F0E64"/>
    <w:rsid w:val="004015FA"/>
    <w:rsid w:val="004651E1"/>
    <w:rsid w:val="00481152"/>
    <w:rsid w:val="004A34BF"/>
    <w:rsid w:val="004D13BA"/>
    <w:rsid w:val="004F4A39"/>
    <w:rsid w:val="005262F0"/>
    <w:rsid w:val="005434C3"/>
    <w:rsid w:val="00564DB0"/>
    <w:rsid w:val="00591C79"/>
    <w:rsid w:val="005A6CAE"/>
    <w:rsid w:val="005B2950"/>
    <w:rsid w:val="005C689E"/>
    <w:rsid w:val="005D3E9F"/>
    <w:rsid w:val="006117BD"/>
    <w:rsid w:val="0063324A"/>
    <w:rsid w:val="00642605"/>
    <w:rsid w:val="00643EBE"/>
    <w:rsid w:val="00645C2E"/>
    <w:rsid w:val="006667D0"/>
    <w:rsid w:val="006835EB"/>
    <w:rsid w:val="006B0ED0"/>
    <w:rsid w:val="006D37D7"/>
    <w:rsid w:val="006D5743"/>
    <w:rsid w:val="006F078E"/>
    <w:rsid w:val="00703588"/>
    <w:rsid w:val="0074734C"/>
    <w:rsid w:val="007965DD"/>
    <w:rsid w:val="007A06FA"/>
    <w:rsid w:val="007C3B7E"/>
    <w:rsid w:val="007D1E61"/>
    <w:rsid w:val="007E2834"/>
    <w:rsid w:val="007F0D0F"/>
    <w:rsid w:val="00807A6E"/>
    <w:rsid w:val="00807DB1"/>
    <w:rsid w:val="0081446A"/>
    <w:rsid w:val="0082043D"/>
    <w:rsid w:val="0087575B"/>
    <w:rsid w:val="00890797"/>
    <w:rsid w:val="00890A20"/>
    <w:rsid w:val="00895F7F"/>
    <w:rsid w:val="008A1FD1"/>
    <w:rsid w:val="008A23A3"/>
    <w:rsid w:val="008A442A"/>
    <w:rsid w:val="008D2063"/>
    <w:rsid w:val="008D3C3F"/>
    <w:rsid w:val="008E08D6"/>
    <w:rsid w:val="00916826"/>
    <w:rsid w:val="00916B34"/>
    <w:rsid w:val="009807D1"/>
    <w:rsid w:val="009A1AE4"/>
    <w:rsid w:val="009B566F"/>
    <w:rsid w:val="009D709B"/>
    <w:rsid w:val="009F38DB"/>
    <w:rsid w:val="009F4B7D"/>
    <w:rsid w:val="00A273FA"/>
    <w:rsid w:val="00A35902"/>
    <w:rsid w:val="00A41F47"/>
    <w:rsid w:val="00A84FF1"/>
    <w:rsid w:val="00A94203"/>
    <w:rsid w:val="00AB4789"/>
    <w:rsid w:val="00BA22AD"/>
    <w:rsid w:val="00BA46FB"/>
    <w:rsid w:val="00BB5EE6"/>
    <w:rsid w:val="00BD13C4"/>
    <w:rsid w:val="00BD3717"/>
    <w:rsid w:val="00BE0DC4"/>
    <w:rsid w:val="00BF0771"/>
    <w:rsid w:val="00C121E6"/>
    <w:rsid w:val="00C1531C"/>
    <w:rsid w:val="00C56953"/>
    <w:rsid w:val="00C607B5"/>
    <w:rsid w:val="00C63401"/>
    <w:rsid w:val="00C75902"/>
    <w:rsid w:val="00C86EE5"/>
    <w:rsid w:val="00CB6B29"/>
    <w:rsid w:val="00CD7622"/>
    <w:rsid w:val="00CF07EC"/>
    <w:rsid w:val="00CF363B"/>
    <w:rsid w:val="00D03750"/>
    <w:rsid w:val="00D05CBA"/>
    <w:rsid w:val="00D233BF"/>
    <w:rsid w:val="00D74CC3"/>
    <w:rsid w:val="00D82281"/>
    <w:rsid w:val="00DD25C9"/>
    <w:rsid w:val="00E0724B"/>
    <w:rsid w:val="00E33DBA"/>
    <w:rsid w:val="00E44A07"/>
    <w:rsid w:val="00E50576"/>
    <w:rsid w:val="00E760A2"/>
    <w:rsid w:val="00E86495"/>
    <w:rsid w:val="00EA36BD"/>
    <w:rsid w:val="00F0381D"/>
    <w:rsid w:val="00F10455"/>
    <w:rsid w:val="00F13AB0"/>
    <w:rsid w:val="00F21C7F"/>
    <w:rsid w:val="00F66C61"/>
    <w:rsid w:val="00F71101"/>
    <w:rsid w:val="00F9531F"/>
    <w:rsid w:val="00FB502A"/>
    <w:rsid w:val="00FD18F9"/>
    <w:rsid w:val="00FF3BD2"/>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112B79A"/>
  <w15:chartTrackingRefBased/>
  <w15:docId w15:val="{ED5196FC-ED13-4D6A-841D-A3BE33FE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NormalBoldItalcs12a12b">
    <w:name w:val="NormalBoldItalcs12a12b"/>
    <w:basedOn w:val="Normal"/>
    <w:qFormat/>
    <w:rsid w:val="00E86495"/>
    <w:pPr>
      <w:spacing w:before="240" w:after="240"/>
    </w:pPr>
    <w:rPr>
      <w:b/>
      <w:i/>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Name">
    <w:name w:val="EPName"/>
    <w:basedOn w:val="Normal"/>
    <w:rsid w:val="00807A6E"/>
    <w:pPr>
      <w:spacing w:before="80" w:after="80"/>
    </w:pPr>
    <w:rPr>
      <w:rFonts w:ascii="Arial Narrow" w:hAnsi="Arial Narrow" w:cs="Arial"/>
      <w:b/>
      <w:color w:val="000000"/>
      <w:sz w:val="32"/>
      <w:szCs w:val="22"/>
    </w:rPr>
  </w:style>
  <w:style w:type="paragraph" w:customStyle="1" w:styleId="EPTerm">
    <w:name w:val="EPTerm"/>
    <w:basedOn w:val="Normal"/>
    <w:next w:val="Normal"/>
    <w:rsid w:val="00807A6E"/>
    <w:pPr>
      <w:spacing w:after="80"/>
    </w:pPr>
    <w:rPr>
      <w:rFonts w:ascii="Arial" w:hAnsi="Arial" w:cs="Arial"/>
      <w:sz w:val="20"/>
      <w:szCs w:val="22"/>
    </w:rPr>
  </w:style>
  <w:style w:type="paragraph" w:customStyle="1" w:styleId="EPLogo">
    <w:name w:val="EPLogo"/>
    <w:basedOn w:val="Normal"/>
    <w:qFormat/>
    <w:rsid w:val="00807A6E"/>
    <w:pPr>
      <w:jc w:val="right"/>
    </w:pPr>
  </w:style>
  <w:style w:type="paragraph" w:styleId="FootnoteText">
    <w:name w:val="footnote text"/>
    <w:basedOn w:val="Normal"/>
    <w:link w:val="FootnoteTextChar"/>
    <w:rsid w:val="00645C2E"/>
    <w:rPr>
      <w:sz w:val="20"/>
    </w:rPr>
  </w:style>
  <w:style w:type="character" w:customStyle="1" w:styleId="FootnoteTextChar">
    <w:name w:val="Footnote Text Char"/>
    <w:basedOn w:val="DefaultParagraphFont"/>
    <w:link w:val="FootnoteText"/>
    <w:rsid w:val="00645C2E"/>
  </w:style>
  <w:style w:type="character" w:styleId="FootnoteReference">
    <w:name w:val="footnote reference"/>
    <w:basedOn w:val="DefaultParagraphFont"/>
    <w:rsid w:val="00645C2E"/>
    <w:rPr>
      <w:vertAlign w:val="superscript"/>
    </w:rPr>
  </w:style>
  <w:style w:type="paragraph" w:styleId="BalloonText">
    <w:name w:val="Balloon Text"/>
    <w:basedOn w:val="Normal"/>
    <w:link w:val="BalloonTextChar"/>
    <w:rsid w:val="00645C2E"/>
    <w:rPr>
      <w:rFonts w:ascii="Segoe UI" w:hAnsi="Segoe UI" w:cs="Segoe UI"/>
      <w:sz w:val="18"/>
      <w:szCs w:val="18"/>
    </w:rPr>
  </w:style>
  <w:style w:type="character" w:customStyle="1" w:styleId="BalloonTextChar">
    <w:name w:val="Balloon Text Char"/>
    <w:basedOn w:val="DefaultParagraphFont"/>
    <w:link w:val="BalloonText"/>
    <w:rsid w:val="00645C2E"/>
    <w:rPr>
      <w:rFonts w:ascii="Segoe UI" w:hAnsi="Segoe UI" w:cs="Segoe UI"/>
      <w:sz w:val="18"/>
      <w:szCs w:val="18"/>
    </w:rPr>
  </w:style>
  <w:style w:type="character" w:styleId="CommentReference">
    <w:name w:val="annotation reference"/>
    <w:basedOn w:val="DefaultParagraphFont"/>
    <w:rsid w:val="008A442A"/>
    <w:rPr>
      <w:sz w:val="16"/>
      <w:szCs w:val="16"/>
    </w:rPr>
  </w:style>
  <w:style w:type="paragraph" w:styleId="CommentText">
    <w:name w:val="annotation text"/>
    <w:basedOn w:val="Normal"/>
    <w:link w:val="CommentTextChar"/>
    <w:rsid w:val="008A442A"/>
    <w:rPr>
      <w:sz w:val="20"/>
    </w:rPr>
  </w:style>
  <w:style w:type="character" w:customStyle="1" w:styleId="CommentTextChar">
    <w:name w:val="Comment Text Char"/>
    <w:basedOn w:val="DefaultParagraphFont"/>
    <w:link w:val="CommentText"/>
    <w:rsid w:val="008A442A"/>
  </w:style>
  <w:style w:type="paragraph" w:styleId="CommentSubject">
    <w:name w:val="annotation subject"/>
    <w:basedOn w:val="CommentText"/>
    <w:next w:val="CommentText"/>
    <w:link w:val="CommentSubjectChar"/>
    <w:rsid w:val="008A442A"/>
    <w:rPr>
      <w:b/>
      <w:bCs/>
    </w:rPr>
  </w:style>
  <w:style w:type="character" w:customStyle="1" w:styleId="CommentSubjectChar">
    <w:name w:val="Comment Subject Char"/>
    <w:basedOn w:val="CommentTextChar"/>
    <w:link w:val="CommentSubject"/>
    <w:rsid w:val="008A442A"/>
    <w:rPr>
      <w:b/>
      <w:bCs/>
    </w:rPr>
  </w:style>
  <w:style w:type="character" w:customStyle="1" w:styleId="Normal12HangingChar">
    <w:name w:val="Normal12Hanging Char"/>
    <w:link w:val="Normal12Hanging"/>
    <w:rsid w:val="00890A20"/>
    <w:rPr>
      <w:sz w:val="24"/>
    </w:rPr>
  </w:style>
  <w:style w:type="character" w:customStyle="1" w:styleId="Sup">
    <w:name w:val="Sup"/>
    <w:rsid w:val="00890A20"/>
    <w:rPr>
      <w:color w:val="000000"/>
      <w:vertAlign w:val="superscript"/>
    </w:rPr>
  </w:style>
  <w:style w:type="paragraph" w:customStyle="1" w:styleId="NormalTabs">
    <w:name w:val="NormalTabs"/>
    <w:basedOn w:val="Normal"/>
    <w:qFormat/>
    <w:rsid w:val="00890A20"/>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36289">
      <w:bodyDiv w:val="1"/>
      <w:marLeft w:val="0"/>
      <w:marRight w:val="0"/>
      <w:marTop w:val="0"/>
      <w:marBottom w:val="0"/>
      <w:divBdr>
        <w:top w:val="none" w:sz="0" w:space="0" w:color="auto"/>
        <w:left w:val="none" w:sz="0" w:space="0" w:color="auto"/>
        <w:bottom w:val="none" w:sz="0" w:space="0" w:color="auto"/>
        <w:right w:val="none" w:sz="0" w:space="0" w:color="auto"/>
      </w:divBdr>
    </w:div>
    <w:div w:id="1666468020">
      <w:bodyDiv w:val="1"/>
      <w:marLeft w:val="0"/>
      <w:marRight w:val="0"/>
      <w:marTop w:val="0"/>
      <w:marBottom w:val="0"/>
      <w:divBdr>
        <w:top w:val="none" w:sz="0" w:space="0" w:color="auto"/>
        <w:left w:val="none" w:sz="0" w:space="0" w:color="auto"/>
        <w:bottom w:val="none" w:sz="0" w:space="0" w:color="auto"/>
        <w:right w:val="none" w:sz="0" w:space="0" w:color="auto"/>
      </w:divBdr>
    </w:div>
    <w:div w:id="1905332174">
      <w:bodyDiv w:val="1"/>
      <w:marLeft w:val="0"/>
      <w:marRight w:val="0"/>
      <w:marTop w:val="0"/>
      <w:marBottom w:val="0"/>
      <w:divBdr>
        <w:top w:val="none" w:sz="0" w:space="0" w:color="auto"/>
        <w:left w:val="none" w:sz="0" w:space="0" w:color="auto"/>
        <w:bottom w:val="none" w:sz="0" w:space="0" w:color="auto"/>
        <w:right w:val="none" w:sz="0" w:space="0" w:color="auto"/>
      </w:divBdr>
    </w:div>
    <w:div w:id="19311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913</Words>
  <Characters>14349</Characters>
  <Application>Microsoft Office Word</Application>
  <DocSecurity>0</DocSecurity>
  <Lines>377</Lines>
  <Paragraphs>221</Paragraphs>
  <ScaleCrop>false</ScaleCrop>
  <HeadingPairs>
    <vt:vector size="2" baseType="variant">
      <vt:variant>
        <vt:lpstr>Title</vt:lpstr>
      </vt:variant>
      <vt:variant>
        <vt:i4>1</vt:i4>
      </vt:variant>
    </vt:vector>
  </HeadingPairs>
  <TitlesOfParts>
    <vt:vector size="1" baseType="lpstr">
      <vt:lpstr>PR_Dec_JointUndertakings</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PR_Dec_JointUndertakings</dc:title>
  <dc:subject/>
  <dc:creator>CONINCKX Catherine</dc:creator>
  <cp:keywords/>
  <dc:description/>
  <cp:lastModifiedBy>POTOCNIK Lea</cp:lastModifiedBy>
  <cp:revision>2</cp:revision>
  <cp:lastPrinted>2018-12-17T11:15:00Z</cp:lastPrinted>
  <dcterms:created xsi:type="dcterms:W3CDTF">2019-03-14T10:34:00Z</dcterms:created>
  <dcterms:modified xsi:type="dcterms:W3CDTF">2019-03-14T10:34:00Z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1179009</vt:lpwstr>
  </property>
  <property fmtid="{D5CDD505-2E9C-101B-9397-08002B2CF9AE}" pid="5" name="&lt;Type&gt;">
    <vt:lpwstr>RR</vt:lpwstr>
  </property>
  <property fmtid="{D5CDD505-2E9C-101B-9397-08002B2CF9AE}" pid="6" name="&lt;ModelCod&gt;">
    <vt:lpwstr>\\eiciBRUpr1\pdocep$\DocEP\DOCS\General\PR\PR_BUD\DEC\PR_DEC_JointUndertakings.dot(27/09/2017 18:25:48)</vt:lpwstr>
  </property>
  <property fmtid="{D5CDD505-2E9C-101B-9397-08002B2CF9AE}" pid="7" name="&lt;ModelTra&gt;">
    <vt:lpwstr>\\eiciBRUpr1\pdocep$\DocEP\TRANSFIL\EN\PR_DEC_JointUndertakings.EN(23/11/2017 16:03:45)</vt:lpwstr>
  </property>
  <property fmtid="{D5CDD505-2E9C-101B-9397-08002B2CF9AE}" pid="8" name="&lt;Model&gt;">
    <vt:lpwstr>PR_DEC_JointUndertakings</vt:lpwstr>
  </property>
  <property fmtid="{D5CDD505-2E9C-101B-9397-08002B2CF9AE}" pid="9" name="FooterPath">
    <vt:lpwstr>RR\1179009SL.docx</vt:lpwstr>
  </property>
  <property fmtid="{D5CDD505-2E9C-101B-9397-08002B2CF9AE}" pid="10" name="PE number">
    <vt:lpwstr>626.828</vt:lpwstr>
  </property>
  <property fmtid="{D5CDD505-2E9C-101B-9397-08002B2CF9AE}" pid="11" name="SendToEpades">
    <vt:lpwstr>OK - 2018/12/17 13:24</vt:lpwstr>
  </property>
  <property fmtid="{D5CDD505-2E9C-101B-9397-08002B2CF9AE}" pid="12" name="SubscribeElise">
    <vt:lpwstr/>
  </property>
  <property fmtid="{D5CDD505-2E9C-101B-9397-08002B2CF9AE}" pid="13" name="Bookout">
    <vt:lpwstr>OK - 2019/03/14 11:34</vt:lpwstr>
  </property>
  <property fmtid="{D5CDD505-2E9C-101B-9397-08002B2CF9AE}" pid="14" name="SDLStudio">
    <vt:lpwstr/>
  </property>
  <property fmtid="{D5CDD505-2E9C-101B-9397-08002B2CF9AE}" pid="15" name="&lt;Extension&gt;">
    <vt:lpwstr>SL</vt:lpwstr>
  </property>
</Properties>
</file>