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CC7D24" w:rsidRDefault="009173A2">
      <w:pPr>
        <w:pStyle w:val="Interstitial1"/>
      </w:pPr>
      <w:r w:rsidRPr="00CC7D24">
        <w:rPr>
          <w:rStyle w:val="HideTWBExt"/>
        </w:rPr>
        <w:t>&lt;RepeatBlock-Amend&gt;&lt;Amend&gt;&lt;Date&gt;</w:t>
      </w:r>
      <w:r w:rsidRPr="00CC7D24">
        <w:rPr>
          <w:rStyle w:val="HideTWBInt"/>
          <w:color w:val="auto"/>
        </w:rPr>
        <w:t>{22/03/2019}</w:t>
      </w:r>
      <w:r w:rsidRPr="00CC7D24">
        <w:rPr>
          <w:color w:val="auto"/>
        </w:rPr>
        <w:t>22.3.2019</w:t>
      </w:r>
      <w:r w:rsidRPr="00CC7D24">
        <w:rPr>
          <w:rStyle w:val="HideTWBExt"/>
        </w:rPr>
        <w:t>&lt;/Date&gt;</w:t>
      </w:r>
      <w:r w:rsidRPr="00CC7D24">
        <w:rPr>
          <w:color w:val="auto"/>
        </w:rPr>
        <w:tab/>
      </w:r>
      <w:r w:rsidRPr="00CC7D24">
        <w:rPr>
          <w:rStyle w:val="HideTWBExt"/>
        </w:rPr>
        <w:t>&lt;ANo&gt;</w:t>
      </w:r>
      <w:r w:rsidRPr="00CC7D24">
        <w:rPr>
          <w:color w:val="auto"/>
        </w:rPr>
        <w:t>A8-0110</w:t>
      </w:r>
      <w:r w:rsidRPr="00CC7D24">
        <w:rPr>
          <w:rStyle w:val="HideTWBExt"/>
        </w:rPr>
        <w:t>&lt;/ANo&gt;</w:t>
      </w:r>
      <w:r w:rsidRPr="00CC7D24">
        <w:rPr>
          <w:color w:val="auto"/>
        </w:rPr>
        <w:t>/</w:t>
      </w:r>
      <w:r w:rsidRPr="00CC7D24">
        <w:rPr>
          <w:rStyle w:val="HideTWBExt"/>
        </w:rPr>
        <w:t>&lt;NumAm&gt;</w:t>
      </w:r>
      <w:r w:rsidRPr="00CC7D24">
        <w:rPr>
          <w:color w:val="auto"/>
        </w:rPr>
        <w:t>14</w:t>
      </w:r>
      <w:r w:rsidRPr="00CC7D24">
        <w:rPr>
          <w:rStyle w:val="HideTWBExt"/>
        </w:rPr>
        <w:t>&lt;/NumAm&gt;</w:t>
      </w:r>
    </w:p>
    <w:p w:rsidR="00625AD5" w:rsidRPr="00CC7D24" w:rsidRDefault="009173A2">
      <w:pPr>
        <w:pStyle w:val="AMNumberTabs"/>
      </w:pPr>
      <w:r w:rsidRPr="00CC7D24">
        <w:rPr>
          <w:color w:val="auto"/>
        </w:rPr>
        <w:t>Ændringsforslag</w:t>
      </w:r>
      <w:r w:rsidRPr="00CC7D24">
        <w:rPr>
          <w:color w:val="auto"/>
        </w:rPr>
        <w:tab/>
      </w:r>
      <w:r w:rsidRPr="00CC7D24">
        <w:rPr>
          <w:color w:val="auto"/>
        </w:rPr>
        <w:tab/>
      </w:r>
      <w:r w:rsidRPr="00CC7D24">
        <w:rPr>
          <w:rStyle w:val="HideTWBExt"/>
        </w:rPr>
        <w:t>&lt;NumAm&gt;</w:t>
      </w:r>
      <w:r w:rsidRPr="00CC7D24">
        <w:rPr>
          <w:color w:val="auto"/>
        </w:rPr>
        <w:t>14</w:t>
      </w:r>
      <w:r w:rsidRPr="00CC7D24">
        <w:rPr>
          <w:rStyle w:val="HideTWBExt"/>
        </w:rPr>
        <w:t>&lt;/NumAm&gt;</w:t>
      </w:r>
    </w:p>
    <w:p w:rsidR="00625AD5" w:rsidRPr="00CC7D24" w:rsidRDefault="009173A2">
      <w:pPr>
        <w:pStyle w:val="NormalBold"/>
      </w:pPr>
      <w:r w:rsidRPr="00CC7D24">
        <w:rPr>
          <w:rStyle w:val="HideTWBExt"/>
        </w:rPr>
        <w:t>&lt;RepeatBlock-By&gt;&lt;Members&gt;</w:t>
      </w:r>
      <w:r w:rsidRPr="00CC7D24">
        <w:rPr>
          <w:color w:val="auto"/>
        </w:rPr>
        <w:t>Inés Ayala Sender</w:t>
      </w:r>
      <w:r w:rsidRPr="00CC7D24">
        <w:rPr>
          <w:rStyle w:val="HideTWBExt"/>
        </w:rPr>
        <w:t>&lt;/Members&gt;</w:t>
      </w:r>
    </w:p>
    <w:p w:rsidR="00625AD5" w:rsidRPr="00CC7D24" w:rsidRDefault="009173A2" w:rsidP="008B3AEA">
      <w:r w:rsidRPr="00CC7D24">
        <w:rPr>
          <w:rStyle w:val="HideTWBExt"/>
        </w:rPr>
        <w:t>&lt;AuNomDe&gt;</w:t>
      </w:r>
      <w:r w:rsidRPr="00CC7D24">
        <w:rPr>
          <w:rStyle w:val="HideTWBInt"/>
          <w:color w:val="auto"/>
        </w:rPr>
        <w:t>{S&amp;D}</w:t>
      </w:r>
      <w:r w:rsidR="008B3AEA">
        <w:t xml:space="preserve">for </w:t>
      </w:r>
      <w:r w:rsidRPr="00CC7D24">
        <w:t>S&amp;D</w:t>
      </w:r>
      <w:r w:rsidR="008B3AEA">
        <w:t>-Gruppen</w:t>
      </w:r>
      <w:r w:rsidRPr="00CC7D24">
        <w:rPr>
          <w:rStyle w:val="HideTWBExt"/>
        </w:rPr>
        <w:t>&lt;/AuNomDe&gt;</w:t>
      </w:r>
    </w:p>
    <w:p w:rsidR="00625AD5" w:rsidRPr="00CC7D24" w:rsidRDefault="009173A2">
      <w:r w:rsidRPr="00CC7D24">
        <w:rPr>
          <w:rStyle w:val="HideTWBExt"/>
        </w:rPr>
        <w:t>&lt;/RepeatBlock-By&gt;</w:t>
      </w:r>
    </w:p>
    <w:p w:rsidR="00625AD5" w:rsidRPr="00CC7D24" w:rsidRDefault="009173A2">
      <w:pPr>
        <w:pStyle w:val="ProjRap"/>
      </w:pPr>
      <w:r w:rsidRPr="00CC7D24">
        <w:rPr>
          <w:rStyle w:val="HideTWBExt"/>
        </w:rPr>
        <w:t>&lt;TitreType&gt;</w:t>
      </w:r>
      <w:r w:rsidRPr="00CC7D24">
        <w:t>Betænkning</w:t>
      </w:r>
      <w:r w:rsidRPr="00CC7D24">
        <w:rPr>
          <w:rStyle w:val="HideTWBExt"/>
        </w:rPr>
        <w:t>&lt;/TitreType&gt;</w:t>
      </w:r>
      <w:r w:rsidRPr="00CC7D24">
        <w:tab/>
        <w:t>A8-0110/2019</w:t>
      </w:r>
    </w:p>
    <w:p w:rsidR="00625AD5" w:rsidRPr="00CC7D24" w:rsidRDefault="009173A2">
      <w:pPr>
        <w:pStyle w:val="NormalBold"/>
      </w:pPr>
      <w:r w:rsidRPr="00CC7D24">
        <w:rPr>
          <w:rStyle w:val="HideTWBExt"/>
        </w:rPr>
        <w:t>&lt;Rapporteur&gt;</w:t>
      </w:r>
      <w:r w:rsidRPr="00CC7D24">
        <w:rPr>
          <w:color w:val="auto"/>
        </w:rPr>
        <w:t>Inés Ayala Sender</w:t>
      </w:r>
      <w:r w:rsidRPr="00CC7D24">
        <w:rPr>
          <w:rStyle w:val="HideTWBExt"/>
        </w:rPr>
        <w:t>&lt;/Rapporteur&gt;</w:t>
      </w:r>
    </w:p>
    <w:p w:rsidR="00625AD5" w:rsidRPr="00CC7D24" w:rsidRDefault="009173A2">
      <w:pPr>
        <w:pStyle w:val="Normal12"/>
      </w:pPr>
      <w:r w:rsidRPr="00CC7D24">
        <w:rPr>
          <w:rStyle w:val="HideTWBExt"/>
        </w:rPr>
        <w:t>&lt;Titre&gt;</w:t>
      </w:r>
      <w:r w:rsidRPr="00CC7D24">
        <w:t>Decharge 2017: EU's almindelige budget – Kommissionen og forvaltningsorganerne</w:t>
      </w:r>
      <w:r w:rsidRPr="00CC7D24">
        <w:rPr>
          <w:rStyle w:val="HideTWBExt"/>
        </w:rPr>
        <w:t>&lt;/Titre&gt;</w:t>
      </w:r>
    </w:p>
    <w:p w:rsidR="00625AD5" w:rsidRPr="00CC7D24" w:rsidRDefault="009173A2">
      <w:pPr>
        <w:pStyle w:val="Normal12"/>
      </w:pPr>
      <w:r w:rsidRPr="00CC7D24">
        <w:rPr>
          <w:rStyle w:val="HideTWBExt"/>
        </w:rPr>
        <w:t>&lt;DocRef&gt;</w:t>
      </w:r>
      <w:r w:rsidRPr="00CC7D24">
        <w:rPr>
          <w:color w:val="auto"/>
        </w:rPr>
        <w:t>2018/2166(DEC)</w:t>
      </w:r>
      <w:r w:rsidRPr="00CC7D24">
        <w:rPr>
          <w:rStyle w:val="HideTWBExt"/>
        </w:rPr>
        <w:t>&lt;/DocRef&gt;</w:t>
      </w:r>
    </w:p>
    <w:p w:rsidR="00625AD5" w:rsidRPr="00CC7D24" w:rsidRDefault="00625AD5">
      <w:pPr>
        <w:pStyle w:val="Normal12"/>
      </w:pPr>
    </w:p>
    <w:p w:rsidR="00625AD5" w:rsidRPr="00CC7D24" w:rsidRDefault="009173A2">
      <w:pPr>
        <w:pStyle w:val="NormalBold"/>
      </w:pPr>
      <w:r w:rsidRPr="00CC7D24">
        <w:rPr>
          <w:rStyle w:val="HideTWBExt"/>
        </w:rPr>
        <w:t>&lt;DocAmend&gt;</w:t>
      </w:r>
      <w:r w:rsidRPr="00CC7D24">
        <w:rPr>
          <w:color w:val="auto"/>
        </w:rPr>
        <w:t>Forslag til beslutning</w:t>
      </w:r>
      <w:r w:rsidRPr="00CC7D24">
        <w:rPr>
          <w:rStyle w:val="HideTWBExt"/>
        </w:rPr>
        <w:t>&lt;/DocAmend&gt;</w:t>
      </w:r>
    </w:p>
    <w:p w:rsidR="00625AD5" w:rsidRPr="00CC7D24" w:rsidRDefault="009173A2">
      <w:pPr>
        <w:pStyle w:val="NormalBold"/>
      </w:pPr>
      <w:r w:rsidRPr="00CC7D24">
        <w:rPr>
          <w:rStyle w:val="HideTWBExt"/>
        </w:rPr>
        <w:t>&lt;Article&gt;</w:t>
      </w:r>
      <w:r w:rsidRPr="00CC7D24">
        <w:rPr>
          <w:color w:val="auto"/>
        </w:rPr>
        <w:t>Punkt 24 a (nyt)</w:t>
      </w:r>
      <w:r w:rsidRPr="00CC7D2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5AD5" w:rsidRPr="00CC7D24">
        <w:trPr>
          <w:trHeight w:hRule="exact" w:val="240"/>
          <w:jc w:val="center"/>
        </w:trPr>
        <w:tc>
          <w:tcPr>
            <w:tcW w:w="9752" w:type="dxa"/>
            <w:gridSpan w:val="2"/>
          </w:tcPr>
          <w:p w:rsidR="00625AD5" w:rsidRPr="00CC7D24" w:rsidRDefault="00625AD5"/>
        </w:tc>
      </w:tr>
      <w:tr w:rsidR="00625AD5" w:rsidRPr="00CC7D24">
        <w:trPr>
          <w:trHeight w:val="240"/>
          <w:jc w:val="center"/>
        </w:trPr>
        <w:tc>
          <w:tcPr>
            <w:tcW w:w="4876" w:type="dxa"/>
          </w:tcPr>
          <w:p w:rsidR="00625AD5" w:rsidRPr="00CC7D24" w:rsidRDefault="009173A2">
            <w:pPr>
              <w:pStyle w:val="ColumnHeading"/>
              <w:rPr>
                <w:color w:val="auto"/>
              </w:rPr>
            </w:pPr>
            <w:r w:rsidRPr="00CC7D24">
              <w:rPr>
                <w:color w:val="auto"/>
              </w:rPr>
              <w:t>Forslag til beslutning</w:t>
            </w:r>
          </w:p>
        </w:tc>
        <w:tc>
          <w:tcPr>
            <w:tcW w:w="4876" w:type="dxa"/>
          </w:tcPr>
          <w:p w:rsidR="00625AD5" w:rsidRPr="00CC7D24" w:rsidRDefault="009173A2">
            <w:pPr>
              <w:pStyle w:val="ColumnHeading"/>
              <w:rPr>
                <w:color w:val="auto"/>
              </w:rPr>
            </w:pPr>
            <w:r w:rsidRPr="00CC7D24">
              <w:rPr>
                <w:color w:val="auto"/>
              </w:rPr>
              <w:t>Ændringsforslag</w:t>
            </w:r>
          </w:p>
        </w:tc>
      </w:tr>
      <w:tr w:rsidR="00625AD5" w:rsidRPr="00CC7D24">
        <w:trPr>
          <w:jc w:val="center"/>
        </w:trPr>
        <w:tc>
          <w:tcPr>
            <w:tcW w:w="4876" w:type="dxa"/>
          </w:tcPr>
          <w:p w:rsidR="00625AD5" w:rsidRPr="00CC7D24" w:rsidRDefault="00625AD5">
            <w:pPr>
              <w:pStyle w:val="Normal6"/>
              <w:rPr>
                <w:color w:val="auto"/>
              </w:rPr>
            </w:pPr>
          </w:p>
        </w:tc>
        <w:tc>
          <w:tcPr>
            <w:tcW w:w="4876" w:type="dxa"/>
          </w:tcPr>
          <w:p w:rsidR="00625AD5" w:rsidRPr="00CC7D24" w:rsidRDefault="009173A2">
            <w:pPr>
              <w:pStyle w:val="Normal6"/>
              <w:rPr>
                <w:color w:val="auto"/>
              </w:rPr>
            </w:pPr>
            <w:r w:rsidRPr="00CC7D24">
              <w:rPr>
                <w:b/>
                <w:i/>
                <w:color w:val="auto"/>
              </w:rPr>
              <w:t>24a.</w:t>
            </w:r>
            <w:r w:rsidRPr="00CC7D24">
              <w:rPr>
                <w:color w:val="auto"/>
              </w:rPr>
              <w:tab/>
            </w:r>
            <w:r w:rsidRPr="00CC7D24">
              <w:rPr>
                <w:b/>
                <w:i/>
                <w:color w:val="auto"/>
              </w:rPr>
              <w:t>beklager, at det ikke lykkedes Unionen at håndtere og på passende vis reagere på både den finansielle og socioøkonomiske krise i 2008 (Grækenland er et eksempel herpå, i lyset af at landet for nyligt har modtaget en undskyldning fra Kommissionen) og flygtningekrisen fra 2015, hvilket førte til en yderligere forværring af splittelserne i Unionen mellem nord/syd og øst/vest, til øget ulighed samt til voksende mistillid medlemsstaterne imellem;</w:t>
            </w:r>
          </w:p>
        </w:tc>
      </w:tr>
    </w:tbl>
    <w:p w:rsidR="00625AD5" w:rsidRPr="00CC7D24" w:rsidRDefault="009173A2" w:rsidP="00825805">
      <w:pPr>
        <w:pStyle w:val="Olang"/>
      </w:pPr>
      <w:r w:rsidRPr="00CC7D24">
        <w:rPr>
          <w:color w:val="auto"/>
        </w:rPr>
        <w:t xml:space="preserve">Or. </w:t>
      </w:r>
      <w:r w:rsidRPr="00CC7D24">
        <w:rPr>
          <w:rStyle w:val="HideTWBExt"/>
        </w:rPr>
        <w:t>&lt;Original&gt;</w:t>
      </w:r>
      <w:r w:rsidRPr="00CC7D24">
        <w:rPr>
          <w:rStyle w:val="HideTWBInt"/>
        </w:rPr>
        <w:t>{EN}</w:t>
      </w:r>
      <w:r w:rsidRPr="00CC7D24">
        <w:rPr>
          <w:color w:val="auto"/>
        </w:rPr>
        <w:t>en</w:t>
      </w:r>
      <w:r w:rsidRPr="00CC7D24">
        <w:rPr>
          <w:rStyle w:val="HideTWBExt"/>
        </w:rPr>
        <w:t>&lt;/Original&gt;</w:t>
      </w:r>
    </w:p>
    <w:p w:rsidR="00625AD5" w:rsidRPr="00CC7D24" w:rsidRDefault="009173A2">
      <w:pPr>
        <w:pStyle w:val="Olang"/>
        <w:rPr>
          <w:color w:val="auto"/>
        </w:rPr>
        <w:sectPr w:rsidR="00625AD5" w:rsidRPr="00CC7D24">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CC7D24">
        <w:rPr>
          <w:rStyle w:val="HideTWBExt"/>
        </w:rPr>
        <w:t>&lt;/Amend&gt;</w:t>
      </w:r>
    </w:p>
    <w:p w:rsidR="00625AD5" w:rsidRPr="00CC7D24" w:rsidRDefault="009173A2">
      <w:pPr>
        <w:pStyle w:val="Interstitial1"/>
      </w:pPr>
      <w:r w:rsidRPr="00CC7D24">
        <w:rPr>
          <w:rStyle w:val="HideTWBExt"/>
        </w:rPr>
        <w:lastRenderedPageBreak/>
        <w:t>&lt;Amend&gt;&lt;Date&gt;</w:t>
      </w:r>
      <w:r w:rsidRPr="00CC7D24">
        <w:rPr>
          <w:rStyle w:val="HideTWBInt"/>
          <w:color w:val="auto"/>
        </w:rPr>
        <w:t>{22/03/2019}</w:t>
      </w:r>
      <w:r w:rsidRPr="00CC7D24">
        <w:rPr>
          <w:color w:val="auto"/>
        </w:rPr>
        <w:t>22.3.2019</w:t>
      </w:r>
      <w:r w:rsidRPr="00CC7D24">
        <w:rPr>
          <w:rStyle w:val="HideTWBExt"/>
        </w:rPr>
        <w:t>&lt;/Date&gt;</w:t>
      </w:r>
      <w:r w:rsidRPr="00CC7D24">
        <w:rPr>
          <w:color w:val="auto"/>
        </w:rPr>
        <w:tab/>
      </w:r>
      <w:r w:rsidRPr="00CC7D24">
        <w:rPr>
          <w:rStyle w:val="HideTWBExt"/>
        </w:rPr>
        <w:t>&lt;ANo&gt;</w:t>
      </w:r>
      <w:r w:rsidRPr="00CC7D24">
        <w:rPr>
          <w:color w:val="auto"/>
        </w:rPr>
        <w:t>A8-0110</w:t>
      </w:r>
      <w:r w:rsidRPr="00CC7D24">
        <w:rPr>
          <w:rStyle w:val="HideTWBExt"/>
        </w:rPr>
        <w:t>&lt;/ANo&gt;</w:t>
      </w:r>
      <w:r w:rsidRPr="00CC7D24">
        <w:rPr>
          <w:color w:val="auto"/>
        </w:rPr>
        <w:t>/</w:t>
      </w:r>
      <w:r w:rsidRPr="00CC7D24">
        <w:rPr>
          <w:rStyle w:val="HideTWBExt"/>
        </w:rPr>
        <w:t>&lt;NumAm&gt;</w:t>
      </w:r>
      <w:r w:rsidRPr="00CC7D24">
        <w:rPr>
          <w:color w:val="auto"/>
        </w:rPr>
        <w:t>15</w:t>
      </w:r>
      <w:r w:rsidRPr="00CC7D24">
        <w:rPr>
          <w:rStyle w:val="HideTWBExt"/>
        </w:rPr>
        <w:t>&lt;/NumAm&gt;</w:t>
      </w:r>
    </w:p>
    <w:p w:rsidR="00625AD5" w:rsidRPr="00CC7D24" w:rsidRDefault="009173A2">
      <w:pPr>
        <w:pStyle w:val="AMNumberTabs"/>
      </w:pPr>
      <w:r w:rsidRPr="00CC7D24">
        <w:rPr>
          <w:color w:val="auto"/>
        </w:rPr>
        <w:t>Ændringsforslag</w:t>
      </w:r>
      <w:r w:rsidRPr="00CC7D24">
        <w:rPr>
          <w:color w:val="auto"/>
        </w:rPr>
        <w:tab/>
      </w:r>
      <w:r w:rsidRPr="00CC7D24">
        <w:rPr>
          <w:color w:val="auto"/>
        </w:rPr>
        <w:tab/>
      </w:r>
      <w:r w:rsidRPr="00CC7D24">
        <w:rPr>
          <w:rStyle w:val="HideTWBExt"/>
        </w:rPr>
        <w:t>&lt;NumAm&gt;</w:t>
      </w:r>
      <w:r w:rsidRPr="00CC7D24">
        <w:rPr>
          <w:color w:val="auto"/>
        </w:rPr>
        <w:t>15</w:t>
      </w:r>
      <w:r w:rsidRPr="00CC7D24">
        <w:rPr>
          <w:rStyle w:val="HideTWBExt"/>
        </w:rPr>
        <w:t>&lt;/NumAm&gt;</w:t>
      </w:r>
    </w:p>
    <w:p w:rsidR="00625AD5" w:rsidRPr="00CC7D24" w:rsidRDefault="009173A2">
      <w:pPr>
        <w:pStyle w:val="NormalBold"/>
      </w:pPr>
      <w:r w:rsidRPr="00CC7D24">
        <w:rPr>
          <w:rStyle w:val="HideTWBExt"/>
        </w:rPr>
        <w:t>&lt;RepeatBlock-By&gt;&lt;Members&gt;</w:t>
      </w:r>
      <w:r w:rsidRPr="00CC7D24">
        <w:rPr>
          <w:color w:val="auto"/>
        </w:rPr>
        <w:t>Inés Ayala Sender</w:t>
      </w:r>
      <w:r w:rsidRPr="00CC7D24">
        <w:rPr>
          <w:rStyle w:val="HideTWBExt"/>
        </w:rPr>
        <w:t>&lt;/Members&gt;</w:t>
      </w:r>
    </w:p>
    <w:p w:rsidR="00625AD5" w:rsidRPr="00CC7D24" w:rsidRDefault="009173A2">
      <w:r w:rsidRPr="00CC7D24">
        <w:rPr>
          <w:rStyle w:val="HideTWBExt"/>
        </w:rPr>
        <w:t>&lt;AuNomDe&gt;</w:t>
      </w:r>
      <w:r w:rsidRPr="00CC7D24">
        <w:rPr>
          <w:rStyle w:val="HideTWBInt"/>
          <w:color w:val="auto"/>
        </w:rPr>
        <w:t>{S&amp;D}</w:t>
      </w:r>
      <w:r w:rsidRPr="00CC7D24">
        <w:t>for S&amp;D-Gruppen</w:t>
      </w:r>
      <w:r w:rsidRPr="00CC7D24">
        <w:rPr>
          <w:rStyle w:val="HideTWBExt"/>
        </w:rPr>
        <w:t>&lt;/AuNomDe&gt;</w:t>
      </w:r>
    </w:p>
    <w:p w:rsidR="00625AD5" w:rsidRPr="00CC7D24" w:rsidRDefault="009173A2">
      <w:r w:rsidRPr="00CC7D24">
        <w:rPr>
          <w:rStyle w:val="HideTWBExt"/>
        </w:rPr>
        <w:t>&lt;/RepeatBlock-By&gt;</w:t>
      </w:r>
    </w:p>
    <w:p w:rsidR="00625AD5" w:rsidRPr="00CC7D24" w:rsidRDefault="009173A2">
      <w:pPr>
        <w:pStyle w:val="ProjRap"/>
      </w:pPr>
      <w:r w:rsidRPr="00CC7D24">
        <w:rPr>
          <w:rStyle w:val="HideTWBExt"/>
        </w:rPr>
        <w:t>&lt;TitreType&gt;</w:t>
      </w:r>
      <w:r w:rsidRPr="00CC7D24">
        <w:t>Betænkning</w:t>
      </w:r>
      <w:r w:rsidRPr="00CC7D24">
        <w:rPr>
          <w:rStyle w:val="HideTWBExt"/>
        </w:rPr>
        <w:t>&lt;/TitreType&gt;</w:t>
      </w:r>
      <w:r w:rsidRPr="00CC7D24">
        <w:tab/>
        <w:t>A8-0110/2019</w:t>
      </w:r>
    </w:p>
    <w:p w:rsidR="00625AD5" w:rsidRPr="00CC7D24" w:rsidRDefault="009173A2">
      <w:pPr>
        <w:pStyle w:val="NormalBold"/>
      </w:pPr>
      <w:r w:rsidRPr="00CC7D24">
        <w:rPr>
          <w:rStyle w:val="HideTWBExt"/>
        </w:rPr>
        <w:t>&lt;Rapporteur&gt;</w:t>
      </w:r>
      <w:r w:rsidRPr="00CC7D24">
        <w:rPr>
          <w:color w:val="auto"/>
        </w:rPr>
        <w:t>Inés Ayala Sender</w:t>
      </w:r>
      <w:r w:rsidRPr="00CC7D24">
        <w:rPr>
          <w:rStyle w:val="HideTWBExt"/>
        </w:rPr>
        <w:t>&lt;/Rapporteur&gt;</w:t>
      </w:r>
    </w:p>
    <w:p w:rsidR="00625AD5" w:rsidRPr="00CC7D24" w:rsidRDefault="009173A2">
      <w:pPr>
        <w:pStyle w:val="Normal12"/>
      </w:pPr>
      <w:r w:rsidRPr="00CC7D24">
        <w:rPr>
          <w:rStyle w:val="HideTWBExt"/>
        </w:rPr>
        <w:t>&lt;Titre&gt;</w:t>
      </w:r>
      <w:r w:rsidRPr="00CC7D24">
        <w:t>Decharge 2017: EU's almindelige budget – Kommissionen og forvaltningsorganerne</w:t>
      </w:r>
      <w:r w:rsidRPr="00CC7D24">
        <w:rPr>
          <w:rStyle w:val="HideTWBExt"/>
        </w:rPr>
        <w:t>&lt;/Titre&gt;</w:t>
      </w:r>
    </w:p>
    <w:p w:rsidR="00625AD5" w:rsidRPr="00CC7D24" w:rsidRDefault="009173A2">
      <w:pPr>
        <w:pStyle w:val="Normal12"/>
      </w:pPr>
      <w:r w:rsidRPr="00CC7D24">
        <w:rPr>
          <w:rStyle w:val="HideTWBExt"/>
        </w:rPr>
        <w:t>&lt;DocRef&gt;</w:t>
      </w:r>
      <w:r w:rsidRPr="00CC7D24">
        <w:rPr>
          <w:color w:val="auto"/>
        </w:rPr>
        <w:t>2018/2166(DEC)</w:t>
      </w:r>
      <w:r w:rsidRPr="00CC7D24">
        <w:rPr>
          <w:rStyle w:val="HideTWBExt"/>
        </w:rPr>
        <w:t>&lt;/DocRef&gt;</w:t>
      </w:r>
    </w:p>
    <w:p w:rsidR="00625AD5" w:rsidRPr="00CC7D24" w:rsidRDefault="00625AD5">
      <w:pPr>
        <w:pStyle w:val="Normal12"/>
      </w:pPr>
    </w:p>
    <w:p w:rsidR="00625AD5" w:rsidRPr="00CC7D24" w:rsidRDefault="009173A2">
      <w:pPr>
        <w:pStyle w:val="NormalBold"/>
      </w:pPr>
      <w:r w:rsidRPr="00CC7D24">
        <w:rPr>
          <w:rStyle w:val="HideTWBExt"/>
        </w:rPr>
        <w:t>&lt;DocAmend&gt;</w:t>
      </w:r>
      <w:r w:rsidRPr="00CC7D24">
        <w:rPr>
          <w:color w:val="auto"/>
        </w:rPr>
        <w:t>Forslag til beslutning</w:t>
      </w:r>
      <w:r w:rsidRPr="00CC7D24">
        <w:rPr>
          <w:rStyle w:val="HideTWBExt"/>
        </w:rPr>
        <w:t>&lt;/DocAmend&gt;</w:t>
      </w:r>
    </w:p>
    <w:p w:rsidR="00625AD5" w:rsidRPr="00CC7D24" w:rsidRDefault="009173A2">
      <w:pPr>
        <w:pStyle w:val="NormalBold"/>
      </w:pPr>
      <w:r w:rsidRPr="00CC7D24">
        <w:rPr>
          <w:rStyle w:val="HideTWBExt"/>
        </w:rPr>
        <w:t>&lt;Article&gt;</w:t>
      </w:r>
      <w:r w:rsidRPr="00CC7D24">
        <w:rPr>
          <w:color w:val="auto"/>
        </w:rPr>
        <w:t>Punkt 34a (nyt)</w:t>
      </w:r>
      <w:r w:rsidRPr="00CC7D2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5AD5" w:rsidRPr="00CC7D24">
        <w:trPr>
          <w:trHeight w:hRule="exact" w:val="240"/>
          <w:jc w:val="center"/>
        </w:trPr>
        <w:tc>
          <w:tcPr>
            <w:tcW w:w="9752" w:type="dxa"/>
            <w:gridSpan w:val="2"/>
          </w:tcPr>
          <w:p w:rsidR="00625AD5" w:rsidRPr="00CC7D24" w:rsidRDefault="00625AD5"/>
        </w:tc>
      </w:tr>
      <w:tr w:rsidR="00625AD5" w:rsidRPr="00CC7D24">
        <w:trPr>
          <w:trHeight w:val="240"/>
          <w:jc w:val="center"/>
        </w:trPr>
        <w:tc>
          <w:tcPr>
            <w:tcW w:w="4876" w:type="dxa"/>
          </w:tcPr>
          <w:p w:rsidR="00625AD5" w:rsidRPr="00CC7D24" w:rsidRDefault="009173A2">
            <w:pPr>
              <w:pStyle w:val="ColumnHeading"/>
              <w:rPr>
                <w:color w:val="auto"/>
              </w:rPr>
            </w:pPr>
            <w:r w:rsidRPr="00CC7D24">
              <w:rPr>
                <w:color w:val="auto"/>
              </w:rPr>
              <w:t>Forslag til beslutning</w:t>
            </w:r>
          </w:p>
        </w:tc>
        <w:tc>
          <w:tcPr>
            <w:tcW w:w="4876" w:type="dxa"/>
          </w:tcPr>
          <w:p w:rsidR="00625AD5" w:rsidRPr="00CC7D24" w:rsidRDefault="009173A2">
            <w:pPr>
              <w:pStyle w:val="ColumnHeading"/>
              <w:rPr>
                <w:color w:val="auto"/>
              </w:rPr>
            </w:pPr>
            <w:r w:rsidRPr="00CC7D24">
              <w:rPr>
                <w:color w:val="auto"/>
              </w:rPr>
              <w:t>Ændringsforslag</w:t>
            </w:r>
          </w:p>
        </w:tc>
      </w:tr>
      <w:tr w:rsidR="00625AD5" w:rsidRPr="00CC7D24">
        <w:trPr>
          <w:jc w:val="center"/>
        </w:trPr>
        <w:tc>
          <w:tcPr>
            <w:tcW w:w="4876" w:type="dxa"/>
          </w:tcPr>
          <w:p w:rsidR="00625AD5" w:rsidRPr="00CC7D24" w:rsidRDefault="00625AD5">
            <w:pPr>
              <w:pStyle w:val="Normal6"/>
              <w:rPr>
                <w:color w:val="auto"/>
              </w:rPr>
            </w:pPr>
          </w:p>
        </w:tc>
        <w:tc>
          <w:tcPr>
            <w:tcW w:w="4876" w:type="dxa"/>
          </w:tcPr>
          <w:p w:rsidR="00625AD5" w:rsidRPr="00CC7D24" w:rsidRDefault="009173A2">
            <w:pPr>
              <w:pStyle w:val="Normal6"/>
              <w:rPr>
                <w:color w:val="auto"/>
              </w:rPr>
            </w:pPr>
            <w:r w:rsidRPr="00CC7D24">
              <w:rPr>
                <w:b/>
                <w:i/>
                <w:color w:val="auto"/>
              </w:rPr>
              <w:t>34 a.</w:t>
            </w:r>
            <w:r w:rsidRPr="00CC7D24">
              <w:rPr>
                <w:color w:val="auto"/>
              </w:rPr>
              <w:tab/>
            </w:r>
            <w:r w:rsidRPr="00CC7D24">
              <w:rPr>
                <w:b/>
                <w:i/>
                <w:color w:val="auto"/>
              </w:rPr>
              <w:t>støtter fuldt ud Revisionsrettens holdning om, at dens mandat ikke indebærer rapportering om de enkelte medlemsstater, men fremlæggelse af en revisionserklæring om lovligheden og den formelle rigtighed af gennemførelsen af Unionens budget som helhed;</w:t>
            </w:r>
          </w:p>
        </w:tc>
      </w:tr>
    </w:tbl>
    <w:p w:rsidR="00625AD5" w:rsidRPr="00CC7D24" w:rsidRDefault="009173A2" w:rsidP="00825805">
      <w:pPr>
        <w:pStyle w:val="Olang"/>
      </w:pPr>
      <w:r w:rsidRPr="00CC7D24">
        <w:rPr>
          <w:color w:val="auto"/>
        </w:rPr>
        <w:t xml:space="preserve">Or. </w:t>
      </w:r>
      <w:r w:rsidRPr="00CC7D24">
        <w:rPr>
          <w:rStyle w:val="HideTWBExt"/>
        </w:rPr>
        <w:t>&lt;Original&gt;</w:t>
      </w:r>
      <w:r w:rsidRPr="00CC7D24">
        <w:rPr>
          <w:rStyle w:val="HideTWBInt"/>
        </w:rPr>
        <w:t>{EN}</w:t>
      </w:r>
      <w:r w:rsidRPr="00CC7D24">
        <w:rPr>
          <w:color w:val="auto"/>
        </w:rPr>
        <w:t>en</w:t>
      </w:r>
      <w:r w:rsidRPr="00CC7D24">
        <w:rPr>
          <w:rStyle w:val="HideTWBExt"/>
        </w:rPr>
        <w:t>&lt;/Original&gt;</w:t>
      </w:r>
    </w:p>
    <w:p w:rsidR="00625AD5" w:rsidRPr="00CC7D24" w:rsidRDefault="009173A2">
      <w:pPr>
        <w:pStyle w:val="Olang"/>
        <w:rPr>
          <w:color w:val="auto"/>
        </w:rPr>
        <w:sectPr w:rsidR="00625AD5" w:rsidRPr="00CC7D24">
          <w:footerReference w:type="default" r:id="rId12"/>
          <w:pgSz w:w="11906" w:h="16838"/>
          <w:pgMar w:top="1134" w:right="1417" w:bottom="1417" w:left="1417" w:header="1134" w:footer="567" w:gutter="0"/>
          <w:cols w:space="708"/>
          <w:docGrid w:linePitch="360"/>
        </w:sectPr>
      </w:pPr>
      <w:r w:rsidRPr="00CC7D24">
        <w:rPr>
          <w:rStyle w:val="HideTWBExt"/>
        </w:rPr>
        <w:t>&lt;/Amend&gt;</w:t>
      </w:r>
    </w:p>
    <w:p w:rsidR="00625AD5" w:rsidRPr="00CC7D24" w:rsidRDefault="009173A2">
      <w:pPr>
        <w:pStyle w:val="Interstitial1"/>
      </w:pPr>
      <w:r w:rsidRPr="00CC7D24">
        <w:rPr>
          <w:rStyle w:val="HideTWBExt"/>
        </w:rPr>
        <w:lastRenderedPageBreak/>
        <w:t>&lt;Amend&gt;&lt;Date&gt;</w:t>
      </w:r>
      <w:r w:rsidRPr="00CC7D24">
        <w:rPr>
          <w:rStyle w:val="HideTWBInt"/>
          <w:color w:val="auto"/>
        </w:rPr>
        <w:t>{22/03/2019}</w:t>
      </w:r>
      <w:r w:rsidRPr="00CC7D24">
        <w:rPr>
          <w:color w:val="auto"/>
        </w:rPr>
        <w:t>22.3.2019</w:t>
      </w:r>
      <w:r w:rsidRPr="00CC7D24">
        <w:rPr>
          <w:rStyle w:val="HideTWBExt"/>
        </w:rPr>
        <w:t>&lt;/Date&gt;</w:t>
      </w:r>
      <w:r w:rsidRPr="00CC7D24">
        <w:rPr>
          <w:color w:val="auto"/>
        </w:rPr>
        <w:tab/>
      </w:r>
      <w:r w:rsidRPr="00CC7D24">
        <w:rPr>
          <w:rStyle w:val="HideTWBExt"/>
        </w:rPr>
        <w:t>&lt;ANo&gt;</w:t>
      </w:r>
      <w:r w:rsidRPr="00CC7D24">
        <w:rPr>
          <w:color w:val="auto"/>
        </w:rPr>
        <w:t>A8-0110</w:t>
      </w:r>
      <w:r w:rsidRPr="00CC7D24">
        <w:rPr>
          <w:rStyle w:val="HideTWBExt"/>
        </w:rPr>
        <w:t>&lt;/ANo&gt;</w:t>
      </w:r>
      <w:r w:rsidRPr="00CC7D24">
        <w:rPr>
          <w:color w:val="auto"/>
        </w:rPr>
        <w:t>/</w:t>
      </w:r>
      <w:r w:rsidRPr="00CC7D24">
        <w:rPr>
          <w:rStyle w:val="HideTWBExt"/>
        </w:rPr>
        <w:t>&lt;NumAm&gt;</w:t>
      </w:r>
      <w:r w:rsidRPr="00CC7D24">
        <w:rPr>
          <w:color w:val="auto"/>
        </w:rPr>
        <w:t>16</w:t>
      </w:r>
      <w:r w:rsidRPr="00CC7D24">
        <w:rPr>
          <w:rStyle w:val="HideTWBExt"/>
        </w:rPr>
        <w:t>&lt;/NumAm&gt;</w:t>
      </w:r>
    </w:p>
    <w:p w:rsidR="00625AD5" w:rsidRPr="00CC7D24" w:rsidRDefault="009173A2">
      <w:pPr>
        <w:pStyle w:val="AMNumberTabs"/>
      </w:pPr>
      <w:r w:rsidRPr="00CC7D24">
        <w:rPr>
          <w:color w:val="auto"/>
        </w:rPr>
        <w:t>Ændringsforslag</w:t>
      </w:r>
      <w:r w:rsidRPr="00CC7D24">
        <w:rPr>
          <w:color w:val="auto"/>
        </w:rPr>
        <w:tab/>
      </w:r>
      <w:r w:rsidRPr="00CC7D24">
        <w:rPr>
          <w:color w:val="auto"/>
        </w:rPr>
        <w:tab/>
      </w:r>
      <w:r w:rsidRPr="00CC7D24">
        <w:rPr>
          <w:rStyle w:val="HideTWBExt"/>
        </w:rPr>
        <w:t>&lt;NumAm&gt;</w:t>
      </w:r>
      <w:r w:rsidRPr="00CC7D24">
        <w:rPr>
          <w:color w:val="auto"/>
        </w:rPr>
        <w:t>16</w:t>
      </w:r>
      <w:r w:rsidRPr="00CC7D24">
        <w:rPr>
          <w:rStyle w:val="HideTWBExt"/>
        </w:rPr>
        <w:t>&lt;/NumAm&gt;</w:t>
      </w:r>
    </w:p>
    <w:p w:rsidR="00625AD5" w:rsidRPr="00CC7D24" w:rsidRDefault="009173A2">
      <w:pPr>
        <w:pStyle w:val="NormalBold"/>
      </w:pPr>
      <w:r w:rsidRPr="00CC7D24">
        <w:rPr>
          <w:rStyle w:val="HideTWBExt"/>
        </w:rPr>
        <w:t>&lt;RepeatBlock-By&gt;&lt;Members&gt;</w:t>
      </w:r>
      <w:r w:rsidRPr="00CC7D24">
        <w:rPr>
          <w:color w:val="auto"/>
        </w:rPr>
        <w:t>Inés Ayala Sender</w:t>
      </w:r>
      <w:r w:rsidRPr="00CC7D24">
        <w:rPr>
          <w:rStyle w:val="HideTWBExt"/>
        </w:rPr>
        <w:t>&lt;/Members&gt;</w:t>
      </w:r>
    </w:p>
    <w:p w:rsidR="00625AD5" w:rsidRPr="00CC7D24" w:rsidRDefault="009173A2">
      <w:r w:rsidRPr="00CC7D24">
        <w:rPr>
          <w:rStyle w:val="HideTWBExt"/>
        </w:rPr>
        <w:t>&lt;AuNomDe&gt;</w:t>
      </w:r>
      <w:r w:rsidRPr="00CC7D24">
        <w:rPr>
          <w:rStyle w:val="HideTWBInt"/>
          <w:color w:val="auto"/>
        </w:rPr>
        <w:t>{S&amp;D}</w:t>
      </w:r>
      <w:r w:rsidRPr="00CC7D24">
        <w:t>for S&amp;D-Gruppen</w:t>
      </w:r>
      <w:r w:rsidRPr="00CC7D24">
        <w:rPr>
          <w:rStyle w:val="HideTWBExt"/>
        </w:rPr>
        <w:t>&lt;/AuNomDe&gt;</w:t>
      </w:r>
    </w:p>
    <w:p w:rsidR="00625AD5" w:rsidRPr="00CC7D24" w:rsidRDefault="009173A2">
      <w:r w:rsidRPr="00CC7D24">
        <w:rPr>
          <w:rStyle w:val="HideTWBExt"/>
        </w:rPr>
        <w:t>&lt;/RepeatBlock-By&gt;</w:t>
      </w:r>
    </w:p>
    <w:p w:rsidR="00625AD5" w:rsidRPr="00CC7D24" w:rsidRDefault="009173A2">
      <w:pPr>
        <w:pStyle w:val="ProjRap"/>
      </w:pPr>
      <w:r w:rsidRPr="00CC7D24">
        <w:rPr>
          <w:rStyle w:val="HideTWBExt"/>
        </w:rPr>
        <w:t>&lt;TitreType&gt;</w:t>
      </w:r>
      <w:r w:rsidRPr="00CC7D24">
        <w:t>Betænkning</w:t>
      </w:r>
      <w:r w:rsidRPr="00CC7D24">
        <w:rPr>
          <w:rStyle w:val="HideTWBExt"/>
        </w:rPr>
        <w:t>&lt;/TitreType&gt;</w:t>
      </w:r>
      <w:r w:rsidRPr="00CC7D24">
        <w:tab/>
        <w:t>A8-0110/2019</w:t>
      </w:r>
    </w:p>
    <w:p w:rsidR="00625AD5" w:rsidRPr="00CC7D24" w:rsidRDefault="009173A2">
      <w:pPr>
        <w:pStyle w:val="NormalBold"/>
      </w:pPr>
      <w:r w:rsidRPr="00CC7D24">
        <w:rPr>
          <w:rStyle w:val="HideTWBExt"/>
        </w:rPr>
        <w:t>&lt;Rapporteur&gt;</w:t>
      </w:r>
      <w:r w:rsidRPr="00CC7D24">
        <w:rPr>
          <w:color w:val="auto"/>
        </w:rPr>
        <w:t>Inés Ayala Sender</w:t>
      </w:r>
      <w:r w:rsidRPr="00CC7D24">
        <w:rPr>
          <w:rStyle w:val="HideTWBExt"/>
        </w:rPr>
        <w:t>&lt;/Rapporteur&gt;</w:t>
      </w:r>
    </w:p>
    <w:p w:rsidR="00625AD5" w:rsidRPr="00CC7D24" w:rsidRDefault="009173A2">
      <w:pPr>
        <w:pStyle w:val="Normal12"/>
      </w:pPr>
      <w:r w:rsidRPr="00CC7D24">
        <w:rPr>
          <w:rStyle w:val="HideTWBExt"/>
        </w:rPr>
        <w:t>&lt;Titre&gt;</w:t>
      </w:r>
      <w:r w:rsidRPr="00CC7D24">
        <w:t>Decharge 2017: EU's almindelige budget – Kommissionen og forvaltningsorganerne</w:t>
      </w:r>
      <w:r w:rsidRPr="00CC7D24">
        <w:rPr>
          <w:rStyle w:val="HideTWBExt"/>
        </w:rPr>
        <w:t>&lt;/Titre&gt;</w:t>
      </w:r>
    </w:p>
    <w:p w:rsidR="00625AD5" w:rsidRPr="00CC7D24" w:rsidRDefault="009173A2">
      <w:pPr>
        <w:pStyle w:val="Normal12"/>
      </w:pPr>
      <w:r w:rsidRPr="00CC7D24">
        <w:rPr>
          <w:rStyle w:val="HideTWBExt"/>
        </w:rPr>
        <w:t>&lt;DocRef&gt;</w:t>
      </w:r>
      <w:r w:rsidRPr="00CC7D24">
        <w:rPr>
          <w:color w:val="auto"/>
        </w:rPr>
        <w:t>2018/2166(DEC)</w:t>
      </w:r>
      <w:r w:rsidRPr="00CC7D24">
        <w:rPr>
          <w:rStyle w:val="HideTWBExt"/>
        </w:rPr>
        <w:t>&lt;/DocRef&gt;</w:t>
      </w:r>
    </w:p>
    <w:p w:rsidR="00625AD5" w:rsidRPr="00CC7D24" w:rsidRDefault="00625AD5">
      <w:pPr>
        <w:pStyle w:val="Normal12"/>
      </w:pPr>
    </w:p>
    <w:p w:rsidR="00625AD5" w:rsidRPr="00CC7D24" w:rsidRDefault="009173A2">
      <w:pPr>
        <w:pStyle w:val="NormalBold"/>
      </w:pPr>
      <w:r w:rsidRPr="00CC7D24">
        <w:rPr>
          <w:rStyle w:val="HideTWBExt"/>
        </w:rPr>
        <w:t>&lt;DocAmend&gt;</w:t>
      </w:r>
      <w:r w:rsidRPr="00CC7D24">
        <w:rPr>
          <w:color w:val="auto"/>
        </w:rPr>
        <w:t>Forslag til beslutning</w:t>
      </w:r>
      <w:r w:rsidRPr="00CC7D24">
        <w:rPr>
          <w:rStyle w:val="HideTWBExt"/>
        </w:rPr>
        <w:t>&lt;/DocAmend&gt;</w:t>
      </w:r>
    </w:p>
    <w:p w:rsidR="00625AD5" w:rsidRPr="00CC7D24" w:rsidRDefault="009173A2">
      <w:pPr>
        <w:pStyle w:val="NormalBold"/>
      </w:pPr>
      <w:r w:rsidRPr="00CC7D24">
        <w:rPr>
          <w:rStyle w:val="HideTWBExt"/>
        </w:rPr>
        <w:t>&lt;Article&gt;</w:t>
      </w:r>
      <w:r w:rsidRPr="00CC7D24">
        <w:rPr>
          <w:color w:val="auto"/>
        </w:rPr>
        <w:t>Punkt 201</w:t>
      </w:r>
      <w:r w:rsidRPr="00CC7D2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5AD5" w:rsidRPr="00CC7D24">
        <w:trPr>
          <w:trHeight w:hRule="exact" w:val="240"/>
          <w:jc w:val="center"/>
        </w:trPr>
        <w:tc>
          <w:tcPr>
            <w:tcW w:w="9752" w:type="dxa"/>
            <w:gridSpan w:val="2"/>
          </w:tcPr>
          <w:p w:rsidR="00625AD5" w:rsidRPr="00CC7D24" w:rsidRDefault="00625AD5"/>
        </w:tc>
      </w:tr>
      <w:tr w:rsidR="00625AD5" w:rsidRPr="00CC7D24">
        <w:trPr>
          <w:trHeight w:val="240"/>
          <w:jc w:val="center"/>
        </w:trPr>
        <w:tc>
          <w:tcPr>
            <w:tcW w:w="4876" w:type="dxa"/>
          </w:tcPr>
          <w:p w:rsidR="00625AD5" w:rsidRPr="00CC7D24" w:rsidRDefault="009173A2">
            <w:pPr>
              <w:pStyle w:val="ColumnHeading"/>
              <w:rPr>
                <w:color w:val="auto"/>
              </w:rPr>
            </w:pPr>
            <w:r w:rsidRPr="00CC7D24">
              <w:rPr>
                <w:color w:val="auto"/>
              </w:rPr>
              <w:t>Forslag til beslutning</w:t>
            </w:r>
          </w:p>
        </w:tc>
        <w:tc>
          <w:tcPr>
            <w:tcW w:w="4876" w:type="dxa"/>
          </w:tcPr>
          <w:p w:rsidR="00625AD5" w:rsidRPr="00CC7D24" w:rsidRDefault="009173A2">
            <w:pPr>
              <w:pStyle w:val="ColumnHeading"/>
              <w:rPr>
                <w:color w:val="auto"/>
              </w:rPr>
            </w:pPr>
            <w:r w:rsidRPr="00CC7D24">
              <w:rPr>
                <w:color w:val="auto"/>
              </w:rPr>
              <w:t>Ændringsforslag</w:t>
            </w:r>
          </w:p>
        </w:tc>
      </w:tr>
      <w:tr w:rsidR="00625AD5" w:rsidRPr="00CC7D24">
        <w:trPr>
          <w:jc w:val="center"/>
        </w:trPr>
        <w:tc>
          <w:tcPr>
            <w:tcW w:w="4876" w:type="dxa"/>
          </w:tcPr>
          <w:p w:rsidR="00625AD5" w:rsidRPr="00CC7D24" w:rsidRDefault="009173A2">
            <w:pPr>
              <w:pStyle w:val="Normal6"/>
              <w:rPr>
                <w:color w:val="auto"/>
              </w:rPr>
            </w:pPr>
            <w:r w:rsidRPr="00CC7D24">
              <w:rPr>
                <w:color w:val="auto"/>
              </w:rPr>
              <w:t>201.</w:t>
            </w:r>
            <w:r w:rsidRPr="00CC7D24">
              <w:rPr>
                <w:color w:val="auto"/>
              </w:rPr>
              <w:tab/>
            </w:r>
            <w:r w:rsidRPr="00CC7D24">
              <w:rPr>
                <w:b/>
                <w:i/>
                <w:color w:val="auto"/>
              </w:rPr>
              <w:t>bemærker det tætte samarbejde</w:t>
            </w:r>
            <w:r w:rsidRPr="00CC7D24">
              <w:rPr>
                <w:color w:val="auto"/>
              </w:rPr>
              <w:t xml:space="preserve"> med Kommissionen om at udarbejde artikel 318-evalueringsrapporten i en omfattende, sammenfattende rapport, som registrerer fremskridtene på de forskellige politikområder, </w:t>
            </w:r>
            <w:r w:rsidRPr="00CC7D24">
              <w:rPr>
                <w:b/>
                <w:i/>
                <w:color w:val="auto"/>
              </w:rPr>
              <w:t>hvilket</w:t>
            </w:r>
            <w:r w:rsidRPr="00CC7D24">
              <w:rPr>
                <w:color w:val="auto"/>
              </w:rPr>
              <w:t xml:space="preserve"> senere blev første del af den årlige forvaltnings- og effektivitetsrapport</w:t>
            </w:r>
            <w:r w:rsidRPr="00CC7D24">
              <w:rPr>
                <w:b/>
                <w:i/>
                <w:color w:val="auto"/>
              </w:rPr>
              <w:t>;</w:t>
            </w:r>
          </w:p>
        </w:tc>
        <w:tc>
          <w:tcPr>
            <w:tcW w:w="4876" w:type="dxa"/>
          </w:tcPr>
          <w:p w:rsidR="00625AD5" w:rsidRPr="00CC7D24" w:rsidRDefault="009173A2">
            <w:pPr>
              <w:pStyle w:val="Normal6"/>
              <w:rPr>
                <w:color w:val="auto"/>
              </w:rPr>
            </w:pPr>
            <w:r w:rsidRPr="00CC7D24">
              <w:rPr>
                <w:color w:val="auto"/>
              </w:rPr>
              <w:t>201.</w:t>
            </w:r>
            <w:r w:rsidRPr="00CC7D24">
              <w:rPr>
                <w:color w:val="auto"/>
              </w:rPr>
              <w:tab/>
            </w:r>
            <w:r w:rsidRPr="00CC7D24">
              <w:rPr>
                <w:b/>
                <w:i/>
                <w:color w:val="auto"/>
              </w:rPr>
              <w:t>har arbejdet tæt sammen</w:t>
            </w:r>
            <w:r w:rsidRPr="00CC7D24">
              <w:rPr>
                <w:color w:val="auto"/>
              </w:rPr>
              <w:t xml:space="preserve"> med Kommissionen om at udarbejde artikel 318-evalueringsrapporten i en omfattende, sammenfattende rapport, som registrerer fremskridtene på de forskellige politikområder, </w:t>
            </w:r>
            <w:r w:rsidRPr="00CC7D24">
              <w:rPr>
                <w:b/>
                <w:i/>
                <w:color w:val="auto"/>
              </w:rPr>
              <w:t>og som</w:t>
            </w:r>
            <w:r w:rsidRPr="00CC7D24">
              <w:rPr>
                <w:color w:val="auto"/>
              </w:rPr>
              <w:t xml:space="preserve"> senere blev første del af den årlige forvaltnings- og effektivitetsrapport</w:t>
            </w:r>
          </w:p>
        </w:tc>
      </w:tr>
    </w:tbl>
    <w:p w:rsidR="00625AD5" w:rsidRPr="00CC7D24" w:rsidRDefault="009173A2" w:rsidP="00825805">
      <w:pPr>
        <w:pStyle w:val="Olang"/>
      </w:pPr>
      <w:r w:rsidRPr="00CC7D24">
        <w:rPr>
          <w:color w:val="auto"/>
        </w:rPr>
        <w:t xml:space="preserve">Or. </w:t>
      </w:r>
      <w:r w:rsidRPr="00CC7D24">
        <w:rPr>
          <w:rStyle w:val="HideTWBExt"/>
        </w:rPr>
        <w:t>&lt;Original&gt;</w:t>
      </w:r>
      <w:r w:rsidRPr="00CC7D24">
        <w:rPr>
          <w:rStyle w:val="HideTWBInt"/>
        </w:rPr>
        <w:t>{EN}</w:t>
      </w:r>
      <w:r w:rsidRPr="00CC7D24">
        <w:rPr>
          <w:color w:val="auto"/>
        </w:rPr>
        <w:t>en</w:t>
      </w:r>
      <w:r w:rsidRPr="00CC7D24">
        <w:rPr>
          <w:rStyle w:val="HideTWBExt"/>
        </w:rPr>
        <w:t>&lt;/Original&gt;</w:t>
      </w:r>
    </w:p>
    <w:p w:rsidR="00625AD5" w:rsidRPr="00CC7D24" w:rsidRDefault="009173A2">
      <w:pPr>
        <w:pStyle w:val="Olang"/>
        <w:rPr>
          <w:color w:val="auto"/>
        </w:rPr>
        <w:sectPr w:rsidR="00625AD5" w:rsidRPr="00CC7D24">
          <w:footerReference w:type="default" r:id="rId13"/>
          <w:pgSz w:w="11906" w:h="16838"/>
          <w:pgMar w:top="1134" w:right="1417" w:bottom="1417" w:left="1417" w:header="1134" w:footer="567" w:gutter="0"/>
          <w:cols w:space="708"/>
          <w:docGrid w:linePitch="360"/>
        </w:sectPr>
      </w:pPr>
      <w:r w:rsidRPr="00CC7D24">
        <w:rPr>
          <w:rStyle w:val="HideTWBExt"/>
        </w:rPr>
        <w:t>&lt;/Amend&gt;</w:t>
      </w:r>
    </w:p>
    <w:p w:rsidR="00625AD5" w:rsidRPr="00CC7D24" w:rsidRDefault="009173A2">
      <w:pPr>
        <w:pStyle w:val="Interstitial1"/>
      </w:pPr>
      <w:r w:rsidRPr="00CC7D24">
        <w:rPr>
          <w:rStyle w:val="HideTWBExt"/>
        </w:rPr>
        <w:lastRenderedPageBreak/>
        <w:t>&lt;Amend&gt;&lt;Date&gt;</w:t>
      </w:r>
      <w:r w:rsidRPr="00CC7D24">
        <w:rPr>
          <w:rStyle w:val="HideTWBInt"/>
          <w:color w:val="auto"/>
        </w:rPr>
        <w:t>{22/03/2019}</w:t>
      </w:r>
      <w:r w:rsidRPr="00CC7D24">
        <w:rPr>
          <w:color w:val="auto"/>
        </w:rPr>
        <w:t>22.3.2019</w:t>
      </w:r>
      <w:r w:rsidRPr="00CC7D24">
        <w:rPr>
          <w:rStyle w:val="HideTWBExt"/>
        </w:rPr>
        <w:t>&lt;/Date&gt;</w:t>
      </w:r>
      <w:r w:rsidRPr="00CC7D24">
        <w:rPr>
          <w:color w:val="auto"/>
        </w:rPr>
        <w:tab/>
      </w:r>
      <w:r w:rsidRPr="00CC7D24">
        <w:rPr>
          <w:rStyle w:val="HideTWBExt"/>
        </w:rPr>
        <w:t>&lt;ANo&gt;</w:t>
      </w:r>
      <w:r w:rsidRPr="00CC7D24">
        <w:rPr>
          <w:color w:val="auto"/>
        </w:rPr>
        <w:t>A8-0110</w:t>
      </w:r>
      <w:r w:rsidRPr="00CC7D24">
        <w:rPr>
          <w:rStyle w:val="HideTWBExt"/>
        </w:rPr>
        <w:t>&lt;/ANo&gt;</w:t>
      </w:r>
      <w:r w:rsidRPr="00CC7D24">
        <w:rPr>
          <w:color w:val="auto"/>
        </w:rPr>
        <w:t>/</w:t>
      </w:r>
      <w:r w:rsidRPr="00CC7D24">
        <w:rPr>
          <w:rStyle w:val="HideTWBExt"/>
        </w:rPr>
        <w:t>&lt;NumAm&gt;</w:t>
      </w:r>
      <w:r w:rsidRPr="00CC7D24">
        <w:rPr>
          <w:color w:val="auto"/>
        </w:rPr>
        <w:t>17</w:t>
      </w:r>
      <w:r w:rsidRPr="00CC7D24">
        <w:rPr>
          <w:rStyle w:val="HideTWBExt"/>
        </w:rPr>
        <w:t>&lt;/NumAm&gt;</w:t>
      </w:r>
    </w:p>
    <w:p w:rsidR="00625AD5" w:rsidRPr="00CC7D24" w:rsidRDefault="009173A2">
      <w:pPr>
        <w:pStyle w:val="AMNumberTabs"/>
      </w:pPr>
      <w:r w:rsidRPr="00CC7D24">
        <w:rPr>
          <w:color w:val="auto"/>
        </w:rPr>
        <w:t>Ændringsforslag</w:t>
      </w:r>
      <w:r w:rsidRPr="00CC7D24">
        <w:rPr>
          <w:color w:val="auto"/>
        </w:rPr>
        <w:tab/>
      </w:r>
      <w:r w:rsidRPr="00CC7D24">
        <w:rPr>
          <w:color w:val="auto"/>
        </w:rPr>
        <w:tab/>
      </w:r>
      <w:r w:rsidRPr="00CC7D24">
        <w:rPr>
          <w:rStyle w:val="HideTWBExt"/>
        </w:rPr>
        <w:t>&lt;NumAm&gt;</w:t>
      </w:r>
      <w:r w:rsidRPr="00CC7D24">
        <w:rPr>
          <w:color w:val="auto"/>
        </w:rPr>
        <w:t>17</w:t>
      </w:r>
      <w:r w:rsidRPr="00CC7D24">
        <w:rPr>
          <w:rStyle w:val="HideTWBExt"/>
        </w:rPr>
        <w:t>&lt;/NumAm&gt;</w:t>
      </w:r>
    </w:p>
    <w:p w:rsidR="00625AD5" w:rsidRPr="00CC7D24" w:rsidRDefault="009173A2">
      <w:pPr>
        <w:pStyle w:val="NormalBold"/>
      </w:pPr>
      <w:r w:rsidRPr="00CC7D24">
        <w:rPr>
          <w:rStyle w:val="HideTWBExt"/>
        </w:rPr>
        <w:t>&lt;RepeatBlock-By&gt;&lt;Members&gt;</w:t>
      </w:r>
      <w:r w:rsidRPr="00CC7D24">
        <w:rPr>
          <w:color w:val="auto"/>
        </w:rPr>
        <w:t>Inés Ayala Sender</w:t>
      </w:r>
      <w:r w:rsidRPr="00CC7D24">
        <w:rPr>
          <w:rStyle w:val="HideTWBExt"/>
        </w:rPr>
        <w:t>&lt;/Members&gt;</w:t>
      </w:r>
    </w:p>
    <w:p w:rsidR="00625AD5" w:rsidRPr="00CC7D24" w:rsidRDefault="009173A2">
      <w:r w:rsidRPr="00CC7D24">
        <w:rPr>
          <w:rStyle w:val="HideTWBExt"/>
        </w:rPr>
        <w:t>&lt;AuNomDe&gt;</w:t>
      </w:r>
      <w:r w:rsidRPr="00CC7D24">
        <w:rPr>
          <w:rStyle w:val="HideTWBInt"/>
          <w:color w:val="auto"/>
        </w:rPr>
        <w:t>{S&amp;D}</w:t>
      </w:r>
      <w:r w:rsidRPr="00CC7D24">
        <w:t>for S&amp;D-Gruppen</w:t>
      </w:r>
      <w:r w:rsidRPr="00CC7D24">
        <w:rPr>
          <w:rStyle w:val="HideTWBExt"/>
        </w:rPr>
        <w:t>&lt;/AuNomDe&gt;</w:t>
      </w:r>
    </w:p>
    <w:p w:rsidR="00625AD5" w:rsidRPr="00CC7D24" w:rsidRDefault="009173A2">
      <w:r w:rsidRPr="00CC7D24">
        <w:rPr>
          <w:rStyle w:val="HideTWBExt"/>
        </w:rPr>
        <w:t>&lt;/RepeatBlock-By&gt;</w:t>
      </w:r>
    </w:p>
    <w:p w:rsidR="00625AD5" w:rsidRPr="00CC7D24" w:rsidRDefault="009173A2">
      <w:pPr>
        <w:pStyle w:val="ProjRap"/>
      </w:pPr>
      <w:r w:rsidRPr="00CC7D24">
        <w:rPr>
          <w:rStyle w:val="HideTWBExt"/>
        </w:rPr>
        <w:t>&lt;TitreType&gt;</w:t>
      </w:r>
      <w:r w:rsidRPr="00CC7D24">
        <w:t>Betænkning</w:t>
      </w:r>
      <w:r w:rsidRPr="00CC7D24">
        <w:rPr>
          <w:rStyle w:val="HideTWBExt"/>
        </w:rPr>
        <w:t>&lt;/TitreType&gt;</w:t>
      </w:r>
      <w:r w:rsidRPr="00CC7D24">
        <w:tab/>
        <w:t>A8-0110/2019</w:t>
      </w:r>
    </w:p>
    <w:p w:rsidR="00625AD5" w:rsidRPr="00CC7D24" w:rsidRDefault="009173A2">
      <w:pPr>
        <w:pStyle w:val="NormalBold"/>
      </w:pPr>
      <w:r w:rsidRPr="00CC7D24">
        <w:rPr>
          <w:rStyle w:val="HideTWBExt"/>
        </w:rPr>
        <w:t>&lt;Rapporteur&gt;</w:t>
      </w:r>
      <w:r w:rsidRPr="00CC7D24">
        <w:rPr>
          <w:color w:val="auto"/>
        </w:rPr>
        <w:t>Inés Ayala Sender</w:t>
      </w:r>
      <w:r w:rsidRPr="00CC7D24">
        <w:rPr>
          <w:rStyle w:val="HideTWBExt"/>
        </w:rPr>
        <w:t>&lt;/Rapporteur&gt;</w:t>
      </w:r>
    </w:p>
    <w:p w:rsidR="00625AD5" w:rsidRPr="00CC7D24" w:rsidRDefault="009173A2">
      <w:pPr>
        <w:pStyle w:val="Normal12"/>
      </w:pPr>
      <w:r w:rsidRPr="00CC7D24">
        <w:rPr>
          <w:rStyle w:val="HideTWBExt"/>
        </w:rPr>
        <w:t>&lt;Titre&gt;</w:t>
      </w:r>
      <w:r w:rsidRPr="00CC7D24">
        <w:t>Decharge 2017: EU's almindelige budget – Kommissionen og forvaltningsorganerne</w:t>
      </w:r>
      <w:r w:rsidRPr="00CC7D24">
        <w:rPr>
          <w:rStyle w:val="HideTWBExt"/>
        </w:rPr>
        <w:t>&lt;/Titre&gt;</w:t>
      </w:r>
    </w:p>
    <w:p w:rsidR="00625AD5" w:rsidRPr="00CC7D24" w:rsidRDefault="009173A2">
      <w:pPr>
        <w:pStyle w:val="Normal12"/>
      </w:pPr>
      <w:r w:rsidRPr="00CC7D24">
        <w:rPr>
          <w:rStyle w:val="HideTWBExt"/>
        </w:rPr>
        <w:t>&lt;DocRef&gt;</w:t>
      </w:r>
      <w:r w:rsidRPr="00CC7D24">
        <w:rPr>
          <w:color w:val="auto"/>
        </w:rPr>
        <w:t>2018/2166(DEC)</w:t>
      </w:r>
      <w:r w:rsidRPr="00CC7D24">
        <w:rPr>
          <w:rStyle w:val="HideTWBExt"/>
        </w:rPr>
        <w:t>&lt;/DocRef&gt;</w:t>
      </w:r>
    </w:p>
    <w:p w:rsidR="00625AD5" w:rsidRPr="00CC7D24" w:rsidRDefault="00625AD5">
      <w:pPr>
        <w:pStyle w:val="Normal12"/>
      </w:pPr>
    </w:p>
    <w:p w:rsidR="00625AD5" w:rsidRPr="00CC7D24" w:rsidRDefault="009173A2">
      <w:pPr>
        <w:pStyle w:val="NormalBold"/>
      </w:pPr>
      <w:r w:rsidRPr="00CC7D24">
        <w:rPr>
          <w:rStyle w:val="HideTWBExt"/>
        </w:rPr>
        <w:t>&lt;DocAmend&gt;</w:t>
      </w:r>
      <w:r w:rsidRPr="00CC7D24">
        <w:rPr>
          <w:color w:val="auto"/>
        </w:rPr>
        <w:t>Forslag til beslutning</w:t>
      </w:r>
      <w:r w:rsidRPr="00CC7D24">
        <w:rPr>
          <w:rStyle w:val="HideTWBExt"/>
        </w:rPr>
        <w:t>&lt;/DocAmend&gt;</w:t>
      </w:r>
    </w:p>
    <w:p w:rsidR="00625AD5" w:rsidRPr="00CC7D24" w:rsidRDefault="009173A2">
      <w:pPr>
        <w:pStyle w:val="NormalBold"/>
      </w:pPr>
      <w:r w:rsidRPr="00CC7D24">
        <w:rPr>
          <w:rStyle w:val="HideTWBExt"/>
        </w:rPr>
        <w:t>&lt;Article&gt;</w:t>
      </w:r>
      <w:r w:rsidRPr="00CC7D24">
        <w:rPr>
          <w:color w:val="auto"/>
        </w:rPr>
        <w:t>Punkt 228</w:t>
      </w:r>
      <w:r w:rsidRPr="00CC7D2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5AD5" w:rsidRPr="00CC7D24">
        <w:trPr>
          <w:trHeight w:hRule="exact" w:val="240"/>
          <w:jc w:val="center"/>
        </w:trPr>
        <w:tc>
          <w:tcPr>
            <w:tcW w:w="9752" w:type="dxa"/>
            <w:gridSpan w:val="2"/>
          </w:tcPr>
          <w:p w:rsidR="00625AD5" w:rsidRPr="00CC7D24" w:rsidRDefault="00625AD5"/>
        </w:tc>
      </w:tr>
      <w:tr w:rsidR="00625AD5" w:rsidRPr="00CC7D24">
        <w:trPr>
          <w:trHeight w:val="240"/>
          <w:jc w:val="center"/>
        </w:trPr>
        <w:tc>
          <w:tcPr>
            <w:tcW w:w="4876" w:type="dxa"/>
          </w:tcPr>
          <w:p w:rsidR="00625AD5" w:rsidRPr="00CC7D24" w:rsidRDefault="009173A2">
            <w:pPr>
              <w:pStyle w:val="ColumnHeading"/>
              <w:rPr>
                <w:color w:val="auto"/>
              </w:rPr>
            </w:pPr>
            <w:r w:rsidRPr="00CC7D24">
              <w:rPr>
                <w:color w:val="auto"/>
              </w:rPr>
              <w:t>Forslag til beslutning</w:t>
            </w:r>
          </w:p>
        </w:tc>
        <w:tc>
          <w:tcPr>
            <w:tcW w:w="4876" w:type="dxa"/>
          </w:tcPr>
          <w:p w:rsidR="00625AD5" w:rsidRPr="00CC7D24" w:rsidRDefault="009173A2">
            <w:pPr>
              <w:pStyle w:val="ColumnHeading"/>
              <w:rPr>
                <w:color w:val="auto"/>
              </w:rPr>
            </w:pPr>
            <w:r w:rsidRPr="00CC7D24">
              <w:rPr>
                <w:color w:val="auto"/>
              </w:rPr>
              <w:t>Ændringsforslag</w:t>
            </w:r>
          </w:p>
        </w:tc>
      </w:tr>
      <w:tr w:rsidR="00625AD5" w:rsidRPr="00CC7D24">
        <w:trPr>
          <w:jc w:val="center"/>
        </w:trPr>
        <w:tc>
          <w:tcPr>
            <w:tcW w:w="4876" w:type="dxa"/>
          </w:tcPr>
          <w:p w:rsidR="00625AD5" w:rsidRPr="00CC7D24" w:rsidRDefault="009173A2">
            <w:pPr>
              <w:pStyle w:val="Normal6"/>
              <w:rPr>
                <w:color w:val="auto"/>
              </w:rPr>
            </w:pPr>
            <w:r w:rsidRPr="00CC7D24">
              <w:rPr>
                <w:color w:val="auto"/>
              </w:rPr>
              <w:t>228.</w:t>
            </w:r>
            <w:r w:rsidRPr="00CC7D24">
              <w:rPr>
                <w:color w:val="auto"/>
              </w:rPr>
              <w:tab/>
            </w:r>
            <w:r w:rsidRPr="00CC7D24">
              <w:rPr>
                <w:b/>
                <w:i/>
                <w:color w:val="auto"/>
              </w:rPr>
              <w:t>opfordrer indtrængende</w:t>
            </w:r>
            <w:r w:rsidRPr="00CC7D24">
              <w:rPr>
                <w:color w:val="auto"/>
              </w:rPr>
              <w:t xml:space="preserve"> Kommissionen </w:t>
            </w:r>
            <w:r w:rsidRPr="00CC7D24">
              <w:rPr>
                <w:b/>
                <w:i/>
                <w:color w:val="auto"/>
              </w:rPr>
              <w:t>til</w:t>
            </w:r>
            <w:r w:rsidRPr="00CC7D24">
              <w:rPr>
                <w:color w:val="auto"/>
              </w:rPr>
              <w:t xml:space="preserve"> at give et overblik over </w:t>
            </w:r>
            <w:r w:rsidRPr="00CC7D24">
              <w:rPr>
                <w:b/>
                <w:i/>
                <w:color w:val="auto"/>
              </w:rPr>
              <w:t>momsoverkompensation</w:t>
            </w:r>
            <w:r w:rsidRPr="00CC7D24">
              <w:rPr>
                <w:color w:val="auto"/>
              </w:rPr>
              <w:t xml:space="preserve"> i EU-finansierede projekter vedrørende samhørighed og udvikling af landdistrikter</w:t>
            </w:r>
            <w:r w:rsidRPr="00CC7D24">
              <w:rPr>
                <w:b/>
                <w:i/>
                <w:color w:val="auto"/>
              </w:rPr>
              <w:t>, som skader</w:t>
            </w:r>
            <w:r w:rsidRPr="00CC7D24">
              <w:rPr>
                <w:color w:val="auto"/>
              </w:rPr>
              <w:t xml:space="preserve"> EU's </w:t>
            </w:r>
            <w:r w:rsidRPr="00CC7D24">
              <w:rPr>
                <w:b/>
                <w:i/>
                <w:color w:val="auto"/>
              </w:rPr>
              <w:t>og</w:t>
            </w:r>
            <w:r w:rsidRPr="00CC7D24">
              <w:rPr>
                <w:color w:val="auto"/>
              </w:rPr>
              <w:t xml:space="preserve"> de </w:t>
            </w:r>
            <w:r w:rsidRPr="00CC7D24">
              <w:rPr>
                <w:b/>
                <w:i/>
                <w:color w:val="auto"/>
              </w:rPr>
              <w:t>europæiske skatteyderes finansielle interesser</w:t>
            </w:r>
            <w:r w:rsidRPr="00CC7D24">
              <w:rPr>
                <w:color w:val="auto"/>
              </w:rPr>
              <w:t>;</w:t>
            </w:r>
          </w:p>
        </w:tc>
        <w:tc>
          <w:tcPr>
            <w:tcW w:w="4876" w:type="dxa"/>
          </w:tcPr>
          <w:p w:rsidR="00625AD5" w:rsidRPr="00CC7D24" w:rsidRDefault="009173A2">
            <w:pPr>
              <w:pStyle w:val="Normal6"/>
              <w:rPr>
                <w:color w:val="auto"/>
              </w:rPr>
            </w:pPr>
            <w:r w:rsidRPr="00CC7D24">
              <w:rPr>
                <w:color w:val="auto"/>
              </w:rPr>
              <w:t>228.</w:t>
            </w:r>
            <w:r w:rsidRPr="00CC7D24">
              <w:rPr>
                <w:color w:val="auto"/>
              </w:rPr>
              <w:tab/>
            </w:r>
            <w:r w:rsidRPr="00CC7D24">
              <w:rPr>
                <w:b/>
                <w:i/>
                <w:color w:val="auto"/>
              </w:rPr>
              <w:t>anmoder</w:t>
            </w:r>
            <w:r w:rsidRPr="00CC7D24">
              <w:rPr>
                <w:color w:val="auto"/>
              </w:rPr>
              <w:t xml:space="preserve"> Kommissionen </w:t>
            </w:r>
            <w:r w:rsidRPr="00CC7D24">
              <w:rPr>
                <w:b/>
                <w:i/>
                <w:color w:val="auto"/>
              </w:rPr>
              <w:t>om</w:t>
            </w:r>
            <w:r w:rsidRPr="00CC7D24">
              <w:rPr>
                <w:color w:val="auto"/>
              </w:rPr>
              <w:t xml:space="preserve"> at give </w:t>
            </w:r>
            <w:r w:rsidRPr="00CC7D24">
              <w:rPr>
                <w:b/>
                <w:i/>
                <w:color w:val="auto"/>
              </w:rPr>
              <w:t xml:space="preserve">Parlamentet </w:t>
            </w:r>
            <w:r w:rsidRPr="00CC7D24">
              <w:rPr>
                <w:color w:val="auto"/>
              </w:rPr>
              <w:t xml:space="preserve">et overblik over </w:t>
            </w:r>
            <w:r w:rsidRPr="00CC7D24">
              <w:rPr>
                <w:b/>
                <w:i/>
                <w:color w:val="auto"/>
              </w:rPr>
              <w:t>sagerne –</w:t>
            </w:r>
            <w:r w:rsidRPr="00CC7D24">
              <w:rPr>
                <w:color w:val="auto"/>
              </w:rPr>
              <w:t xml:space="preserve"> i EU-finansierede projekter vedrørende samhørighed og udvikling af landdistrikter</w:t>
            </w:r>
            <w:r w:rsidRPr="00CC7D24">
              <w:rPr>
                <w:b/>
                <w:i/>
                <w:color w:val="auto"/>
              </w:rPr>
              <w:t xml:space="preserve"> – hvor</w:t>
            </w:r>
            <w:r w:rsidRPr="00CC7D24">
              <w:rPr>
                <w:color w:val="auto"/>
              </w:rPr>
              <w:t xml:space="preserve"> EU's </w:t>
            </w:r>
            <w:r w:rsidRPr="00CC7D24">
              <w:rPr>
                <w:b/>
                <w:i/>
                <w:color w:val="auto"/>
              </w:rPr>
              <w:t>godtgørelse overstiger</w:t>
            </w:r>
            <w:r w:rsidRPr="00CC7D24">
              <w:rPr>
                <w:color w:val="auto"/>
              </w:rPr>
              <w:t xml:space="preserve"> de </w:t>
            </w:r>
            <w:r w:rsidRPr="00CC7D24">
              <w:rPr>
                <w:b/>
                <w:i/>
                <w:color w:val="auto"/>
              </w:rPr>
              <w:t>faktiske omkostninger, der er afholdt i forbindelse med et givet projekt uden moms</w:t>
            </w:r>
            <w:r w:rsidRPr="00CC7D24">
              <w:rPr>
                <w:color w:val="auto"/>
              </w:rPr>
              <w:t>;</w:t>
            </w:r>
          </w:p>
        </w:tc>
      </w:tr>
    </w:tbl>
    <w:p w:rsidR="00625AD5" w:rsidRPr="00CC7D24" w:rsidRDefault="009173A2" w:rsidP="00825805">
      <w:pPr>
        <w:pStyle w:val="Olang"/>
      </w:pPr>
      <w:r w:rsidRPr="00CC7D24">
        <w:rPr>
          <w:color w:val="auto"/>
        </w:rPr>
        <w:t xml:space="preserve">Or. </w:t>
      </w:r>
      <w:r w:rsidRPr="00CC7D24">
        <w:rPr>
          <w:rStyle w:val="HideTWBExt"/>
        </w:rPr>
        <w:t>&lt;Original&gt;</w:t>
      </w:r>
      <w:r w:rsidRPr="00CC7D24">
        <w:rPr>
          <w:rStyle w:val="HideTWBInt"/>
        </w:rPr>
        <w:t>{EN}</w:t>
      </w:r>
      <w:r w:rsidRPr="00CC7D24">
        <w:rPr>
          <w:color w:val="auto"/>
        </w:rPr>
        <w:t>en</w:t>
      </w:r>
      <w:r w:rsidRPr="00CC7D24">
        <w:rPr>
          <w:rStyle w:val="HideTWBExt"/>
        </w:rPr>
        <w:t>&lt;/Original&gt;</w:t>
      </w:r>
    </w:p>
    <w:p w:rsidR="00625AD5" w:rsidRPr="00CC7D24" w:rsidRDefault="009173A2">
      <w:pPr>
        <w:pStyle w:val="Olang"/>
        <w:rPr>
          <w:color w:val="auto"/>
        </w:rPr>
        <w:sectPr w:rsidR="00625AD5" w:rsidRPr="00CC7D24">
          <w:footerReference w:type="default" r:id="rId14"/>
          <w:pgSz w:w="11906" w:h="16838"/>
          <w:pgMar w:top="1134" w:right="1417" w:bottom="1417" w:left="1417" w:header="1134" w:footer="567" w:gutter="0"/>
          <w:cols w:space="708"/>
          <w:docGrid w:linePitch="360"/>
        </w:sectPr>
      </w:pPr>
      <w:r w:rsidRPr="00CC7D24">
        <w:rPr>
          <w:rStyle w:val="HideTWBExt"/>
        </w:rPr>
        <w:t>&lt;/Amend&gt;</w:t>
      </w:r>
    </w:p>
    <w:p w:rsidR="00625AD5" w:rsidRPr="00CC7D24" w:rsidRDefault="009173A2">
      <w:pPr>
        <w:pStyle w:val="Interstitial1"/>
      </w:pPr>
      <w:r w:rsidRPr="00CC7D24">
        <w:rPr>
          <w:rStyle w:val="HideTWBExt"/>
        </w:rPr>
        <w:lastRenderedPageBreak/>
        <w:t>&lt;Amend&gt;&lt;Date&gt;</w:t>
      </w:r>
      <w:r w:rsidRPr="00CC7D24">
        <w:rPr>
          <w:rStyle w:val="HideTWBInt"/>
          <w:color w:val="auto"/>
        </w:rPr>
        <w:t>{22/03/2019}</w:t>
      </w:r>
      <w:r w:rsidRPr="00CC7D24">
        <w:rPr>
          <w:color w:val="auto"/>
        </w:rPr>
        <w:t>22.3.2019</w:t>
      </w:r>
      <w:r w:rsidRPr="00CC7D24">
        <w:rPr>
          <w:rStyle w:val="HideTWBExt"/>
        </w:rPr>
        <w:t>&lt;/Date&gt;</w:t>
      </w:r>
      <w:r w:rsidRPr="00CC7D24">
        <w:rPr>
          <w:color w:val="auto"/>
        </w:rPr>
        <w:tab/>
      </w:r>
      <w:r w:rsidRPr="00CC7D24">
        <w:rPr>
          <w:rStyle w:val="HideTWBExt"/>
        </w:rPr>
        <w:t>&lt;ANo&gt;</w:t>
      </w:r>
      <w:r w:rsidRPr="00CC7D24">
        <w:rPr>
          <w:color w:val="auto"/>
        </w:rPr>
        <w:t>A8-0110</w:t>
      </w:r>
      <w:r w:rsidRPr="00CC7D24">
        <w:rPr>
          <w:rStyle w:val="HideTWBExt"/>
        </w:rPr>
        <w:t>&lt;/ANo&gt;</w:t>
      </w:r>
      <w:r w:rsidRPr="00CC7D24">
        <w:rPr>
          <w:color w:val="auto"/>
        </w:rPr>
        <w:t>/</w:t>
      </w:r>
      <w:r w:rsidRPr="00CC7D24">
        <w:rPr>
          <w:rStyle w:val="HideTWBExt"/>
        </w:rPr>
        <w:t>&lt;NumAm&gt;</w:t>
      </w:r>
      <w:r w:rsidRPr="00CC7D24">
        <w:rPr>
          <w:color w:val="auto"/>
        </w:rPr>
        <w:t>18</w:t>
      </w:r>
      <w:r w:rsidRPr="00CC7D24">
        <w:rPr>
          <w:rStyle w:val="HideTWBExt"/>
        </w:rPr>
        <w:t>&lt;/NumAm&gt;</w:t>
      </w:r>
    </w:p>
    <w:p w:rsidR="00625AD5" w:rsidRPr="00CC7D24" w:rsidRDefault="009173A2">
      <w:pPr>
        <w:pStyle w:val="AMNumberTabs"/>
      </w:pPr>
      <w:r w:rsidRPr="00CC7D24">
        <w:rPr>
          <w:color w:val="auto"/>
        </w:rPr>
        <w:t>Ændringsforslag</w:t>
      </w:r>
      <w:r w:rsidRPr="00CC7D24">
        <w:rPr>
          <w:color w:val="auto"/>
        </w:rPr>
        <w:tab/>
      </w:r>
      <w:r w:rsidRPr="00CC7D24">
        <w:rPr>
          <w:color w:val="auto"/>
        </w:rPr>
        <w:tab/>
      </w:r>
      <w:r w:rsidRPr="00CC7D24">
        <w:rPr>
          <w:rStyle w:val="HideTWBExt"/>
        </w:rPr>
        <w:t>&lt;NumAm&gt;</w:t>
      </w:r>
      <w:r w:rsidRPr="00CC7D24">
        <w:rPr>
          <w:color w:val="auto"/>
        </w:rPr>
        <w:t>18</w:t>
      </w:r>
      <w:r w:rsidRPr="00CC7D24">
        <w:rPr>
          <w:rStyle w:val="HideTWBExt"/>
        </w:rPr>
        <w:t>&lt;/NumAm&gt;</w:t>
      </w:r>
    </w:p>
    <w:p w:rsidR="00625AD5" w:rsidRPr="00CC7D24" w:rsidRDefault="009173A2">
      <w:pPr>
        <w:pStyle w:val="NormalBold"/>
      </w:pPr>
      <w:r w:rsidRPr="00CC7D24">
        <w:rPr>
          <w:rStyle w:val="HideTWBExt"/>
        </w:rPr>
        <w:t>&lt;RepeatBlock-By&gt;&lt;Members&gt;</w:t>
      </w:r>
      <w:r w:rsidRPr="00CC7D24">
        <w:rPr>
          <w:color w:val="auto"/>
        </w:rPr>
        <w:t>Inés Ayala Sender</w:t>
      </w:r>
      <w:r w:rsidRPr="00CC7D24">
        <w:rPr>
          <w:rStyle w:val="HideTWBExt"/>
        </w:rPr>
        <w:t>&lt;/Members&gt;</w:t>
      </w:r>
    </w:p>
    <w:p w:rsidR="00625AD5" w:rsidRPr="00CC7D24" w:rsidRDefault="009173A2">
      <w:r w:rsidRPr="00CC7D24">
        <w:rPr>
          <w:rStyle w:val="HideTWBExt"/>
        </w:rPr>
        <w:t>&lt;AuNomDe&gt;</w:t>
      </w:r>
      <w:r w:rsidRPr="00CC7D24">
        <w:rPr>
          <w:rStyle w:val="HideTWBInt"/>
          <w:color w:val="auto"/>
        </w:rPr>
        <w:t>{S&amp;D}</w:t>
      </w:r>
      <w:r w:rsidRPr="00CC7D24">
        <w:t>for S&amp;D-Gruppen</w:t>
      </w:r>
      <w:r w:rsidRPr="00CC7D24">
        <w:rPr>
          <w:rStyle w:val="HideTWBExt"/>
        </w:rPr>
        <w:t>&lt;/AuNomDe&gt;</w:t>
      </w:r>
    </w:p>
    <w:p w:rsidR="00625AD5" w:rsidRPr="00CC7D24" w:rsidRDefault="009173A2">
      <w:r w:rsidRPr="00CC7D24">
        <w:rPr>
          <w:rStyle w:val="HideTWBExt"/>
        </w:rPr>
        <w:t>&lt;/RepeatBlock-By&gt;</w:t>
      </w:r>
    </w:p>
    <w:p w:rsidR="00625AD5" w:rsidRPr="00CC7D24" w:rsidRDefault="009173A2">
      <w:pPr>
        <w:pStyle w:val="ProjRap"/>
      </w:pPr>
      <w:r w:rsidRPr="00CC7D24">
        <w:rPr>
          <w:rStyle w:val="HideTWBExt"/>
        </w:rPr>
        <w:t>&lt;TitreType&gt;</w:t>
      </w:r>
      <w:r w:rsidRPr="00CC7D24">
        <w:t>Betænkning</w:t>
      </w:r>
      <w:r w:rsidRPr="00CC7D24">
        <w:rPr>
          <w:rStyle w:val="HideTWBExt"/>
        </w:rPr>
        <w:t>&lt;/TitreType&gt;</w:t>
      </w:r>
      <w:r w:rsidRPr="00CC7D24">
        <w:tab/>
        <w:t>A8-0110/2019</w:t>
      </w:r>
    </w:p>
    <w:p w:rsidR="00625AD5" w:rsidRPr="00CC7D24" w:rsidRDefault="009173A2">
      <w:pPr>
        <w:pStyle w:val="NormalBold"/>
      </w:pPr>
      <w:r w:rsidRPr="00CC7D24">
        <w:rPr>
          <w:rStyle w:val="HideTWBExt"/>
        </w:rPr>
        <w:t>&lt;Rapporteur&gt;</w:t>
      </w:r>
      <w:r w:rsidRPr="00CC7D24">
        <w:rPr>
          <w:color w:val="auto"/>
        </w:rPr>
        <w:t>Inés Ayala Sender</w:t>
      </w:r>
      <w:r w:rsidRPr="00CC7D24">
        <w:rPr>
          <w:rStyle w:val="HideTWBExt"/>
        </w:rPr>
        <w:t>&lt;/Rapporteur&gt;</w:t>
      </w:r>
    </w:p>
    <w:p w:rsidR="00625AD5" w:rsidRPr="00CC7D24" w:rsidRDefault="009173A2">
      <w:pPr>
        <w:pStyle w:val="Normal12"/>
      </w:pPr>
      <w:r w:rsidRPr="00CC7D24">
        <w:rPr>
          <w:rStyle w:val="HideTWBExt"/>
        </w:rPr>
        <w:t>&lt;Titre&gt;</w:t>
      </w:r>
      <w:r w:rsidRPr="00CC7D24">
        <w:t>Decharge 2017: EU's almindelige budget – Kommissionen og forvaltningsorganerne</w:t>
      </w:r>
      <w:r w:rsidRPr="00CC7D24">
        <w:rPr>
          <w:rStyle w:val="HideTWBExt"/>
        </w:rPr>
        <w:t>&lt;/Titre&gt;</w:t>
      </w:r>
    </w:p>
    <w:p w:rsidR="00625AD5" w:rsidRPr="00CC7D24" w:rsidRDefault="009173A2">
      <w:pPr>
        <w:pStyle w:val="Normal12"/>
      </w:pPr>
      <w:r w:rsidRPr="00CC7D24">
        <w:rPr>
          <w:rStyle w:val="HideTWBExt"/>
        </w:rPr>
        <w:t>&lt;DocRef&gt;</w:t>
      </w:r>
      <w:r w:rsidRPr="00CC7D24">
        <w:rPr>
          <w:color w:val="auto"/>
        </w:rPr>
        <w:t>2018/2166(DEC)</w:t>
      </w:r>
      <w:bookmarkStart w:id="0" w:name="_GoBack"/>
      <w:bookmarkEnd w:id="0"/>
      <w:r w:rsidRPr="00CC7D24">
        <w:rPr>
          <w:rStyle w:val="HideTWBExt"/>
        </w:rPr>
        <w:t>&lt;/DocRef&gt;</w:t>
      </w:r>
    </w:p>
    <w:p w:rsidR="00625AD5" w:rsidRPr="00CC7D24" w:rsidRDefault="00625AD5">
      <w:pPr>
        <w:pStyle w:val="Normal12"/>
      </w:pPr>
    </w:p>
    <w:p w:rsidR="00625AD5" w:rsidRPr="00CC7D24" w:rsidRDefault="009173A2">
      <w:pPr>
        <w:pStyle w:val="NormalBold"/>
      </w:pPr>
      <w:r w:rsidRPr="00CC7D24">
        <w:rPr>
          <w:rStyle w:val="HideTWBExt"/>
        </w:rPr>
        <w:t>&lt;DocAmend&gt;</w:t>
      </w:r>
      <w:r w:rsidRPr="00CC7D24">
        <w:rPr>
          <w:color w:val="auto"/>
        </w:rPr>
        <w:t>Forslag til beslutning</w:t>
      </w:r>
      <w:r w:rsidRPr="00CC7D24">
        <w:rPr>
          <w:rStyle w:val="HideTWBExt"/>
        </w:rPr>
        <w:t>&lt;/DocAmend&gt;</w:t>
      </w:r>
    </w:p>
    <w:p w:rsidR="00625AD5" w:rsidRPr="00CC7D24" w:rsidRDefault="009173A2">
      <w:pPr>
        <w:pStyle w:val="NormalBold"/>
      </w:pPr>
      <w:r w:rsidRPr="00CC7D24">
        <w:rPr>
          <w:rStyle w:val="HideTWBExt"/>
        </w:rPr>
        <w:t>&lt;Article&gt;</w:t>
      </w:r>
      <w:r w:rsidRPr="00CC7D24">
        <w:rPr>
          <w:color w:val="auto"/>
        </w:rPr>
        <w:t>Punkt 230</w:t>
      </w:r>
      <w:r w:rsidRPr="00CC7D2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5AD5" w:rsidRPr="00CC7D24">
        <w:trPr>
          <w:trHeight w:hRule="exact" w:val="240"/>
          <w:jc w:val="center"/>
        </w:trPr>
        <w:tc>
          <w:tcPr>
            <w:tcW w:w="9752" w:type="dxa"/>
            <w:gridSpan w:val="2"/>
          </w:tcPr>
          <w:p w:rsidR="00625AD5" w:rsidRPr="00CC7D24" w:rsidRDefault="00625AD5"/>
        </w:tc>
      </w:tr>
      <w:tr w:rsidR="00625AD5" w:rsidRPr="00CC7D24">
        <w:trPr>
          <w:trHeight w:val="240"/>
          <w:jc w:val="center"/>
        </w:trPr>
        <w:tc>
          <w:tcPr>
            <w:tcW w:w="4876" w:type="dxa"/>
          </w:tcPr>
          <w:p w:rsidR="00625AD5" w:rsidRPr="00CC7D24" w:rsidRDefault="009173A2">
            <w:pPr>
              <w:pStyle w:val="ColumnHeading"/>
              <w:rPr>
                <w:color w:val="auto"/>
              </w:rPr>
            </w:pPr>
            <w:r w:rsidRPr="00CC7D24">
              <w:rPr>
                <w:color w:val="auto"/>
              </w:rPr>
              <w:t>Forslag til beslutning</w:t>
            </w:r>
          </w:p>
        </w:tc>
        <w:tc>
          <w:tcPr>
            <w:tcW w:w="4876" w:type="dxa"/>
          </w:tcPr>
          <w:p w:rsidR="00625AD5" w:rsidRPr="00CC7D24" w:rsidRDefault="009173A2">
            <w:pPr>
              <w:pStyle w:val="ColumnHeading"/>
              <w:rPr>
                <w:color w:val="auto"/>
              </w:rPr>
            </w:pPr>
            <w:r w:rsidRPr="00CC7D24">
              <w:rPr>
                <w:color w:val="auto"/>
              </w:rPr>
              <w:t>Ændringsforslag</w:t>
            </w:r>
          </w:p>
        </w:tc>
      </w:tr>
      <w:tr w:rsidR="00625AD5" w:rsidRPr="00CC7D24">
        <w:trPr>
          <w:jc w:val="center"/>
        </w:trPr>
        <w:tc>
          <w:tcPr>
            <w:tcW w:w="4876" w:type="dxa"/>
          </w:tcPr>
          <w:p w:rsidR="00625AD5" w:rsidRPr="00CC7D24" w:rsidRDefault="009173A2">
            <w:pPr>
              <w:pStyle w:val="Normal6"/>
              <w:rPr>
                <w:color w:val="auto"/>
              </w:rPr>
            </w:pPr>
            <w:r w:rsidRPr="00CC7D24">
              <w:rPr>
                <w:color w:val="auto"/>
              </w:rPr>
              <w:t>230.</w:t>
            </w:r>
            <w:r w:rsidRPr="00CC7D24">
              <w:rPr>
                <w:color w:val="auto"/>
              </w:rPr>
              <w:tab/>
              <w:t>minder om, at det endelige mål med en mere resultatorienteret revisionsanalyse bør være at indføre en global og konsekvent cost-benefit-model</w:t>
            </w:r>
            <w:r w:rsidRPr="00CC7D24">
              <w:rPr>
                <w:b/>
                <w:i/>
                <w:color w:val="auto"/>
              </w:rPr>
              <w:t xml:space="preserve"> til</w:t>
            </w:r>
            <w:r w:rsidRPr="00CC7D24">
              <w:rPr>
                <w:color w:val="auto"/>
              </w:rPr>
              <w:t xml:space="preserve"> vurdering af gennemførelsen af det europæiske budget;</w:t>
            </w:r>
          </w:p>
        </w:tc>
        <w:tc>
          <w:tcPr>
            <w:tcW w:w="4876" w:type="dxa"/>
          </w:tcPr>
          <w:p w:rsidR="00625AD5" w:rsidRPr="00CC7D24" w:rsidRDefault="009173A2">
            <w:pPr>
              <w:pStyle w:val="Normal6"/>
              <w:rPr>
                <w:color w:val="auto"/>
              </w:rPr>
            </w:pPr>
            <w:r w:rsidRPr="00CC7D24">
              <w:rPr>
                <w:color w:val="auto"/>
              </w:rPr>
              <w:t>230.</w:t>
            </w:r>
            <w:r w:rsidRPr="00CC7D24">
              <w:rPr>
                <w:color w:val="auto"/>
              </w:rPr>
              <w:tab/>
              <w:t>minder om, at det endelige mål med en mere resultatorienteret revisionsanalyse bør være at indføre en global og konsekvent cost-benefit-model</w:t>
            </w:r>
            <w:r w:rsidRPr="00CC7D24">
              <w:rPr>
                <w:b/>
                <w:i/>
                <w:color w:val="auto"/>
              </w:rPr>
              <w:t>, der ikke kun er baseret på en</w:t>
            </w:r>
            <w:r w:rsidRPr="00CC7D24">
              <w:rPr>
                <w:color w:val="auto"/>
              </w:rPr>
              <w:t xml:space="preserve"> vurdering af gennemførelsen af det europæiske budget</w:t>
            </w:r>
            <w:r w:rsidRPr="00CC7D24">
              <w:rPr>
                <w:b/>
                <w:i/>
                <w:color w:val="auto"/>
              </w:rPr>
              <w:t>, men også på at opnå merværdi og nå målene for EU's politiske strategi for 2021-2027, som bør erstatte Europa 2020-strategien</w:t>
            </w:r>
            <w:r w:rsidRPr="00CC7D24">
              <w:rPr>
                <w:color w:val="auto"/>
              </w:rPr>
              <w:t>;</w:t>
            </w:r>
          </w:p>
        </w:tc>
      </w:tr>
    </w:tbl>
    <w:p w:rsidR="00625AD5" w:rsidRPr="00CC7D24" w:rsidRDefault="009173A2" w:rsidP="00825805">
      <w:pPr>
        <w:pStyle w:val="Olang"/>
      </w:pPr>
      <w:r w:rsidRPr="00CC7D24">
        <w:rPr>
          <w:color w:val="auto"/>
        </w:rPr>
        <w:t xml:space="preserve">Or. </w:t>
      </w:r>
      <w:r w:rsidRPr="00CC7D24">
        <w:rPr>
          <w:rStyle w:val="HideTWBExt"/>
        </w:rPr>
        <w:t>&lt;Original&gt;</w:t>
      </w:r>
      <w:r w:rsidRPr="00CC7D24">
        <w:rPr>
          <w:rStyle w:val="HideTWBInt"/>
        </w:rPr>
        <w:t>{EN}</w:t>
      </w:r>
      <w:r w:rsidRPr="00CC7D24">
        <w:rPr>
          <w:color w:val="auto"/>
        </w:rPr>
        <w:t>en</w:t>
      </w:r>
      <w:r w:rsidRPr="00CC7D24">
        <w:rPr>
          <w:rStyle w:val="HideTWBExt"/>
        </w:rPr>
        <w:t>&lt;/Original&gt;</w:t>
      </w:r>
    </w:p>
    <w:p w:rsidR="00625AD5" w:rsidRPr="00CC7D24" w:rsidRDefault="009173A2">
      <w:pPr>
        <w:pStyle w:val="Olang"/>
        <w:rPr>
          <w:color w:val="auto"/>
        </w:rPr>
        <w:sectPr w:rsidR="00625AD5" w:rsidRPr="00CC7D24">
          <w:footerReference w:type="default" r:id="rId15"/>
          <w:pgSz w:w="11906" w:h="16838"/>
          <w:pgMar w:top="1134" w:right="1417" w:bottom="1417" w:left="1417" w:header="1134" w:footer="567" w:gutter="0"/>
          <w:cols w:space="708"/>
          <w:docGrid w:linePitch="360"/>
        </w:sectPr>
      </w:pPr>
      <w:r w:rsidRPr="00CC7D24">
        <w:rPr>
          <w:rStyle w:val="HideTWBExt"/>
        </w:rPr>
        <w:t>&lt;/Amend&gt;</w:t>
      </w:r>
    </w:p>
    <w:p w:rsidR="00625AD5" w:rsidRPr="00CC7D24" w:rsidRDefault="009173A2">
      <w:pPr>
        <w:pStyle w:val="Interstitial1"/>
      </w:pPr>
      <w:r w:rsidRPr="00CC7D24">
        <w:rPr>
          <w:rStyle w:val="HideTWBExt"/>
        </w:rPr>
        <w:lastRenderedPageBreak/>
        <w:t>&lt;Amend&gt;&lt;Date&gt;</w:t>
      </w:r>
      <w:r w:rsidRPr="00CC7D24">
        <w:rPr>
          <w:rStyle w:val="HideTWBInt"/>
          <w:color w:val="auto"/>
        </w:rPr>
        <w:t>{22/03/2019}</w:t>
      </w:r>
      <w:r w:rsidRPr="00CC7D24">
        <w:rPr>
          <w:color w:val="auto"/>
        </w:rPr>
        <w:t>22.3.2019</w:t>
      </w:r>
      <w:r w:rsidRPr="00CC7D24">
        <w:rPr>
          <w:rStyle w:val="HideTWBExt"/>
        </w:rPr>
        <w:t>&lt;/Date&gt;</w:t>
      </w:r>
      <w:r w:rsidRPr="00CC7D24">
        <w:rPr>
          <w:color w:val="auto"/>
        </w:rPr>
        <w:tab/>
      </w:r>
      <w:r w:rsidRPr="00CC7D24">
        <w:rPr>
          <w:rStyle w:val="HideTWBExt"/>
        </w:rPr>
        <w:t>&lt;ANo&gt;</w:t>
      </w:r>
      <w:r w:rsidRPr="00CC7D24">
        <w:rPr>
          <w:color w:val="auto"/>
        </w:rPr>
        <w:t>A8-0110</w:t>
      </w:r>
      <w:r w:rsidRPr="00CC7D24">
        <w:rPr>
          <w:rStyle w:val="HideTWBExt"/>
        </w:rPr>
        <w:t>&lt;/ANo&gt;</w:t>
      </w:r>
      <w:r w:rsidRPr="00CC7D24">
        <w:rPr>
          <w:color w:val="auto"/>
        </w:rPr>
        <w:t>/</w:t>
      </w:r>
      <w:r w:rsidRPr="00CC7D24">
        <w:rPr>
          <w:rStyle w:val="HideTWBExt"/>
        </w:rPr>
        <w:t>&lt;NumAm&gt;</w:t>
      </w:r>
      <w:r w:rsidRPr="00CC7D24">
        <w:rPr>
          <w:color w:val="auto"/>
        </w:rPr>
        <w:t>19</w:t>
      </w:r>
      <w:r w:rsidRPr="00CC7D24">
        <w:rPr>
          <w:rStyle w:val="HideTWBExt"/>
        </w:rPr>
        <w:t>&lt;/NumAm&gt;</w:t>
      </w:r>
    </w:p>
    <w:p w:rsidR="00625AD5" w:rsidRPr="00CC7D24" w:rsidRDefault="009173A2">
      <w:pPr>
        <w:pStyle w:val="AMNumberTabs"/>
      </w:pPr>
      <w:r w:rsidRPr="00CC7D24">
        <w:rPr>
          <w:color w:val="auto"/>
        </w:rPr>
        <w:t>Ændringsforslag</w:t>
      </w:r>
      <w:r w:rsidRPr="00CC7D24">
        <w:rPr>
          <w:color w:val="auto"/>
        </w:rPr>
        <w:tab/>
      </w:r>
      <w:r w:rsidRPr="00CC7D24">
        <w:rPr>
          <w:color w:val="auto"/>
        </w:rPr>
        <w:tab/>
      </w:r>
      <w:r w:rsidRPr="00CC7D24">
        <w:rPr>
          <w:rStyle w:val="HideTWBExt"/>
        </w:rPr>
        <w:t>&lt;NumAm&gt;</w:t>
      </w:r>
      <w:r w:rsidRPr="00CC7D24">
        <w:rPr>
          <w:color w:val="auto"/>
        </w:rPr>
        <w:t>19</w:t>
      </w:r>
      <w:r w:rsidRPr="00CC7D24">
        <w:rPr>
          <w:rStyle w:val="HideTWBExt"/>
        </w:rPr>
        <w:t>&lt;/NumAm&gt;</w:t>
      </w:r>
    </w:p>
    <w:p w:rsidR="00625AD5" w:rsidRPr="00CC7D24" w:rsidRDefault="009173A2">
      <w:pPr>
        <w:pStyle w:val="NormalBold"/>
      </w:pPr>
      <w:r w:rsidRPr="00CC7D24">
        <w:rPr>
          <w:rStyle w:val="HideTWBExt"/>
        </w:rPr>
        <w:t>&lt;RepeatBlock-By&gt;&lt;Members&gt;</w:t>
      </w:r>
      <w:r w:rsidRPr="00CC7D24">
        <w:rPr>
          <w:color w:val="auto"/>
        </w:rPr>
        <w:t>Inés Ayala Sender</w:t>
      </w:r>
      <w:r w:rsidRPr="00CC7D24">
        <w:rPr>
          <w:rStyle w:val="HideTWBExt"/>
        </w:rPr>
        <w:t>&lt;/Members&gt;</w:t>
      </w:r>
    </w:p>
    <w:p w:rsidR="00625AD5" w:rsidRPr="00CC7D24" w:rsidRDefault="009173A2">
      <w:r w:rsidRPr="00CC7D24">
        <w:rPr>
          <w:rStyle w:val="HideTWBExt"/>
        </w:rPr>
        <w:t>&lt;AuNomDe&gt;</w:t>
      </w:r>
      <w:r w:rsidRPr="00CC7D24">
        <w:rPr>
          <w:rStyle w:val="HideTWBInt"/>
          <w:color w:val="auto"/>
        </w:rPr>
        <w:t>{S&amp;D}</w:t>
      </w:r>
      <w:r w:rsidRPr="00CC7D24">
        <w:t>for S&amp;D-Gruppen</w:t>
      </w:r>
      <w:r w:rsidRPr="00CC7D24">
        <w:rPr>
          <w:rStyle w:val="HideTWBExt"/>
        </w:rPr>
        <w:t>&lt;/AuNomDe&gt;</w:t>
      </w:r>
    </w:p>
    <w:p w:rsidR="00625AD5" w:rsidRPr="00CC7D24" w:rsidRDefault="009173A2">
      <w:r w:rsidRPr="00CC7D24">
        <w:rPr>
          <w:rStyle w:val="HideTWBExt"/>
        </w:rPr>
        <w:t>&lt;/RepeatBlock-By&gt;</w:t>
      </w:r>
    </w:p>
    <w:p w:rsidR="00625AD5" w:rsidRPr="00CC7D24" w:rsidRDefault="009173A2">
      <w:pPr>
        <w:pStyle w:val="ProjRap"/>
      </w:pPr>
      <w:r w:rsidRPr="00CC7D24">
        <w:rPr>
          <w:rStyle w:val="HideTWBExt"/>
        </w:rPr>
        <w:t>&lt;TitreType&gt;</w:t>
      </w:r>
      <w:r w:rsidRPr="00CC7D24">
        <w:t>Betænkning</w:t>
      </w:r>
      <w:r w:rsidRPr="00CC7D24">
        <w:rPr>
          <w:rStyle w:val="HideTWBExt"/>
        </w:rPr>
        <w:t>&lt;/TitreType&gt;</w:t>
      </w:r>
      <w:r w:rsidRPr="00CC7D24">
        <w:tab/>
        <w:t>A8-0110/2019</w:t>
      </w:r>
    </w:p>
    <w:p w:rsidR="00625AD5" w:rsidRPr="00CC7D24" w:rsidRDefault="009173A2">
      <w:pPr>
        <w:pStyle w:val="NormalBold"/>
      </w:pPr>
      <w:r w:rsidRPr="00CC7D24">
        <w:rPr>
          <w:rStyle w:val="HideTWBExt"/>
        </w:rPr>
        <w:t>&lt;Rapporteur&gt;</w:t>
      </w:r>
      <w:r w:rsidRPr="00CC7D24">
        <w:rPr>
          <w:color w:val="auto"/>
        </w:rPr>
        <w:t>Inés Ayala Sender</w:t>
      </w:r>
      <w:r w:rsidRPr="00CC7D24">
        <w:rPr>
          <w:rStyle w:val="HideTWBExt"/>
        </w:rPr>
        <w:t>&lt;/Rapporteur&gt;</w:t>
      </w:r>
    </w:p>
    <w:p w:rsidR="00625AD5" w:rsidRPr="00CC7D24" w:rsidRDefault="009173A2">
      <w:pPr>
        <w:pStyle w:val="Normal12"/>
      </w:pPr>
      <w:r w:rsidRPr="00CC7D24">
        <w:rPr>
          <w:rStyle w:val="HideTWBExt"/>
        </w:rPr>
        <w:t>&lt;Titre&gt;</w:t>
      </w:r>
      <w:r w:rsidRPr="00CC7D24">
        <w:t>Decharge 2017: EU's almindelige budget – Kommissionen og forvaltningsorganerne</w:t>
      </w:r>
      <w:r w:rsidRPr="00CC7D24">
        <w:rPr>
          <w:rStyle w:val="HideTWBExt"/>
        </w:rPr>
        <w:t>&lt;/Titre&gt;</w:t>
      </w:r>
    </w:p>
    <w:p w:rsidR="00625AD5" w:rsidRPr="00CC7D24" w:rsidRDefault="009173A2">
      <w:pPr>
        <w:pStyle w:val="Normal12"/>
      </w:pPr>
      <w:r w:rsidRPr="00CC7D24">
        <w:rPr>
          <w:rStyle w:val="HideTWBExt"/>
        </w:rPr>
        <w:t>&lt;DocRef&gt;</w:t>
      </w:r>
      <w:r w:rsidRPr="00CC7D24">
        <w:rPr>
          <w:color w:val="auto"/>
        </w:rPr>
        <w:t>2018/2166(DEC)</w:t>
      </w:r>
      <w:r w:rsidRPr="00CC7D24">
        <w:rPr>
          <w:rStyle w:val="HideTWBExt"/>
        </w:rPr>
        <w:t>&lt;/DocRef&gt;</w:t>
      </w:r>
    </w:p>
    <w:p w:rsidR="00625AD5" w:rsidRPr="00CC7D24" w:rsidRDefault="00625AD5">
      <w:pPr>
        <w:pStyle w:val="Normal12"/>
      </w:pPr>
    </w:p>
    <w:p w:rsidR="00625AD5" w:rsidRPr="00CC7D24" w:rsidRDefault="009173A2">
      <w:pPr>
        <w:pStyle w:val="NormalBold"/>
      </w:pPr>
      <w:r w:rsidRPr="00CC7D24">
        <w:rPr>
          <w:rStyle w:val="HideTWBExt"/>
        </w:rPr>
        <w:t>&lt;DocAmend&gt;</w:t>
      </w:r>
      <w:r w:rsidRPr="00CC7D24">
        <w:rPr>
          <w:color w:val="auto"/>
        </w:rPr>
        <w:t>Forslag til beslutning</w:t>
      </w:r>
      <w:r w:rsidRPr="00CC7D24">
        <w:rPr>
          <w:rStyle w:val="HideTWBExt"/>
        </w:rPr>
        <w:t>&lt;/DocAmend&gt;</w:t>
      </w:r>
    </w:p>
    <w:p w:rsidR="00625AD5" w:rsidRPr="00CC7D24" w:rsidRDefault="009173A2">
      <w:pPr>
        <w:pStyle w:val="NormalBold"/>
      </w:pPr>
      <w:r w:rsidRPr="00CC7D24">
        <w:rPr>
          <w:rStyle w:val="HideTWBExt"/>
        </w:rPr>
        <w:t>&lt;Article&gt;</w:t>
      </w:r>
      <w:r w:rsidRPr="00CC7D24">
        <w:rPr>
          <w:color w:val="auto"/>
        </w:rPr>
        <w:t>Punkt 231</w:t>
      </w:r>
      <w:r w:rsidRPr="00CC7D2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5AD5" w:rsidRPr="00CC7D24">
        <w:trPr>
          <w:trHeight w:hRule="exact" w:val="240"/>
          <w:jc w:val="center"/>
        </w:trPr>
        <w:tc>
          <w:tcPr>
            <w:tcW w:w="9752" w:type="dxa"/>
            <w:gridSpan w:val="2"/>
          </w:tcPr>
          <w:p w:rsidR="00625AD5" w:rsidRPr="00CC7D24" w:rsidRDefault="00625AD5"/>
        </w:tc>
      </w:tr>
      <w:tr w:rsidR="00625AD5" w:rsidRPr="00CC7D24">
        <w:trPr>
          <w:trHeight w:val="240"/>
          <w:jc w:val="center"/>
        </w:trPr>
        <w:tc>
          <w:tcPr>
            <w:tcW w:w="4876" w:type="dxa"/>
          </w:tcPr>
          <w:p w:rsidR="00625AD5" w:rsidRPr="00CC7D24" w:rsidRDefault="009173A2">
            <w:pPr>
              <w:pStyle w:val="ColumnHeading"/>
              <w:rPr>
                <w:color w:val="auto"/>
              </w:rPr>
            </w:pPr>
            <w:r w:rsidRPr="00CC7D24">
              <w:rPr>
                <w:color w:val="auto"/>
              </w:rPr>
              <w:t>Forslag til beslutning</w:t>
            </w:r>
          </w:p>
        </w:tc>
        <w:tc>
          <w:tcPr>
            <w:tcW w:w="4876" w:type="dxa"/>
          </w:tcPr>
          <w:p w:rsidR="00625AD5" w:rsidRPr="00CC7D24" w:rsidRDefault="009173A2">
            <w:pPr>
              <w:pStyle w:val="ColumnHeading"/>
              <w:rPr>
                <w:color w:val="auto"/>
              </w:rPr>
            </w:pPr>
            <w:r w:rsidRPr="00CC7D24">
              <w:rPr>
                <w:color w:val="auto"/>
              </w:rPr>
              <w:t>Ændringsforslag</w:t>
            </w:r>
          </w:p>
        </w:tc>
      </w:tr>
      <w:tr w:rsidR="00625AD5" w:rsidRPr="00CC7D24">
        <w:trPr>
          <w:jc w:val="center"/>
        </w:trPr>
        <w:tc>
          <w:tcPr>
            <w:tcW w:w="4876" w:type="dxa"/>
          </w:tcPr>
          <w:p w:rsidR="00625AD5" w:rsidRPr="00CC7D24" w:rsidRDefault="009173A2">
            <w:pPr>
              <w:pStyle w:val="Normal6"/>
              <w:rPr>
                <w:color w:val="auto"/>
              </w:rPr>
            </w:pPr>
            <w:r w:rsidRPr="00CC7D24">
              <w:rPr>
                <w:color w:val="auto"/>
              </w:rPr>
              <w:t>231.</w:t>
            </w:r>
            <w:r w:rsidRPr="00CC7D24">
              <w:rPr>
                <w:color w:val="auto"/>
              </w:rPr>
              <w:tab/>
              <w:t>insisterer på, at Revisionsretten bør forbedre koordineringen mellem resultatvurderinger på projektniveau, der foretages som led i revisionserklæringen, og den resterende del af dens resultatarbejde, navnlig gennem rapporteringen af de vigtigste konklusioner i særberetningerne i de sektorspecifikke kapitler i dens årsberetning;</w:t>
            </w:r>
          </w:p>
        </w:tc>
        <w:tc>
          <w:tcPr>
            <w:tcW w:w="4876" w:type="dxa"/>
          </w:tcPr>
          <w:p w:rsidR="00625AD5" w:rsidRPr="00CC7D24" w:rsidRDefault="009173A2">
            <w:pPr>
              <w:pStyle w:val="Normal6"/>
              <w:rPr>
                <w:color w:val="auto"/>
              </w:rPr>
            </w:pPr>
            <w:r w:rsidRPr="00CC7D24">
              <w:rPr>
                <w:color w:val="auto"/>
              </w:rPr>
              <w:t>231.</w:t>
            </w:r>
            <w:r w:rsidRPr="00CC7D24">
              <w:rPr>
                <w:color w:val="auto"/>
              </w:rPr>
              <w:tab/>
              <w:t xml:space="preserve">insisterer på, at Revisionsretten bør forbedre koordineringen mellem resultatvurderinger på projektniveau, der foretages som led i revisionserklæringen, og den resterende del af dens resultatarbejde, navnlig gennem rapporteringen af de vigtigste konklusioner i særberetningerne i de sektorspecifikke kapitler i dens årsberetning; </w:t>
            </w:r>
            <w:r w:rsidRPr="00CC7D24">
              <w:rPr>
                <w:b/>
                <w:i/>
                <w:color w:val="auto"/>
              </w:rPr>
              <w:t>betragter dette som nyttigt med henblik på at forbedre og styrke en systematisk associering af Parlamentets kompetente sektorpolitiske udvalg ved anvendelse af Revisionsrettens produkter;</w:t>
            </w:r>
          </w:p>
        </w:tc>
      </w:tr>
    </w:tbl>
    <w:p w:rsidR="00625AD5" w:rsidRPr="00CC7D24" w:rsidRDefault="009173A2" w:rsidP="00825805">
      <w:pPr>
        <w:pStyle w:val="Olang"/>
      </w:pPr>
      <w:r w:rsidRPr="00CC7D24">
        <w:rPr>
          <w:color w:val="auto"/>
        </w:rPr>
        <w:t xml:space="preserve">Or. </w:t>
      </w:r>
      <w:r w:rsidRPr="00CC7D24">
        <w:rPr>
          <w:rStyle w:val="HideTWBExt"/>
        </w:rPr>
        <w:t>&lt;Original&gt;</w:t>
      </w:r>
      <w:r w:rsidRPr="00CC7D24">
        <w:rPr>
          <w:rStyle w:val="HideTWBInt"/>
        </w:rPr>
        <w:t>{EN}</w:t>
      </w:r>
      <w:r w:rsidRPr="00CC7D24">
        <w:rPr>
          <w:color w:val="auto"/>
        </w:rPr>
        <w:t>en</w:t>
      </w:r>
      <w:r w:rsidRPr="00CC7D24">
        <w:rPr>
          <w:rStyle w:val="HideTWBExt"/>
        </w:rPr>
        <w:t>&lt;/Original&gt;</w:t>
      </w:r>
    </w:p>
    <w:p w:rsidR="00625AD5" w:rsidRPr="00CC7D24" w:rsidRDefault="009173A2">
      <w:pPr>
        <w:pStyle w:val="Olang"/>
        <w:rPr>
          <w:color w:val="auto"/>
        </w:rPr>
        <w:sectPr w:rsidR="00625AD5" w:rsidRPr="00CC7D24">
          <w:footerReference w:type="default" r:id="rId16"/>
          <w:pgSz w:w="11906" w:h="16838"/>
          <w:pgMar w:top="1134" w:right="1417" w:bottom="1417" w:left="1417" w:header="1134" w:footer="567" w:gutter="0"/>
          <w:cols w:space="708"/>
          <w:docGrid w:linePitch="360"/>
        </w:sectPr>
      </w:pPr>
      <w:r w:rsidRPr="00CC7D24">
        <w:rPr>
          <w:rStyle w:val="HideTWBExt"/>
        </w:rPr>
        <w:t>&lt;/Amend&gt;</w:t>
      </w:r>
    </w:p>
    <w:p w:rsidR="00625AD5" w:rsidRPr="00CC7D24" w:rsidRDefault="009173A2">
      <w:pPr>
        <w:pStyle w:val="Interstitial1"/>
      </w:pPr>
      <w:r w:rsidRPr="00CC7D24">
        <w:rPr>
          <w:rStyle w:val="HideTWBExt"/>
        </w:rPr>
        <w:lastRenderedPageBreak/>
        <w:t>&lt;Amend&gt;&lt;Date&gt;</w:t>
      </w:r>
      <w:r w:rsidRPr="00CC7D24">
        <w:rPr>
          <w:rStyle w:val="HideTWBInt"/>
          <w:color w:val="auto"/>
        </w:rPr>
        <w:t>{22/03/2019}</w:t>
      </w:r>
      <w:r w:rsidRPr="00CC7D24">
        <w:rPr>
          <w:color w:val="auto"/>
        </w:rPr>
        <w:t>22.3.2019</w:t>
      </w:r>
      <w:r w:rsidRPr="00CC7D24">
        <w:rPr>
          <w:rStyle w:val="HideTWBExt"/>
        </w:rPr>
        <w:t>&lt;/Date&gt;</w:t>
      </w:r>
      <w:r w:rsidRPr="00CC7D24">
        <w:rPr>
          <w:color w:val="auto"/>
        </w:rPr>
        <w:tab/>
      </w:r>
      <w:r w:rsidRPr="00CC7D24">
        <w:rPr>
          <w:rStyle w:val="HideTWBExt"/>
        </w:rPr>
        <w:t>&lt;ANo&gt;</w:t>
      </w:r>
      <w:r w:rsidRPr="00CC7D24">
        <w:rPr>
          <w:color w:val="auto"/>
        </w:rPr>
        <w:t>A8-0110</w:t>
      </w:r>
      <w:r w:rsidRPr="00CC7D24">
        <w:rPr>
          <w:rStyle w:val="HideTWBExt"/>
        </w:rPr>
        <w:t>&lt;/ANo&gt;</w:t>
      </w:r>
      <w:r w:rsidRPr="00CC7D24">
        <w:rPr>
          <w:color w:val="auto"/>
        </w:rPr>
        <w:t>/</w:t>
      </w:r>
      <w:r w:rsidRPr="00CC7D24">
        <w:rPr>
          <w:rStyle w:val="HideTWBExt"/>
        </w:rPr>
        <w:t>&lt;NumAm&gt;</w:t>
      </w:r>
      <w:r w:rsidRPr="00CC7D24">
        <w:rPr>
          <w:color w:val="auto"/>
        </w:rPr>
        <w:t>20</w:t>
      </w:r>
      <w:r w:rsidRPr="00CC7D24">
        <w:rPr>
          <w:rStyle w:val="HideTWBExt"/>
        </w:rPr>
        <w:t>&lt;/NumAm&gt;</w:t>
      </w:r>
    </w:p>
    <w:p w:rsidR="00625AD5" w:rsidRPr="00CC7D24" w:rsidRDefault="009173A2">
      <w:pPr>
        <w:pStyle w:val="AMNumberTabs"/>
      </w:pPr>
      <w:r w:rsidRPr="00CC7D24">
        <w:rPr>
          <w:color w:val="auto"/>
        </w:rPr>
        <w:t>Ændringsforslag</w:t>
      </w:r>
      <w:r w:rsidRPr="00CC7D24">
        <w:rPr>
          <w:color w:val="auto"/>
        </w:rPr>
        <w:tab/>
      </w:r>
      <w:r w:rsidRPr="00CC7D24">
        <w:rPr>
          <w:color w:val="auto"/>
        </w:rPr>
        <w:tab/>
      </w:r>
      <w:r w:rsidRPr="00CC7D24">
        <w:rPr>
          <w:rStyle w:val="HideTWBExt"/>
        </w:rPr>
        <w:t>&lt;NumAm&gt;</w:t>
      </w:r>
      <w:r w:rsidRPr="00CC7D24">
        <w:rPr>
          <w:color w:val="auto"/>
        </w:rPr>
        <w:t>20</w:t>
      </w:r>
      <w:r w:rsidRPr="00CC7D24">
        <w:rPr>
          <w:rStyle w:val="HideTWBExt"/>
        </w:rPr>
        <w:t>&lt;/NumAm&gt;</w:t>
      </w:r>
    </w:p>
    <w:p w:rsidR="00625AD5" w:rsidRPr="00CC7D24" w:rsidRDefault="009173A2">
      <w:pPr>
        <w:pStyle w:val="NormalBold"/>
      </w:pPr>
      <w:r w:rsidRPr="00CC7D24">
        <w:rPr>
          <w:rStyle w:val="HideTWBExt"/>
        </w:rPr>
        <w:t>&lt;RepeatBlock-By&gt;&lt;Members&gt;</w:t>
      </w:r>
      <w:r w:rsidRPr="00CC7D24">
        <w:rPr>
          <w:color w:val="auto"/>
        </w:rPr>
        <w:t>Inés Ayala Sender</w:t>
      </w:r>
      <w:r w:rsidRPr="00CC7D24">
        <w:rPr>
          <w:rStyle w:val="HideTWBExt"/>
        </w:rPr>
        <w:t>&lt;/Members&gt;</w:t>
      </w:r>
    </w:p>
    <w:p w:rsidR="00625AD5" w:rsidRPr="00CC7D24" w:rsidRDefault="009173A2">
      <w:r w:rsidRPr="00CC7D24">
        <w:rPr>
          <w:rStyle w:val="HideTWBExt"/>
        </w:rPr>
        <w:t>&lt;AuNomDe&gt;</w:t>
      </w:r>
      <w:r w:rsidRPr="00CC7D24">
        <w:rPr>
          <w:rStyle w:val="HideTWBInt"/>
          <w:color w:val="auto"/>
        </w:rPr>
        <w:t>{S&amp;D}</w:t>
      </w:r>
      <w:r w:rsidRPr="00CC7D24">
        <w:t>for S&amp;D-Gruppen</w:t>
      </w:r>
      <w:r w:rsidRPr="00CC7D24">
        <w:rPr>
          <w:rStyle w:val="HideTWBExt"/>
        </w:rPr>
        <w:t>&lt;/AuNomDe&gt;</w:t>
      </w:r>
    </w:p>
    <w:p w:rsidR="00625AD5" w:rsidRPr="00CC7D24" w:rsidRDefault="009173A2">
      <w:r w:rsidRPr="00CC7D24">
        <w:rPr>
          <w:rStyle w:val="HideTWBExt"/>
        </w:rPr>
        <w:t>&lt;/RepeatBlock-By&gt;</w:t>
      </w:r>
    </w:p>
    <w:p w:rsidR="00625AD5" w:rsidRPr="00CC7D24" w:rsidRDefault="009173A2">
      <w:pPr>
        <w:pStyle w:val="ProjRap"/>
      </w:pPr>
      <w:r w:rsidRPr="00CC7D24">
        <w:rPr>
          <w:rStyle w:val="HideTWBExt"/>
        </w:rPr>
        <w:t>&lt;TitreType&gt;</w:t>
      </w:r>
      <w:r w:rsidRPr="00CC7D24">
        <w:t>Betænkning</w:t>
      </w:r>
      <w:r w:rsidRPr="00CC7D24">
        <w:rPr>
          <w:rStyle w:val="HideTWBExt"/>
        </w:rPr>
        <w:t>&lt;/TitreType&gt;</w:t>
      </w:r>
      <w:r w:rsidRPr="00CC7D24">
        <w:tab/>
        <w:t>A8-0110/2019</w:t>
      </w:r>
    </w:p>
    <w:p w:rsidR="00625AD5" w:rsidRPr="00CC7D24" w:rsidRDefault="009173A2">
      <w:pPr>
        <w:pStyle w:val="NormalBold"/>
      </w:pPr>
      <w:r w:rsidRPr="00CC7D24">
        <w:rPr>
          <w:rStyle w:val="HideTWBExt"/>
        </w:rPr>
        <w:t>&lt;Rapporteur&gt;</w:t>
      </w:r>
      <w:r w:rsidRPr="00CC7D24">
        <w:rPr>
          <w:color w:val="auto"/>
        </w:rPr>
        <w:t>Inés Ayala Sender</w:t>
      </w:r>
      <w:r w:rsidRPr="00CC7D24">
        <w:rPr>
          <w:rStyle w:val="HideTWBExt"/>
        </w:rPr>
        <w:t>&lt;/Rapporteur&gt;</w:t>
      </w:r>
    </w:p>
    <w:p w:rsidR="00625AD5" w:rsidRPr="00CC7D24" w:rsidRDefault="009173A2">
      <w:pPr>
        <w:pStyle w:val="Normal12"/>
      </w:pPr>
      <w:r w:rsidRPr="00CC7D24">
        <w:rPr>
          <w:rStyle w:val="HideTWBExt"/>
        </w:rPr>
        <w:t>&lt;Titre&gt;</w:t>
      </w:r>
      <w:r w:rsidRPr="00CC7D24">
        <w:t>Decharge 2017: EU's almindelige budget – Kommissionen og forvaltningsorganerne</w:t>
      </w:r>
      <w:r w:rsidRPr="00CC7D24">
        <w:rPr>
          <w:rStyle w:val="HideTWBExt"/>
        </w:rPr>
        <w:t>&lt;/Titre&gt;</w:t>
      </w:r>
    </w:p>
    <w:p w:rsidR="00625AD5" w:rsidRPr="00CC7D24" w:rsidRDefault="009173A2">
      <w:pPr>
        <w:pStyle w:val="Normal12"/>
      </w:pPr>
      <w:r w:rsidRPr="00CC7D24">
        <w:rPr>
          <w:rStyle w:val="HideTWBExt"/>
        </w:rPr>
        <w:t>&lt;DocRef&gt;</w:t>
      </w:r>
      <w:r w:rsidRPr="00CC7D24">
        <w:rPr>
          <w:color w:val="auto"/>
        </w:rPr>
        <w:t>2018/2166(DEC)</w:t>
      </w:r>
      <w:r w:rsidRPr="00CC7D24">
        <w:rPr>
          <w:rStyle w:val="HideTWBExt"/>
        </w:rPr>
        <w:t>&lt;/DocRef&gt;</w:t>
      </w:r>
    </w:p>
    <w:p w:rsidR="00625AD5" w:rsidRPr="00CC7D24" w:rsidRDefault="00625AD5">
      <w:pPr>
        <w:pStyle w:val="Normal12"/>
      </w:pPr>
    </w:p>
    <w:p w:rsidR="00625AD5" w:rsidRPr="00CC7D24" w:rsidRDefault="009173A2">
      <w:pPr>
        <w:pStyle w:val="NormalBold"/>
      </w:pPr>
      <w:r w:rsidRPr="00CC7D24">
        <w:rPr>
          <w:rStyle w:val="HideTWBExt"/>
        </w:rPr>
        <w:t>&lt;DocAmend&gt;</w:t>
      </w:r>
      <w:r w:rsidRPr="00CC7D24">
        <w:rPr>
          <w:color w:val="auto"/>
        </w:rPr>
        <w:t>Forslag til beslutning</w:t>
      </w:r>
      <w:r w:rsidRPr="00CC7D24">
        <w:rPr>
          <w:rStyle w:val="HideTWBExt"/>
        </w:rPr>
        <w:t>&lt;/DocAmend&gt;</w:t>
      </w:r>
    </w:p>
    <w:p w:rsidR="00625AD5" w:rsidRPr="00CC7D24" w:rsidRDefault="009173A2">
      <w:pPr>
        <w:pStyle w:val="NormalBold"/>
      </w:pPr>
      <w:r w:rsidRPr="00CC7D24">
        <w:rPr>
          <w:rStyle w:val="HideTWBExt"/>
        </w:rPr>
        <w:t>&lt;Article&gt;</w:t>
      </w:r>
      <w:r w:rsidRPr="00CC7D24">
        <w:rPr>
          <w:color w:val="auto"/>
        </w:rPr>
        <w:t>Punkt 256</w:t>
      </w:r>
      <w:r w:rsidRPr="00CC7D2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5AD5" w:rsidRPr="00CC7D24">
        <w:trPr>
          <w:trHeight w:hRule="exact" w:val="240"/>
          <w:jc w:val="center"/>
        </w:trPr>
        <w:tc>
          <w:tcPr>
            <w:tcW w:w="9752" w:type="dxa"/>
            <w:gridSpan w:val="2"/>
          </w:tcPr>
          <w:p w:rsidR="00625AD5" w:rsidRPr="00CC7D24" w:rsidRDefault="00625AD5"/>
        </w:tc>
      </w:tr>
      <w:tr w:rsidR="00625AD5" w:rsidRPr="00CC7D24">
        <w:trPr>
          <w:trHeight w:val="240"/>
          <w:jc w:val="center"/>
        </w:trPr>
        <w:tc>
          <w:tcPr>
            <w:tcW w:w="4876" w:type="dxa"/>
          </w:tcPr>
          <w:p w:rsidR="00625AD5" w:rsidRPr="00CC7D24" w:rsidRDefault="009173A2">
            <w:pPr>
              <w:pStyle w:val="ColumnHeading"/>
              <w:rPr>
                <w:color w:val="auto"/>
              </w:rPr>
            </w:pPr>
            <w:r w:rsidRPr="00CC7D24">
              <w:rPr>
                <w:color w:val="auto"/>
              </w:rPr>
              <w:t>Forslag til beslutning</w:t>
            </w:r>
          </w:p>
        </w:tc>
        <w:tc>
          <w:tcPr>
            <w:tcW w:w="4876" w:type="dxa"/>
          </w:tcPr>
          <w:p w:rsidR="00625AD5" w:rsidRPr="00CC7D24" w:rsidRDefault="009173A2">
            <w:pPr>
              <w:pStyle w:val="ColumnHeading"/>
              <w:rPr>
                <w:color w:val="auto"/>
              </w:rPr>
            </w:pPr>
            <w:r w:rsidRPr="00CC7D24">
              <w:rPr>
                <w:color w:val="auto"/>
              </w:rPr>
              <w:t>Ændringsforslag</w:t>
            </w:r>
          </w:p>
        </w:tc>
      </w:tr>
      <w:tr w:rsidR="00625AD5" w:rsidRPr="00CC7D24">
        <w:trPr>
          <w:jc w:val="center"/>
        </w:trPr>
        <w:tc>
          <w:tcPr>
            <w:tcW w:w="4876" w:type="dxa"/>
          </w:tcPr>
          <w:p w:rsidR="00625AD5" w:rsidRPr="00CC7D24" w:rsidRDefault="009173A2">
            <w:pPr>
              <w:pStyle w:val="Normal6"/>
              <w:rPr>
                <w:color w:val="auto"/>
              </w:rPr>
            </w:pPr>
            <w:r w:rsidRPr="00CC7D24">
              <w:rPr>
                <w:color w:val="auto"/>
              </w:rPr>
              <w:t>256.</w:t>
            </w:r>
            <w:r w:rsidRPr="00CC7D24">
              <w:rPr>
                <w:color w:val="auto"/>
              </w:rPr>
              <w:tab/>
              <w:t>understreger, at tidligere kommissærer i en periode på to år, efter at de er fratrådt tjenesten, ikke må drive lobbyvirksomhed rettet mod kommissærer eller disses medarbejdere på vegne af deres egen virksomhed, deres arbejdsgivers eller deres kunders, eller vedrørende spørgsmål, som de har været ansvarlige for inden for rammerne af deres ansvarsområde; opfordrer Kommissionen til at bringe denne afkølingsperiode på linje med den, som gælder for formanden, dvs. tre år;</w:t>
            </w:r>
          </w:p>
        </w:tc>
        <w:tc>
          <w:tcPr>
            <w:tcW w:w="4876" w:type="dxa"/>
          </w:tcPr>
          <w:p w:rsidR="00625AD5" w:rsidRPr="00CC7D24" w:rsidRDefault="009173A2">
            <w:pPr>
              <w:pStyle w:val="Normal6"/>
              <w:rPr>
                <w:color w:val="auto"/>
              </w:rPr>
            </w:pPr>
            <w:r w:rsidRPr="00CC7D24">
              <w:rPr>
                <w:color w:val="auto"/>
              </w:rPr>
              <w:t>256.</w:t>
            </w:r>
            <w:r w:rsidRPr="00CC7D24">
              <w:rPr>
                <w:color w:val="auto"/>
              </w:rPr>
              <w:tab/>
              <w:t xml:space="preserve">understreger, at tidligere kommissærer </w:t>
            </w:r>
            <w:r w:rsidRPr="00CC7D24">
              <w:rPr>
                <w:b/>
                <w:i/>
                <w:color w:val="auto"/>
              </w:rPr>
              <w:t xml:space="preserve">ifølge adfærdskodeksen for kommissærer, der har været gældende siden januar 2018, </w:t>
            </w:r>
            <w:r w:rsidRPr="00CC7D24">
              <w:rPr>
                <w:color w:val="auto"/>
              </w:rPr>
              <w:t>i en periode på to år, efter at de er fratrådt tjenesten, ikke må drive lobbyvirksomhed rettet mod kommissærer eller disses medarbejdere på vegne af deres egen virksomhed, deres arbejdsgivers eller deres kunders, eller vedrørende spørgsmål, som de har været ansvarlige for inden for rammerne af deres ansvarsområde; opfordrer Kommissionen til at bringe denne afkølingsperiode på linje med den, som gælder for formanden, dvs. tre år;</w:t>
            </w:r>
          </w:p>
        </w:tc>
      </w:tr>
    </w:tbl>
    <w:p w:rsidR="00625AD5" w:rsidRPr="00CC7D24" w:rsidRDefault="009173A2" w:rsidP="00825805">
      <w:pPr>
        <w:pStyle w:val="Olang"/>
      </w:pPr>
      <w:r w:rsidRPr="00CC7D24">
        <w:rPr>
          <w:color w:val="auto"/>
        </w:rPr>
        <w:t xml:space="preserve">Or. </w:t>
      </w:r>
      <w:r w:rsidRPr="00CC7D24">
        <w:rPr>
          <w:rStyle w:val="HideTWBExt"/>
        </w:rPr>
        <w:t>&lt;Original&gt;</w:t>
      </w:r>
      <w:r w:rsidRPr="00CC7D24">
        <w:rPr>
          <w:rStyle w:val="HideTWBInt"/>
        </w:rPr>
        <w:t>{EN}</w:t>
      </w:r>
      <w:r w:rsidRPr="00CC7D24">
        <w:rPr>
          <w:color w:val="auto"/>
        </w:rPr>
        <w:t>en</w:t>
      </w:r>
      <w:r w:rsidRPr="00CC7D24">
        <w:rPr>
          <w:rStyle w:val="HideTWBExt"/>
        </w:rPr>
        <w:t>&lt;/Original&gt;</w:t>
      </w:r>
    </w:p>
    <w:p w:rsidR="00625AD5" w:rsidRPr="00CC7D24" w:rsidRDefault="009173A2">
      <w:pPr>
        <w:pStyle w:val="Olang"/>
      </w:pPr>
      <w:r w:rsidRPr="00CC7D24">
        <w:rPr>
          <w:rStyle w:val="HideTWBExt"/>
        </w:rPr>
        <w:t>&lt;/Amend&gt;&lt;/RepeatBlock-Amend&gt;</w:t>
      </w:r>
    </w:p>
    <w:sectPr w:rsidR="00625AD5" w:rsidRPr="00CC7D24">
      <w:footerReference w:type="default" r:id="rId17"/>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436" w:rsidRPr="00CC7D24" w:rsidRDefault="009173A2">
      <w:r w:rsidRPr="00CC7D24">
        <w:separator/>
      </w:r>
    </w:p>
  </w:endnote>
  <w:endnote w:type="continuationSeparator" w:id="0">
    <w:p w:rsidR="00025436" w:rsidRPr="00CC7D24" w:rsidRDefault="009173A2">
      <w:r w:rsidRPr="00CC7D2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EA" w:rsidRDefault="008B3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24" w:rsidRPr="00CC7D24" w:rsidRDefault="00CC7D24" w:rsidP="00CC7D24">
    <w:pPr>
      <w:pStyle w:val="Footer"/>
    </w:pPr>
    <w:r w:rsidRPr="00CC7D24">
      <w:rPr>
        <w:rStyle w:val="HideTWBExt"/>
      </w:rPr>
      <w:t>&lt;PathFdR&gt;</w:t>
    </w:r>
    <w:r w:rsidRPr="00CC7D24">
      <w:t>AM\1180595DA.docx</w:t>
    </w:r>
    <w:r w:rsidRPr="00CC7D24">
      <w:rPr>
        <w:rStyle w:val="HideTWBExt"/>
      </w:rPr>
      <w:t>&lt;/PathFdR&gt;</w:t>
    </w:r>
    <w:r w:rsidRPr="00CC7D24">
      <w:tab/>
    </w:r>
    <w:r w:rsidRPr="00CC7D24">
      <w:tab/>
      <w:t>PE</w:t>
    </w:r>
    <w:r w:rsidRPr="00CC7D24">
      <w:rPr>
        <w:rStyle w:val="HideTWBExt"/>
      </w:rPr>
      <w:t>&lt;NoPE&gt;</w:t>
    </w:r>
    <w:r w:rsidRPr="00CC7D24">
      <w:t>635.501</w:t>
    </w:r>
    <w:r w:rsidRPr="00CC7D24">
      <w:rPr>
        <w:rStyle w:val="HideTWBExt"/>
      </w:rPr>
      <w:t>&lt;/NoPE&gt;&lt;Version&gt;</w:t>
    </w:r>
    <w:r w:rsidRPr="00CC7D24">
      <w:t>v01-00</w:t>
    </w:r>
    <w:r w:rsidRPr="00CC7D24">
      <w:rPr>
        <w:rStyle w:val="HideTWBExt"/>
      </w:rPr>
      <w:t>&lt;/Version&gt;</w:t>
    </w:r>
  </w:p>
  <w:p w:rsidR="00625AD5" w:rsidRPr="00CC7D24" w:rsidRDefault="00CC7D24" w:rsidP="00CC7D24">
    <w:pPr>
      <w:pStyle w:val="Footer2"/>
      <w:tabs>
        <w:tab w:val="center" w:pos="4535"/>
        <w:tab w:val="right" w:pos="9921"/>
      </w:tabs>
    </w:pPr>
    <w:r w:rsidRPr="00CC7D24">
      <w:t>DA</w:t>
    </w:r>
    <w:r w:rsidRPr="00CC7D24">
      <w:tab/>
    </w:r>
    <w:r w:rsidRPr="00CC7D24">
      <w:rPr>
        <w:b w:val="0"/>
        <w:i/>
        <w:color w:val="C0C0C0"/>
        <w:sz w:val="22"/>
      </w:rPr>
      <w:t>Forenet i mangfoldighed</w:t>
    </w:r>
    <w:r w:rsidRPr="00CC7D24">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EA" w:rsidRDefault="008B3A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24" w:rsidRPr="008B3AEA" w:rsidRDefault="00CC7D24" w:rsidP="00CC7D24">
    <w:pPr>
      <w:pStyle w:val="Footer"/>
      <w:rPr>
        <w:lang w:val="de-DE"/>
      </w:rPr>
    </w:pPr>
    <w:r w:rsidRPr="008B3AEA">
      <w:rPr>
        <w:rStyle w:val="HideTWBExt"/>
        <w:lang w:val="de-DE"/>
      </w:rPr>
      <w:t>&lt;PathFdR&gt;</w:t>
    </w:r>
    <w:r w:rsidRPr="008B3AEA">
      <w:rPr>
        <w:lang w:val="de-DE"/>
      </w:rPr>
      <w:t>AM\1180595DA.docx</w:t>
    </w:r>
    <w:r w:rsidRPr="008B3AEA">
      <w:rPr>
        <w:rStyle w:val="HideTWBExt"/>
        <w:lang w:val="de-DE"/>
      </w:rPr>
      <w:t>&lt;/PathFdR&gt;</w:t>
    </w:r>
    <w:r w:rsidRPr="008B3AEA">
      <w:rPr>
        <w:lang w:val="de-DE"/>
      </w:rPr>
      <w:tab/>
    </w:r>
    <w:r w:rsidRPr="008B3AEA">
      <w:rPr>
        <w:lang w:val="de-DE"/>
      </w:rPr>
      <w:tab/>
      <w:t>PE</w:t>
    </w:r>
    <w:r w:rsidRPr="008B3AEA">
      <w:rPr>
        <w:rStyle w:val="HideTWBExt"/>
        <w:lang w:val="de-DE"/>
      </w:rPr>
      <w:t>&lt;NoPE&gt;</w:t>
    </w:r>
    <w:r w:rsidRPr="008B3AEA">
      <w:rPr>
        <w:lang w:val="de-DE"/>
      </w:rPr>
      <w:t>635.501</w:t>
    </w:r>
    <w:r w:rsidRPr="008B3AEA">
      <w:rPr>
        <w:rStyle w:val="HideTWBExt"/>
        <w:lang w:val="de-DE"/>
      </w:rPr>
      <w:t>&lt;/NoPE&gt;&lt;Version&gt;</w:t>
    </w:r>
    <w:r w:rsidRPr="008B3AEA">
      <w:rPr>
        <w:lang w:val="de-DE"/>
      </w:rPr>
      <w:t>v01-00</w:t>
    </w:r>
    <w:r w:rsidRPr="008B3AEA">
      <w:rPr>
        <w:rStyle w:val="HideTWBExt"/>
        <w:lang w:val="de-DE"/>
      </w:rPr>
      <w:t>&lt;/Version&gt;</w:t>
    </w:r>
  </w:p>
  <w:p w:rsidR="00625AD5" w:rsidRDefault="00CC7D24" w:rsidP="00CC7D24">
    <w:pPr>
      <w:pStyle w:val="Footer2"/>
      <w:tabs>
        <w:tab w:val="center" w:pos="4535"/>
        <w:tab w:val="right" w:pos="9921"/>
      </w:tabs>
    </w:pPr>
    <w:r>
      <w:t>DA</w:t>
    </w:r>
    <w:r>
      <w:tab/>
    </w:r>
    <w:r w:rsidRPr="00CC7D24">
      <w:rPr>
        <w:b w:val="0"/>
        <w:i/>
        <w:color w:val="C0C0C0"/>
        <w:sz w:val="22"/>
      </w:rPr>
      <w:t>Forenet i mangfoldighed</w:t>
    </w:r>
    <w:r>
      <w:tab/>
      <w:t>DA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24" w:rsidRPr="008B3AEA" w:rsidRDefault="00CC7D24" w:rsidP="00CC7D24">
    <w:pPr>
      <w:pStyle w:val="Footer"/>
      <w:rPr>
        <w:lang w:val="de-DE"/>
      </w:rPr>
    </w:pPr>
    <w:r w:rsidRPr="008B3AEA">
      <w:rPr>
        <w:rStyle w:val="HideTWBExt"/>
        <w:lang w:val="de-DE"/>
      </w:rPr>
      <w:t>&lt;PathFdR&gt;</w:t>
    </w:r>
    <w:r w:rsidRPr="008B3AEA">
      <w:rPr>
        <w:lang w:val="de-DE"/>
      </w:rPr>
      <w:t>AM\1180595DA.docx</w:t>
    </w:r>
    <w:r w:rsidRPr="008B3AEA">
      <w:rPr>
        <w:rStyle w:val="HideTWBExt"/>
        <w:lang w:val="de-DE"/>
      </w:rPr>
      <w:t>&lt;/PathFdR&gt;</w:t>
    </w:r>
    <w:r w:rsidRPr="008B3AEA">
      <w:rPr>
        <w:lang w:val="de-DE"/>
      </w:rPr>
      <w:tab/>
    </w:r>
    <w:r w:rsidRPr="008B3AEA">
      <w:rPr>
        <w:lang w:val="de-DE"/>
      </w:rPr>
      <w:tab/>
      <w:t>PE</w:t>
    </w:r>
    <w:r w:rsidRPr="008B3AEA">
      <w:rPr>
        <w:rStyle w:val="HideTWBExt"/>
        <w:lang w:val="de-DE"/>
      </w:rPr>
      <w:t>&lt;NoPE&gt;</w:t>
    </w:r>
    <w:r w:rsidRPr="008B3AEA">
      <w:rPr>
        <w:lang w:val="de-DE"/>
      </w:rPr>
      <w:t>635.501</w:t>
    </w:r>
    <w:r w:rsidRPr="008B3AEA">
      <w:rPr>
        <w:rStyle w:val="HideTWBExt"/>
        <w:lang w:val="de-DE"/>
      </w:rPr>
      <w:t>&lt;/NoPE&gt;&lt;Version&gt;</w:t>
    </w:r>
    <w:r w:rsidRPr="008B3AEA">
      <w:rPr>
        <w:lang w:val="de-DE"/>
      </w:rPr>
      <w:t>v01-00</w:t>
    </w:r>
    <w:r w:rsidRPr="008B3AEA">
      <w:rPr>
        <w:rStyle w:val="HideTWBExt"/>
        <w:lang w:val="de-DE"/>
      </w:rPr>
      <w:t>&lt;/Version&gt;</w:t>
    </w:r>
  </w:p>
  <w:p w:rsidR="00625AD5" w:rsidRDefault="00CC7D24" w:rsidP="00CC7D24">
    <w:pPr>
      <w:pStyle w:val="Footer2"/>
      <w:tabs>
        <w:tab w:val="center" w:pos="4535"/>
        <w:tab w:val="right" w:pos="9921"/>
      </w:tabs>
    </w:pPr>
    <w:r>
      <w:t>DA</w:t>
    </w:r>
    <w:r>
      <w:tab/>
    </w:r>
    <w:r w:rsidRPr="00CC7D24">
      <w:rPr>
        <w:b w:val="0"/>
        <w:i/>
        <w:color w:val="C0C0C0"/>
        <w:sz w:val="22"/>
      </w:rPr>
      <w:t>Forenet i mangfoldighed</w:t>
    </w:r>
    <w:r>
      <w:tab/>
      <w:t>DA</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24" w:rsidRPr="008B3AEA" w:rsidRDefault="00CC7D24" w:rsidP="00CC7D24">
    <w:pPr>
      <w:pStyle w:val="Footer"/>
      <w:rPr>
        <w:lang w:val="de-DE"/>
      </w:rPr>
    </w:pPr>
    <w:r w:rsidRPr="008B3AEA">
      <w:rPr>
        <w:rStyle w:val="HideTWBExt"/>
        <w:lang w:val="de-DE"/>
      </w:rPr>
      <w:t>&lt;PathFdR&gt;</w:t>
    </w:r>
    <w:r w:rsidRPr="008B3AEA">
      <w:rPr>
        <w:lang w:val="de-DE"/>
      </w:rPr>
      <w:t>AM\1180595DA.docx</w:t>
    </w:r>
    <w:r w:rsidRPr="008B3AEA">
      <w:rPr>
        <w:rStyle w:val="HideTWBExt"/>
        <w:lang w:val="de-DE"/>
      </w:rPr>
      <w:t>&lt;/PathFdR&gt;</w:t>
    </w:r>
    <w:r w:rsidRPr="008B3AEA">
      <w:rPr>
        <w:lang w:val="de-DE"/>
      </w:rPr>
      <w:tab/>
    </w:r>
    <w:r w:rsidRPr="008B3AEA">
      <w:rPr>
        <w:lang w:val="de-DE"/>
      </w:rPr>
      <w:tab/>
      <w:t>PE</w:t>
    </w:r>
    <w:r w:rsidRPr="008B3AEA">
      <w:rPr>
        <w:rStyle w:val="HideTWBExt"/>
        <w:lang w:val="de-DE"/>
      </w:rPr>
      <w:t>&lt;NoPE&gt;</w:t>
    </w:r>
    <w:r w:rsidRPr="008B3AEA">
      <w:rPr>
        <w:lang w:val="de-DE"/>
      </w:rPr>
      <w:t>635.501</w:t>
    </w:r>
    <w:r w:rsidRPr="008B3AEA">
      <w:rPr>
        <w:rStyle w:val="HideTWBExt"/>
        <w:lang w:val="de-DE"/>
      </w:rPr>
      <w:t>&lt;/NoPE&gt;&lt;Version&gt;</w:t>
    </w:r>
    <w:r w:rsidRPr="008B3AEA">
      <w:rPr>
        <w:lang w:val="de-DE"/>
      </w:rPr>
      <w:t>v01-00</w:t>
    </w:r>
    <w:r w:rsidRPr="008B3AEA">
      <w:rPr>
        <w:rStyle w:val="HideTWBExt"/>
        <w:lang w:val="de-DE"/>
      </w:rPr>
      <w:t>&lt;/Version&gt;</w:t>
    </w:r>
  </w:p>
  <w:p w:rsidR="00625AD5" w:rsidRDefault="00CC7D24" w:rsidP="00CC7D24">
    <w:pPr>
      <w:pStyle w:val="Footer2"/>
      <w:tabs>
        <w:tab w:val="center" w:pos="4535"/>
        <w:tab w:val="right" w:pos="9921"/>
      </w:tabs>
    </w:pPr>
    <w:r>
      <w:t>DA</w:t>
    </w:r>
    <w:r>
      <w:tab/>
    </w:r>
    <w:r w:rsidRPr="00CC7D24">
      <w:rPr>
        <w:b w:val="0"/>
        <w:i/>
        <w:color w:val="C0C0C0"/>
        <w:sz w:val="22"/>
      </w:rPr>
      <w:t>Forenet i mangfoldighed</w:t>
    </w:r>
    <w:r>
      <w:tab/>
      <w:t>DA</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24" w:rsidRPr="008B3AEA" w:rsidRDefault="00CC7D24" w:rsidP="00CC7D24">
    <w:pPr>
      <w:pStyle w:val="Footer"/>
      <w:rPr>
        <w:lang w:val="de-DE"/>
      </w:rPr>
    </w:pPr>
    <w:r w:rsidRPr="008B3AEA">
      <w:rPr>
        <w:rStyle w:val="HideTWBExt"/>
        <w:lang w:val="de-DE"/>
      </w:rPr>
      <w:t>&lt;PathFdR&gt;</w:t>
    </w:r>
    <w:r w:rsidRPr="008B3AEA">
      <w:rPr>
        <w:lang w:val="de-DE"/>
      </w:rPr>
      <w:t>AM\1180595DA.docx</w:t>
    </w:r>
    <w:r w:rsidRPr="008B3AEA">
      <w:rPr>
        <w:rStyle w:val="HideTWBExt"/>
        <w:lang w:val="de-DE"/>
      </w:rPr>
      <w:t>&lt;/PathFdR&gt;</w:t>
    </w:r>
    <w:r w:rsidRPr="008B3AEA">
      <w:rPr>
        <w:lang w:val="de-DE"/>
      </w:rPr>
      <w:tab/>
    </w:r>
    <w:r w:rsidRPr="008B3AEA">
      <w:rPr>
        <w:lang w:val="de-DE"/>
      </w:rPr>
      <w:tab/>
      <w:t>PE</w:t>
    </w:r>
    <w:r w:rsidRPr="008B3AEA">
      <w:rPr>
        <w:rStyle w:val="HideTWBExt"/>
        <w:lang w:val="de-DE"/>
      </w:rPr>
      <w:t>&lt;NoPE&gt;</w:t>
    </w:r>
    <w:r w:rsidRPr="008B3AEA">
      <w:rPr>
        <w:lang w:val="de-DE"/>
      </w:rPr>
      <w:t>635.501</w:t>
    </w:r>
    <w:r w:rsidRPr="008B3AEA">
      <w:rPr>
        <w:rStyle w:val="HideTWBExt"/>
        <w:lang w:val="de-DE"/>
      </w:rPr>
      <w:t>&lt;/NoPE&gt;&lt;Version&gt;</w:t>
    </w:r>
    <w:r w:rsidRPr="008B3AEA">
      <w:rPr>
        <w:lang w:val="de-DE"/>
      </w:rPr>
      <w:t>v01-00</w:t>
    </w:r>
    <w:r w:rsidRPr="008B3AEA">
      <w:rPr>
        <w:rStyle w:val="HideTWBExt"/>
        <w:lang w:val="de-DE"/>
      </w:rPr>
      <w:t>&lt;/Version&gt;</w:t>
    </w:r>
  </w:p>
  <w:p w:rsidR="00625AD5" w:rsidRDefault="00CC7D24" w:rsidP="00CC7D24">
    <w:pPr>
      <w:pStyle w:val="Footer2"/>
      <w:tabs>
        <w:tab w:val="center" w:pos="4535"/>
        <w:tab w:val="right" w:pos="9921"/>
      </w:tabs>
    </w:pPr>
    <w:r>
      <w:t>DA</w:t>
    </w:r>
    <w:r>
      <w:tab/>
    </w:r>
    <w:r w:rsidRPr="00CC7D24">
      <w:rPr>
        <w:b w:val="0"/>
        <w:i/>
        <w:color w:val="C0C0C0"/>
        <w:sz w:val="22"/>
      </w:rPr>
      <w:t>Forenet i mangfoldighed</w:t>
    </w:r>
    <w:r>
      <w:tab/>
      <w:t>DA</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24" w:rsidRPr="008B3AEA" w:rsidRDefault="00CC7D24" w:rsidP="00CC7D24">
    <w:pPr>
      <w:pStyle w:val="Footer"/>
      <w:rPr>
        <w:lang w:val="de-DE"/>
      </w:rPr>
    </w:pPr>
    <w:r w:rsidRPr="008B3AEA">
      <w:rPr>
        <w:rStyle w:val="HideTWBExt"/>
        <w:lang w:val="de-DE"/>
      </w:rPr>
      <w:t>&lt;PathFdR&gt;</w:t>
    </w:r>
    <w:r w:rsidRPr="008B3AEA">
      <w:rPr>
        <w:lang w:val="de-DE"/>
      </w:rPr>
      <w:t>AM\1180595DA.docx</w:t>
    </w:r>
    <w:r w:rsidRPr="008B3AEA">
      <w:rPr>
        <w:rStyle w:val="HideTWBExt"/>
        <w:lang w:val="de-DE"/>
      </w:rPr>
      <w:t>&lt;/PathFdR&gt;</w:t>
    </w:r>
    <w:r w:rsidRPr="008B3AEA">
      <w:rPr>
        <w:lang w:val="de-DE"/>
      </w:rPr>
      <w:tab/>
    </w:r>
    <w:r w:rsidRPr="008B3AEA">
      <w:rPr>
        <w:lang w:val="de-DE"/>
      </w:rPr>
      <w:tab/>
      <w:t>PE</w:t>
    </w:r>
    <w:r w:rsidRPr="008B3AEA">
      <w:rPr>
        <w:rStyle w:val="HideTWBExt"/>
        <w:lang w:val="de-DE"/>
      </w:rPr>
      <w:t>&lt;NoPE&gt;</w:t>
    </w:r>
    <w:r w:rsidRPr="008B3AEA">
      <w:rPr>
        <w:lang w:val="de-DE"/>
      </w:rPr>
      <w:t>635.501</w:t>
    </w:r>
    <w:r w:rsidRPr="008B3AEA">
      <w:rPr>
        <w:rStyle w:val="HideTWBExt"/>
        <w:lang w:val="de-DE"/>
      </w:rPr>
      <w:t>&lt;/NoPE&gt;&lt;Version&gt;</w:t>
    </w:r>
    <w:r w:rsidRPr="008B3AEA">
      <w:rPr>
        <w:lang w:val="de-DE"/>
      </w:rPr>
      <w:t>v01-00</w:t>
    </w:r>
    <w:r w:rsidRPr="008B3AEA">
      <w:rPr>
        <w:rStyle w:val="HideTWBExt"/>
        <w:lang w:val="de-DE"/>
      </w:rPr>
      <w:t>&lt;/Version&gt;</w:t>
    </w:r>
  </w:p>
  <w:p w:rsidR="00625AD5" w:rsidRDefault="00CC7D24" w:rsidP="00CC7D24">
    <w:pPr>
      <w:pStyle w:val="Footer2"/>
      <w:tabs>
        <w:tab w:val="center" w:pos="4535"/>
        <w:tab w:val="right" w:pos="9921"/>
      </w:tabs>
    </w:pPr>
    <w:r>
      <w:t>DA</w:t>
    </w:r>
    <w:r>
      <w:tab/>
    </w:r>
    <w:r w:rsidRPr="00CC7D24">
      <w:rPr>
        <w:b w:val="0"/>
        <w:i/>
        <w:color w:val="C0C0C0"/>
        <w:sz w:val="22"/>
      </w:rPr>
      <w:t>Forenet i mangfoldighed</w:t>
    </w:r>
    <w:r>
      <w:tab/>
      <w:t>DA</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24" w:rsidRPr="008B3AEA" w:rsidRDefault="00CC7D24" w:rsidP="00CC7D24">
    <w:pPr>
      <w:pStyle w:val="Footer"/>
      <w:rPr>
        <w:lang w:val="de-DE"/>
      </w:rPr>
    </w:pPr>
    <w:r w:rsidRPr="008B3AEA">
      <w:rPr>
        <w:rStyle w:val="HideTWBExt"/>
        <w:lang w:val="de-DE"/>
      </w:rPr>
      <w:t>&lt;PathFdR&gt;</w:t>
    </w:r>
    <w:r w:rsidRPr="008B3AEA">
      <w:rPr>
        <w:lang w:val="de-DE"/>
      </w:rPr>
      <w:t>AM\1180595DA.docx</w:t>
    </w:r>
    <w:r w:rsidRPr="008B3AEA">
      <w:rPr>
        <w:rStyle w:val="HideTWBExt"/>
        <w:lang w:val="de-DE"/>
      </w:rPr>
      <w:t>&lt;/PathFdR&gt;</w:t>
    </w:r>
    <w:r w:rsidRPr="008B3AEA">
      <w:rPr>
        <w:lang w:val="de-DE"/>
      </w:rPr>
      <w:tab/>
    </w:r>
    <w:r w:rsidRPr="008B3AEA">
      <w:rPr>
        <w:lang w:val="de-DE"/>
      </w:rPr>
      <w:tab/>
      <w:t>PE</w:t>
    </w:r>
    <w:r w:rsidRPr="008B3AEA">
      <w:rPr>
        <w:rStyle w:val="HideTWBExt"/>
        <w:lang w:val="de-DE"/>
      </w:rPr>
      <w:t>&lt;NoPE&gt;</w:t>
    </w:r>
    <w:r w:rsidRPr="008B3AEA">
      <w:rPr>
        <w:lang w:val="de-DE"/>
      </w:rPr>
      <w:t>635.501</w:t>
    </w:r>
    <w:r w:rsidRPr="008B3AEA">
      <w:rPr>
        <w:rStyle w:val="HideTWBExt"/>
        <w:lang w:val="de-DE"/>
      </w:rPr>
      <w:t>&lt;/NoPE&gt;&lt;Version&gt;</w:t>
    </w:r>
    <w:r w:rsidRPr="008B3AEA">
      <w:rPr>
        <w:lang w:val="de-DE"/>
      </w:rPr>
      <w:t>v01-00</w:t>
    </w:r>
    <w:r w:rsidRPr="008B3AEA">
      <w:rPr>
        <w:rStyle w:val="HideTWBExt"/>
        <w:lang w:val="de-DE"/>
      </w:rPr>
      <w:t>&lt;/Version&gt;</w:t>
    </w:r>
  </w:p>
  <w:p w:rsidR="00625AD5" w:rsidRDefault="00CC7D24" w:rsidP="00CC7D24">
    <w:pPr>
      <w:pStyle w:val="Footer2"/>
      <w:tabs>
        <w:tab w:val="center" w:pos="4535"/>
        <w:tab w:val="right" w:pos="9921"/>
      </w:tabs>
    </w:pPr>
    <w:r>
      <w:t>DA</w:t>
    </w:r>
    <w:r>
      <w:tab/>
    </w:r>
    <w:r w:rsidRPr="00CC7D24">
      <w:rPr>
        <w:b w:val="0"/>
        <w:i/>
        <w:color w:val="C0C0C0"/>
        <w:sz w:val="22"/>
      </w:rPr>
      <w:t>Forenet i mangfoldighed</w:t>
    </w:r>
    <w:r>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436" w:rsidRPr="00CC7D24" w:rsidRDefault="009173A2">
      <w:r w:rsidRPr="00CC7D24">
        <w:separator/>
      </w:r>
    </w:p>
  </w:footnote>
  <w:footnote w:type="continuationSeparator" w:id="0">
    <w:p w:rsidR="00025436" w:rsidRPr="00CC7D24" w:rsidRDefault="009173A2">
      <w:r w:rsidRPr="00CC7D2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EA" w:rsidRDefault="008B3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EA" w:rsidRDefault="008B3A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EA" w:rsidRDefault="008B3A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TXTNRPE" w:val="635.501"/>
    <w:docVar w:name="TXTPEorAP" w:val="PE"/>
    <w:docVar w:name="TXTVERSION" w:val="01-00"/>
  </w:docVars>
  <w:rsids>
    <w:rsidRoot w:val="00625AD5"/>
    <w:rsid w:val="00025436"/>
    <w:rsid w:val="00135490"/>
    <w:rsid w:val="00312E7F"/>
    <w:rsid w:val="004F35C9"/>
    <w:rsid w:val="00625AD5"/>
    <w:rsid w:val="007609B8"/>
    <w:rsid w:val="00825805"/>
    <w:rsid w:val="008B3AEA"/>
    <w:rsid w:val="009173A2"/>
    <w:rsid w:val="00C21344"/>
    <w:rsid w:val="00CC7D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F204E"/>
  <w15:docId w15:val="{E1AADC0B-B697-4086-9F39-9199F906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826</Words>
  <Characters>7682</Characters>
  <Application>Microsoft Office Word</Application>
  <DocSecurity>0</DocSecurity>
  <Lines>334</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e-Parliament@europarl.europa.eu</dc:creator>
  <cp:lastModifiedBy>JOHANNSEN Lena</cp:lastModifiedBy>
  <cp:revision>2</cp:revision>
  <dcterms:created xsi:type="dcterms:W3CDTF">2019-03-25T15:50:00Z</dcterms:created>
  <dcterms:modified xsi:type="dcterms:W3CDTF">2019-03-25T15:50:00Z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1180595</vt:lpwstr>
  </property>
  <property fmtid="{D5CDD505-2E9C-101B-9397-08002B2CF9AE}" pid="3" name="&lt;Model&gt;">
    <vt:lpwstr>AM_Ple_NonLegReport</vt:lpwstr>
  </property>
  <property fmtid="{D5CDD505-2E9C-101B-9397-08002B2CF9AE}" pid="4" name="&lt;Type&gt;">
    <vt:lpwstr>AM</vt:lpwstr>
  </property>
  <property fmtid="{D5CDD505-2E9C-101B-9397-08002B2CF9AE}" pid="5" name="DMXMLUID">
    <vt:lpwstr>20190322-193736-021682-960109</vt:lpwstr>
  </property>
  <property fmtid="{D5CDD505-2E9C-101B-9397-08002B2CF9AE}" pid="6" name="FooterPath">
    <vt:lpwstr>AM\1180595DA.docx</vt:lpwstr>
  </property>
  <property fmtid="{D5CDD505-2E9C-101B-9397-08002B2CF9AE}" pid="7" name="PE Number">
    <vt:lpwstr>635.501</vt:lpwstr>
  </property>
  <property fmtid="{D5CDD505-2E9C-101B-9397-08002B2CF9AE}" pid="8" name="UID">
    <vt:lpwstr>eu.europa.europarl-DIN1-2019-0000014075_01.00-en-01.00_text-xml</vt:lpwstr>
  </property>
  <property fmtid="{D5CDD505-2E9C-101B-9397-08002B2CF9AE}" pid="9" name="SDLStudio">
    <vt:lpwstr/>
  </property>
  <property fmtid="{D5CDD505-2E9C-101B-9397-08002B2CF9AE}" pid="10" name="&lt;Extension&gt;">
    <vt:lpwstr>DA</vt:lpwstr>
  </property>
  <property fmtid="{D5CDD505-2E9C-101B-9397-08002B2CF9AE}" pid="11" name="Bookout">
    <vt:lpwstr>OK - 2019/03/25 16:50</vt:lpwstr>
  </property>
</Properties>
</file>