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D46466" w:rsidRPr="006F05B3" w14:paraId="7BB605FC" w14:textId="77777777" w:rsidTr="00947D32">
        <w:trPr>
          <w:trHeight w:hRule="exact" w:val="1418"/>
        </w:trPr>
        <w:tc>
          <w:tcPr>
            <w:tcW w:w="6804" w:type="dxa"/>
            <w:shd w:val="clear" w:color="auto" w:fill="auto"/>
            <w:vAlign w:val="center"/>
          </w:tcPr>
          <w:p w14:paraId="3C2915E1" w14:textId="77777777" w:rsidR="00D46466" w:rsidRPr="006F05B3" w:rsidRDefault="007A4FAF" w:rsidP="00947D32">
            <w:pPr>
              <w:pStyle w:val="EPName"/>
            </w:pPr>
            <w:bookmarkStart w:id="0" w:name="_GoBack"/>
            <w:bookmarkEnd w:id="0"/>
            <w:r w:rsidRPr="006F05B3">
              <w:t>Европейски парламент</w:t>
            </w:r>
          </w:p>
          <w:p w14:paraId="0F391C07" w14:textId="77777777" w:rsidR="00D46466" w:rsidRPr="006F05B3" w:rsidRDefault="00C05680" w:rsidP="00C05680">
            <w:pPr>
              <w:pStyle w:val="EPTerm"/>
              <w:rPr>
                <w:rStyle w:val="HideTWBExt"/>
                <w:noProof w:val="0"/>
                <w:vanish w:val="0"/>
                <w:color w:val="auto"/>
              </w:rPr>
            </w:pPr>
            <w:r w:rsidRPr="006F05B3">
              <w:t>2014-2019</w:t>
            </w:r>
          </w:p>
        </w:tc>
        <w:tc>
          <w:tcPr>
            <w:tcW w:w="2268" w:type="dxa"/>
            <w:shd w:val="clear" w:color="auto" w:fill="auto"/>
          </w:tcPr>
          <w:p w14:paraId="1CF4F05E" w14:textId="77777777" w:rsidR="00D46466" w:rsidRPr="006F05B3" w:rsidRDefault="00942A33" w:rsidP="00947D32">
            <w:pPr>
              <w:pStyle w:val="EPLogo"/>
            </w:pPr>
            <w:r>
              <w:pict w14:anchorId="48F759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14:paraId="11108B76" w14:textId="77777777" w:rsidR="00390068" w:rsidRPr="006F05B3" w:rsidRDefault="00390068" w:rsidP="00390068">
      <w:pPr>
        <w:pStyle w:val="LineTop"/>
      </w:pPr>
    </w:p>
    <w:p w14:paraId="42C2EB89" w14:textId="1A870C6E" w:rsidR="00390068" w:rsidRPr="006F05B3" w:rsidRDefault="00021CE7" w:rsidP="00390068">
      <w:pPr>
        <w:pStyle w:val="ZCommittee"/>
      </w:pPr>
      <w:r w:rsidRPr="006F05B3">
        <w:t>Документ за разглеждане в заседание</w:t>
      </w:r>
    </w:p>
    <w:p w14:paraId="4AD2AD0D" w14:textId="77777777" w:rsidR="00390068" w:rsidRPr="006F05B3" w:rsidRDefault="00390068" w:rsidP="00390068">
      <w:pPr>
        <w:pStyle w:val="LineBottom"/>
      </w:pPr>
    </w:p>
    <w:p w14:paraId="0F45B41A" w14:textId="7C4E78F9" w:rsidR="00C1531C" w:rsidRPr="006F05B3" w:rsidRDefault="00021CE7">
      <w:pPr>
        <w:pStyle w:val="RefProc"/>
      </w:pPr>
      <w:r w:rsidRPr="006F05B3">
        <w:rPr>
          <w:rStyle w:val="HideTWBExt"/>
          <w:noProof w:val="0"/>
        </w:rPr>
        <w:t>&lt;NoDocSe&gt;</w:t>
      </w:r>
      <w:r w:rsidRPr="006F05B3">
        <w:t>A8-0127/2019</w:t>
      </w:r>
      <w:r w:rsidRPr="006F05B3">
        <w:rPr>
          <w:rStyle w:val="HideTWBExt"/>
          <w:noProof w:val="0"/>
        </w:rPr>
        <w:t>&lt;/NoDocSe&gt;</w:t>
      </w:r>
    </w:p>
    <w:p w14:paraId="001AFDE6" w14:textId="062BB8B0" w:rsidR="00C1531C" w:rsidRPr="006F05B3" w:rsidRDefault="00C1531C">
      <w:pPr>
        <w:pStyle w:val="ZDate"/>
      </w:pPr>
      <w:r w:rsidRPr="006F05B3">
        <w:rPr>
          <w:rStyle w:val="HideTWBExt"/>
          <w:noProof w:val="0"/>
        </w:rPr>
        <w:t>&lt;Date&gt;</w:t>
      </w:r>
      <w:r w:rsidRPr="006F05B3">
        <w:rPr>
          <w:rStyle w:val="HideTWBInt"/>
        </w:rPr>
        <w:t>{01/03/2019}</w:t>
      </w:r>
      <w:r w:rsidRPr="006F05B3">
        <w:t>1.3.2019</w:t>
      </w:r>
      <w:r w:rsidRPr="006F05B3">
        <w:rPr>
          <w:rStyle w:val="HideTWBExt"/>
          <w:noProof w:val="0"/>
        </w:rPr>
        <w:t>&lt;/Date&gt;</w:t>
      </w:r>
    </w:p>
    <w:p w14:paraId="268B19BA" w14:textId="14DAFA0F" w:rsidR="00C1531C" w:rsidRPr="006F05B3" w:rsidRDefault="00C1531C">
      <w:pPr>
        <w:pStyle w:val="TypeDoc"/>
      </w:pPr>
      <w:r w:rsidRPr="006F05B3">
        <w:rPr>
          <w:rStyle w:val="HideTWBExt"/>
          <w:b w:val="0"/>
          <w:noProof w:val="0"/>
        </w:rPr>
        <w:t>&lt;TitreType&gt;</w:t>
      </w:r>
      <w:r w:rsidRPr="006F05B3">
        <w:t>ДОКЛАД</w:t>
      </w:r>
      <w:r w:rsidRPr="006F05B3">
        <w:rPr>
          <w:rStyle w:val="HideTWBExt"/>
          <w:b w:val="0"/>
          <w:noProof w:val="0"/>
        </w:rPr>
        <w:t>&lt;/TitreType&gt;</w:t>
      </w:r>
    </w:p>
    <w:p w14:paraId="4166BEC0" w14:textId="2E3FCBC6" w:rsidR="00C1531C" w:rsidRPr="006F05B3" w:rsidRDefault="00C1531C">
      <w:pPr>
        <w:pStyle w:val="CoverNormal"/>
      </w:pPr>
      <w:r w:rsidRPr="006F05B3">
        <w:rPr>
          <w:rStyle w:val="HideTWBExt"/>
          <w:noProof w:val="0"/>
        </w:rPr>
        <w:t>&lt;Titre&gt;</w:t>
      </w:r>
      <w:r w:rsidRPr="006F05B3">
        <w:t>относно освобождаването от отговорност във връзка с изпълнението на бюджета на Европейската агенция за околна среда (ЕАОС) за финансовата 2017 година</w:t>
      </w:r>
      <w:r w:rsidRPr="006F05B3">
        <w:rPr>
          <w:rStyle w:val="HideTWBExt"/>
          <w:noProof w:val="0"/>
        </w:rPr>
        <w:t>&lt;/Titre&gt;</w:t>
      </w:r>
    </w:p>
    <w:p w14:paraId="1DB0AD3C" w14:textId="77777777" w:rsidR="00C1531C" w:rsidRPr="006F05B3" w:rsidRDefault="005C689E">
      <w:pPr>
        <w:pStyle w:val="Cover24"/>
      </w:pPr>
      <w:r w:rsidRPr="006F05B3">
        <w:rPr>
          <w:rStyle w:val="HideTWBExt"/>
          <w:noProof w:val="0"/>
        </w:rPr>
        <w:t>&lt;DocRef&gt;</w:t>
      </w:r>
      <w:r w:rsidRPr="006F05B3">
        <w:t>(2018/2182(DEC))</w:t>
      </w:r>
      <w:r w:rsidRPr="006F05B3">
        <w:rPr>
          <w:rStyle w:val="HideTWBExt"/>
          <w:noProof w:val="0"/>
        </w:rPr>
        <w:t>&lt;/DocRef&gt;</w:t>
      </w:r>
    </w:p>
    <w:p w14:paraId="1DF29657" w14:textId="77777777" w:rsidR="00C1531C" w:rsidRPr="006F05B3" w:rsidRDefault="00C1531C">
      <w:pPr>
        <w:pStyle w:val="Cover24"/>
      </w:pPr>
      <w:r w:rsidRPr="006F05B3">
        <w:rPr>
          <w:rStyle w:val="HideTWBExt"/>
          <w:noProof w:val="0"/>
        </w:rPr>
        <w:t>&lt;Commission&gt;</w:t>
      </w:r>
      <w:r w:rsidRPr="006F05B3">
        <w:rPr>
          <w:rStyle w:val="HideTWBInt"/>
        </w:rPr>
        <w:t>{CONT}</w:t>
      </w:r>
      <w:r w:rsidRPr="006F05B3">
        <w:t>Комисия по бюджетен контрол</w:t>
      </w:r>
      <w:r w:rsidRPr="006F05B3">
        <w:rPr>
          <w:rStyle w:val="HideTWBExt"/>
          <w:noProof w:val="0"/>
        </w:rPr>
        <w:t>&lt;/Commission&gt;</w:t>
      </w:r>
    </w:p>
    <w:p w14:paraId="7E7E3C47" w14:textId="77777777" w:rsidR="00C1531C" w:rsidRPr="006F05B3" w:rsidRDefault="007A4FAF">
      <w:pPr>
        <w:pStyle w:val="Cover24"/>
      </w:pPr>
      <w:r w:rsidRPr="006F05B3">
        <w:t xml:space="preserve">Докладчик: </w:t>
      </w:r>
      <w:r w:rsidRPr="006F05B3">
        <w:rPr>
          <w:rStyle w:val="HideTWBExt"/>
          <w:noProof w:val="0"/>
        </w:rPr>
        <w:t>&lt;Depute&gt;</w:t>
      </w:r>
      <w:r w:rsidRPr="006F05B3">
        <w:t>Петри Сарвама</w:t>
      </w:r>
      <w:r w:rsidRPr="006F05B3">
        <w:rPr>
          <w:rStyle w:val="HideTWBExt"/>
          <w:noProof w:val="0"/>
        </w:rPr>
        <w:t>&lt;/Depute&gt;</w:t>
      </w:r>
    </w:p>
    <w:p w14:paraId="4BDB643B" w14:textId="26F2347C" w:rsidR="00C1531C" w:rsidRPr="006F05B3" w:rsidRDefault="00C1531C" w:rsidP="00D46466">
      <w:pPr>
        <w:widowControl/>
        <w:tabs>
          <w:tab w:val="center" w:pos="4677"/>
        </w:tabs>
      </w:pPr>
      <w:r w:rsidRPr="006F05B3">
        <w:br w:type="page"/>
      </w:r>
    </w:p>
    <w:p w14:paraId="3AA10FC3" w14:textId="77777777" w:rsidR="00C1531C" w:rsidRPr="006F05B3" w:rsidRDefault="007A4FAF" w:rsidP="00D46466">
      <w:pPr>
        <w:widowControl/>
        <w:tabs>
          <w:tab w:val="center" w:pos="4677"/>
        </w:tabs>
      </w:pPr>
      <w:r w:rsidRPr="006F05B3">
        <w:t>PR_DEC_Agencies</w:t>
      </w:r>
    </w:p>
    <w:p w14:paraId="4FE68DFF" w14:textId="77777777" w:rsidR="00C1531C" w:rsidRPr="006F05B3" w:rsidRDefault="007A4FAF">
      <w:pPr>
        <w:pStyle w:val="TOCHeading"/>
      </w:pPr>
      <w:r w:rsidRPr="006F05B3">
        <w:t>СЪДЪРЖАНИЕ</w:t>
      </w:r>
    </w:p>
    <w:p w14:paraId="0F9CB407" w14:textId="77777777" w:rsidR="00942A33" w:rsidRDefault="007A4FAF" w:rsidP="000B47E5">
      <w:pPr>
        <w:pStyle w:val="TOCPage"/>
        <w:rPr>
          <w:noProof/>
        </w:rPr>
      </w:pPr>
      <w:r w:rsidRPr="006F05B3">
        <w:t>Страница</w:t>
      </w:r>
      <w:r w:rsidR="00C1531C" w:rsidRPr="006F05B3">
        <w:fldChar w:fldCharType="begin"/>
      </w:r>
      <w:r w:rsidR="00C1531C" w:rsidRPr="006F05B3">
        <w:instrText xml:space="preserve"> TOC \t "PageHeading</w:instrText>
      </w:r>
      <w:r w:rsidR="00942A33">
        <w:instrText>;</w:instrText>
      </w:r>
      <w:r w:rsidR="00FD18F9" w:rsidRPr="006F05B3">
        <w:instrText>3</w:instrText>
      </w:r>
      <w:r w:rsidR="00C1531C" w:rsidRPr="006F05B3">
        <w:instrText xml:space="preserve">" </w:instrText>
      </w:r>
      <w:r w:rsidR="00C1531C" w:rsidRPr="006F05B3">
        <w:fldChar w:fldCharType="separate"/>
      </w:r>
    </w:p>
    <w:p w14:paraId="09B31C28" w14:textId="4A9D18BB" w:rsidR="00942A33" w:rsidRDefault="00942A33">
      <w:pPr>
        <w:pStyle w:val="TOC3"/>
        <w:tabs>
          <w:tab w:val="right" w:leader="dot" w:pos="9060"/>
        </w:tabs>
        <w:rPr>
          <w:rFonts w:asciiTheme="minorHAnsi" w:eastAsiaTheme="minorEastAsia" w:hAnsiTheme="minorHAnsi" w:cstheme="minorBidi"/>
          <w:noProof/>
          <w:sz w:val="22"/>
          <w:szCs w:val="22"/>
          <w:lang w:val="en-GB"/>
        </w:rPr>
      </w:pPr>
      <w:r>
        <w:rPr>
          <w:noProof/>
        </w:rPr>
        <w:t>1. ПРЕДЛОЖЕНИЕ ЗА РЕШЕНИЕ НА ЕВРОПЕЙСКИЯ ПАРЛАМЕНТ</w:t>
      </w:r>
      <w:r>
        <w:rPr>
          <w:noProof/>
        </w:rPr>
        <w:tab/>
      </w:r>
      <w:r>
        <w:rPr>
          <w:noProof/>
        </w:rPr>
        <w:fldChar w:fldCharType="begin"/>
      </w:r>
      <w:r>
        <w:rPr>
          <w:noProof/>
        </w:rPr>
        <w:instrText xml:space="preserve"> PAGEREF _Toc3471643 \h </w:instrText>
      </w:r>
      <w:r>
        <w:rPr>
          <w:noProof/>
        </w:rPr>
      </w:r>
      <w:r>
        <w:rPr>
          <w:noProof/>
        </w:rPr>
        <w:fldChar w:fldCharType="separate"/>
      </w:r>
      <w:r>
        <w:rPr>
          <w:noProof/>
        </w:rPr>
        <w:t>3</w:t>
      </w:r>
      <w:r>
        <w:rPr>
          <w:noProof/>
        </w:rPr>
        <w:fldChar w:fldCharType="end"/>
      </w:r>
    </w:p>
    <w:p w14:paraId="374BD311" w14:textId="04667F00" w:rsidR="00942A33" w:rsidRDefault="00942A33">
      <w:pPr>
        <w:pStyle w:val="TOC3"/>
        <w:tabs>
          <w:tab w:val="right" w:leader="dot" w:pos="9060"/>
        </w:tabs>
        <w:rPr>
          <w:rFonts w:asciiTheme="minorHAnsi" w:eastAsiaTheme="minorEastAsia" w:hAnsiTheme="minorHAnsi" w:cstheme="minorBidi"/>
          <w:noProof/>
          <w:sz w:val="22"/>
          <w:szCs w:val="22"/>
          <w:lang w:val="en-GB"/>
        </w:rPr>
      </w:pPr>
      <w:r>
        <w:rPr>
          <w:noProof/>
        </w:rPr>
        <w:t>2. ПРЕДЛОЖЕНИЕ ЗА РЕШЕНИЕ НА ЕВРОПЕЙСКИЯ ПАРЛАМЕНТ</w:t>
      </w:r>
      <w:r>
        <w:rPr>
          <w:noProof/>
        </w:rPr>
        <w:tab/>
      </w:r>
      <w:r>
        <w:rPr>
          <w:noProof/>
        </w:rPr>
        <w:fldChar w:fldCharType="begin"/>
      </w:r>
      <w:r>
        <w:rPr>
          <w:noProof/>
        </w:rPr>
        <w:instrText xml:space="preserve"> PAGEREF _Toc3471644 \h </w:instrText>
      </w:r>
      <w:r>
        <w:rPr>
          <w:noProof/>
        </w:rPr>
      </w:r>
      <w:r>
        <w:rPr>
          <w:noProof/>
        </w:rPr>
        <w:fldChar w:fldCharType="separate"/>
      </w:r>
      <w:r>
        <w:rPr>
          <w:noProof/>
        </w:rPr>
        <w:t>5</w:t>
      </w:r>
      <w:r>
        <w:rPr>
          <w:noProof/>
        </w:rPr>
        <w:fldChar w:fldCharType="end"/>
      </w:r>
    </w:p>
    <w:p w14:paraId="72ED1747" w14:textId="30ECEA9E" w:rsidR="00942A33" w:rsidRDefault="00942A33">
      <w:pPr>
        <w:pStyle w:val="TOC3"/>
        <w:tabs>
          <w:tab w:val="right" w:leader="dot" w:pos="9060"/>
        </w:tabs>
        <w:rPr>
          <w:rFonts w:asciiTheme="minorHAnsi" w:eastAsiaTheme="minorEastAsia" w:hAnsiTheme="minorHAnsi" w:cstheme="minorBidi"/>
          <w:noProof/>
          <w:sz w:val="22"/>
          <w:szCs w:val="22"/>
          <w:lang w:val="en-GB"/>
        </w:rPr>
      </w:pPr>
      <w:r>
        <w:rPr>
          <w:noProof/>
        </w:rPr>
        <w:t>3. ПРЕДЛОЖЕНИЕ ЗА РЕЗОЛЮЦИЯ НА ЕВРОПЕЙСКИЯ ПАРЛАМЕНТ,</w:t>
      </w:r>
      <w:r>
        <w:rPr>
          <w:noProof/>
        </w:rPr>
        <w:tab/>
      </w:r>
      <w:r>
        <w:rPr>
          <w:noProof/>
        </w:rPr>
        <w:fldChar w:fldCharType="begin"/>
      </w:r>
      <w:r>
        <w:rPr>
          <w:noProof/>
        </w:rPr>
        <w:instrText xml:space="preserve"> PAGEREF _Toc3471645 \h </w:instrText>
      </w:r>
      <w:r>
        <w:rPr>
          <w:noProof/>
        </w:rPr>
      </w:r>
      <w:r>
        <w:rPr>
          <w:noProof/>
        </w:rPr>
        <w:fldChar w:fldCharType="separate"/>
      </w:r>
      <w:r>
        <w:rPr>
          <w:noProof/>
        </w:rPr>
        <w:t>7</w:t>
      </w:r>
      <w:r>
        <w:rPr>
          <w:noProof/>
        </w:rPr>
        <w:fldChar w:fldCharType="end"/>
      </w:r>
    </w:p>
    <w:p w14:paraId="0CA2F269" w14:textId="49115E87" w:rsidR="00942A33" w:rsidRDefault="00942A33">
      <w:pPr>
        <w:pStyle w:val="TOC3"/>
        <w:tabs>
          <w:tab w:val="right" w:leader="dot" w:pos="9060"/>
        </w:tabs>
        <w:rPr>
          <w:rFonts w:asciiTheme="minorHAnsi" w:eastAsiaTheme="minorEastAsia" w:hAnsiTheme="minorHAnsi" w:cstheme="minorBidi"/>
          <w:noProof/>
          <w:sz w:val="22"/>
          <w:szCs w:val="22"/>
          <w:lang w:val="en-GB"/>
        </w:rPr>
      </w:pPr>
      <w:r>
        <w:rPr>
          <w:noProof/>
        </w:rPr>
        <w:t xml:space="preserve">СТАНОВИЩЕ </w:t>
      </w:r>
      <w:r w:rsidRPr="00561D36">
        <w:rPr>
          <w:caps/>
          <w:noProof/>
        </w:rPr>
        <w:t>на комисията по околна среда, обществено здраве и безопасност на храните</w:t>
      </w:r>
      <w:r>
        <w:rPr>
          <w:noProof/>
        </w:rPr>
        <w:tab/>
      </w:r>
      <w:r>
        <w:rPr>
          <w:noProof/>
        </w:rPr>
        <w:fldChar w:fldCharType="begin"/>
      </w:r>
      <w:r>
        <w:rPr>
          <w:noProof/>
        </w:rPr>
        <w:instrText xml:space="preserve"> PAGEREF _Toc3471646 \h </w:instrText>
      </w:r>
      <w:r>
        <w:rPr>
          <w:noProof/>
        </w:rPr>
      </w:r>
      <w:r>
        <w:rPr>
          <w:noProof/>
        </w:rPr>
        <w:fldChar w:fldCharType="separate"/>
      </w:r>
      <w:r>
        <w:rPr>
          <w:noProof/>
        </w:rPr>
        <w:t>12</w:t>
      </w:r>
      <w:r>
        <w:rPr>
          <w:noProof/>
        </w:rPr>
        <w:fldChar w:fldCharType="end"/>
      </w:r>
    </w:p>
    <w:p w14:paraId="623A641C" w14:textId="301D19D4" w:rsidR="00942A33" w:rsidRDefault="00942A33">
      <w:pPr>
        <w:pStyle w:val="TOC3"/>
        <w:tabs>
          <w:tab w:val="right" w:leader="dot" w:pos="9060"/>
        </w:tabs>
        <w:rPr>
          <w:rFonts w:asciiTheme="minorHAnsi" w:eastAsiaTheme="minorEastAsia" w:hAnsiTheme="minorHAnsi" w:cstheme="minorBidi"/>
          <w:noProof/>
          <w:sz w:val="22"/>
          <w:szCs w:val="22"/>
          <w:lang w:val="en-GB"/>
        </w:rPr>
      </w:pPr>
      <w:r>
        <w:rPr>
          <w:noProof/>
        </w:rPr>
        <w:t>ИНФОРМАЦИЯ ОТНОСНО ПРИЕМАНЕТО ВЪВ ВОДЕЩАТА КОМИСИЯ</w:t>
      </w:r>
      <w:r>
        <w:rPr>
          <w:noProof/>
        </w:rPr>
        <w:tab/>
      </w:r>
      <w:r>
        <w:rPr>
          <w:noProof/>
        </w:rPr>
        <w:fldChar w:fldCharType="begin"/>
      </w:r>
      <w:r>
        <w:rPr>
          <w:noProof/>
        </w:rPr>
        <w:instrText xml:space="preserve"> PAGEREF _Toc3471647 \h </w:instrText>
      </w:r>
      <w:r>
        <w:rPr>
          <w:noProof/>
        </w:rPr>
      </w:r>
      <w:r>
        <w:rPr>
          <w:noProof/>
        </w:rPr>
        <w:fldChar w:fldCharType="separate"/>
      </w:r>
      <w:r>
        <w:rPr>
          <w:noProof/>
        </w:rPr>
        <w:t>16</w:t>
      </w:r>
      <w:r>
        <w:rPr>
          <w:noProof/>
        </w:rPr>
        <w:fldChar w:fldCharType="end"/>
      </w:r>
    </w:p>
    <w:p w14:paraId="751F6853" w14:textId="02F6AC4E" w:rsidR="00942A33" w:rsidRDefault="00942A33">
      <w:pPr>
        <w:pStyle w:val="TOC3"/>
        <w:tabs>
          <w:tab w:val="right" w:leader="dot" w:pos="9060"/>
        </w:tabs>
        <w:rPr>
          <w:rFonts w:asciiTheme="minorHAnsi" w:eastAsiaTheme="minorEastAsia" w:hAnsiTheme="minorHAnsi" w:cstheme="minorBidi"/>
          <w:noProof/>
          <w:sz w:val="22"/>
          <w:szCs w:val="22"/>
          <w:lang w:val="en-GB"/>
        </w:rPr>
      </w:pPr>
      <w:r>
        <w:rPr>
          <w:noProof/>
        </w:rPr>
        <w:t>ПОИМЕННО ОКОНЧАТЕЛНО ГЛАСУВАНЕ ВЪВ ВОДЕЩАТА КОМИСИЯ</w:t>
      </w:r>
      <w:r>
        <w:rPr>
          <w:noProof/>
        </w:rPr>
        <w:tab/>
      </w:r>
      <w:r>
        <w:rPr>
          <w:noProof/>
        </w:rPr>
        <w:fldChar w:fldCharType="begin"/>
      </w:r>
      <w:r>
        <w:rPr>
          <w:noProof/>
        </w:rPr>
        <w:instrText xml:space="preserve"> PAGEREF _Toc3471648 \h </w:instrText>
      </w:r>
      <w:r>
        <w:rPr>
          <w:noProof/>
        </w:rPr>
      </w:r>
      <w:r>
        <w:rPr>
          <w:noProof/>
        </w:rPr>
        <w:fldChar w:fldCharType="separate"/>
      </w:r>
      <w:r>
        <w:rPr>
          <w:noProof/>
        </w:rPr>
        <w:t>17</w:t>
      </w:r>
      <w:r>
        <w:rPr>
          <w:noProof/>
        </w:rPr>
        <w:fldChar w:fldCharType="end"/>
      </w:r>
    </w:p>
    <w:p w14:paraId="0E8C81B5" w14:textId="77777777" w:rsidR="00C1531C" w:rsidRPr="006F05B3" w:rsidRDefault="00C1531C">
      <w:pPr>
        <w:pStyle w:val="PageHeading"/>
      </w:pPr>
      <w:r w:rsidRPr="006F05B3">
        <w:rPr>
          <w:rFonts w:ascii="Times New Roman" w:hAnsi="Times New Roman"/>
        </w:rPr>
        <w:fldChar w:fldCharType="end"/>
      </w:r>
    </w:p>
    <w:p w14:paraId="3F58C762" w14:textId="77777777" w:rsidR="00C1531C" w:rsidRPr="006F05B3" w:rsidRDefault="00C1531C" w:rsidP="004D13BA">
      <w:pPr>
        <w:pStyle w:val="PageHeading"/>
      </w:pPr>
      <w:r w:rsidRPr="006F05B3">
        <w:br w:type="page"/>
      </w:r>
      <w:bookmarkStart w:id="1" w:name="Decision1"/>
      <w:bookmarkStart w:id="2" w:name="_Toc26759888"/>
      <w:bookmarkStart w:id="3" w:name="_Toc86200285"/>
      <w:bookmarkStart w:id="4" w:name="_Toc3471643"/>
      <w:r w:rsidRPr="006F05B3">
        <w:lastRenderedPageBreak/>
        <w:t>1. ПРЕДЛОЖЕНИЕ ЗА РЕШЕНИЕ НА ЕВРОПЕЙСКИЯ ПАРЛАМЕНТ</w:t>
      </w:r>
      <w:bookmarkEnd w:id="4"/>
    </w:p>
    <w:p w14:paraId="4BE5D125" w14:textId="77777777" w:rsidR="00C1531C" w:rsidRPr="006F05B3" w:rsidRDefault="007A4FAF">
      <w:pPr>
        <w:pStyle w:val="NormalBold"/>
      </w:pPr>
      <w:bookmarkStart w:id="5" w:name="DecisionTitle1"/>
      <w:bookmarkEnd w:id="1"/>
      <w:r w:rsidRPr="006F05B3">
        <w:t>относно освобождаването от отговорност във връзка с изпълнението на бюджета на Европейската агенция за околна среда (ЕАОС) за финансовата 2017 година</w:t>
      </w:r>
    </w:p>
    <w:bookmarkEnd w:id="5"/>
    <w:p w14:paraId="4A954A6A" w14:textId="77777777" w:rsidR="00C1531C" w:rsidRPr="006F05B3" w:rsidRDefault="007A4FAF">
      <w:pPr>
        <w:pStyle w:val="Normal12Bold"/>
      </w:pPr>
      <w:r w:rsidRPr="006F05B3">
        <w:t>(2018/2182(DEC))</w:t>
      </w:r>
    </w:p>
    <w:p w14:paraId="5C549368" w14:textId="77777777" w:rsidR="00C1531C" w:rsidRPr="006F05B3" w:rsidRDefault="007A4FAF">
      <w:pPr>
        <w:pStyle w:val="Normal12"/>
      </w:pPr>
      <w:r w:rsidRPr="006F05B3">
        <w:rPr>
          <w:i/>
        </w:rPr>
        <w:t>Европейският парламент</w:t>
      </w:r>
      <w:r w:rsidRPr="006F05B3">
        <w:t>,</w:t>
      </w:r>
    </w:p>
    <w:p w14:paraId="33A7E0E3" w14:textId="77777777" w:rsidR="00C1531C" w:rsidRPr="006F05B3" w:rsidRDefault="00C1531C">
      <w:pPr>
        <w:pStyle w:val="Normal12Hanging"/>
      </w:pPr>
      <w:r w:rsidRPr="006F05B3">
        <w:t>–</w:t>
      </w:r>
      <w:r w:rsidRPr="006F05B3">
        <w:tab/>
        <w:t>като взе предвид окончателните годишни отчети на Европейската агенция за околна среда за финансовата 2017 година,</w:t>
      </w:r>
    </w:p>
    <w:p w14:paraId="4A6B31B7" w14:textId="77777777" w:rsidR="00CA13F6" w:rsidRPr="006F05B3" w:rsidRDefault="005A6CAE" w:rsidP="00CA13F6">
      <w:pPr>
        <w:pStyle w:val="Normal12Hanging"/>
      </w:pPr>
      <w:r w:rsidRPr="006F05B3">
        <w:t>–</w:t>
      </w:r>
      <w:r w:rsidRPr="006F05B3">
        <w:tab/>
        <w:t>като взе предвид доклада на Сметната палата относно годишните отчети на Европейската агенция за околна среда за финансовата 2017 година, придружен от отговора на Агенцията</w:t>
      </w:r>
      <w:r w:rsidR="00CA13F6" w:rsidRPr="006F05B3">
        <w:rPr>
          <w:rStyle w:val="FootnoteReference"/>
        </w:rPr>
        <w:footnoteReference w:id="1"/>
      </w:r>
      <w:r w:rsidRPr="006F05B3">
        <w:t>,</w:t>
      </w:r>
    </w:p>
    <w:p w14:paraId="0D5F1DBD" w14:textId="77777777" w:rsidR="00CA13F6" w:rsidRPr="006F05B3" w:rsidRDefault="00CA13F6" w:rsidP="00CA13F6">
      <w:pPr>
        <w:pStyle w:val="Normal12Hanging"/>
      </w:pPr>
      <w:r w:rsidRPr="006F05B3">
        <w:t>–</w:t>
      </w:r>
      <w:r w:rsidRPr="006F05B3">
        <w:tab/>
        <w:t>като взе предвид декларацията за достоверност</w:t>
      </w:r>
      <w:r w:rsidRPr="006F05B3">
        <w:rPr>
          <w:rStyle w:val="FootnoteReference"/>
        </w:rPr>
        <w:footnoteReference w:id="2"/>
      </w:r>
      <w:r w:rsidRPr="006F05B3">
        <w:t xml:space="preserve"> относно надеждността и точността на отчетите, както и законосъобразността и редовността на свързаните с тях операции, предоставена от Сметната палата за финансовата 2017 година в съответствие с член 287 от Договора за функционирането на Европейския съюз,</w:t>
      </w:r>
    </w:p>
    <w:p w14:paraId="1504907D" w14:textId="284D926C" w:rsidR="00CA13F6" w:rsidRPr="006F05B3" w:rsidRDefault="00CA13F6" w:rsidP="00CA13F6">
      <w:pPr>
        <w:pStyle w:val="Normal12Hanging"/>
      </w:pPr>
      <w:r w:rsidRPr="006F05B3">
        <w:t>–</w:t>
      </w:r>
      <w:r w:rsidRPr="006F05B3">
        <w:tab/>
        <w:t>като взе предвид препоръката на Съвета от 12 февруари 2019 г. относно освобождаването от отговорност на Агенцията във връзка с изпълнението на бюджета за финансовата 2017 година (05825/2019 – C8</w:t>
      </w:r>
      <w:r w:rsidRPr="006F05B3">
        <w:noBreakHyphen/>
        <w:t>0072/2019),</w:t>
      </w:r>
    </w:p>
    <w:p w14:paraId="6B27C10E" w14:textId="77777777" w:rsidR="00CA13F6" w:rsidRPr="006F05B3" w:rsidRDefault="00CA13F6" w:rsidP="00CA13F6">
      <w:pPr>
        <w:pStyle w:val="Normal12Hanging"/>
      </w:pPr>
      <w:r w:rsidRPr="006F05B3">
        <w:t>–</w:t>
      </w:r>
      <w:r w:rsidRPr="006F05B3">
        <w:tab/>
        <w:t>като взе предвид член 319 от Договора за функционирането на Европейския съюз,</w:t>
      </w:r>
    </w:p>
    <w:p w14:paraId="6F263862" w14:textId="77777777" w:rsidR="00CA13F6" w:rsidRPr="006F05B3" w:rsidRDefault="00CA13F6" w:rsidP="00CA13F6">
      <w:pPr>
        <w:pStyle w:val="Normal12Hanging"/>
      </w:pPr>
      <w:r w:rsidRPr="006F05B3">
        <w:t>–</w:t>
      </w:r>
      <w:r w:rsidRPr="006F05B3">
        <w:tab/>
        <w:t>като взе предвид Регламент (ЕС, Евратом) № 966/2012 на Европейския парламент и на Съвета от 25 октомври 2012 г. относно финансовите правила, приложими за общия бюджет на Съюза, и за отмяна на Регламент (ЕО, Евратом) № 1605/2002</w:t>
      </w:r>
      <w:r w:rsidRPr="006F05B3">
        <w:rPr>
          <w:rStyle w:val="FootnoteReference"/>
        </w:rPr>
        <w:footnoteReference w:id="3"/>
      </w:r>
      <w:r w:rsidRPr="006F05B3">
        <w:t xml:space="preserve"> на Съвета, и по-специално член 208 от него,</w:t>
      </w:r>
    </w:p>
    <w:p w14:paraId="284E0303" w14:textId="77777777" w:rsidR="00CA13F6" w:rsidRPr="006F05B3" w:rsidRDefault="00CA13F6" w:rsidP="00CA13F6">
      <w:pPr>
        <w:pStyle w:val="Visa"/>
        <w:tabs>
          <w:tab w:val="clear" w:pos="357"/>
          <w:tab w:val="left" w:pos="720"/>
        </w:tabs>
        <w:ind w:left="567" w:hanging="567"/>
        <w:rPr>
          <w:snapToGrid w:val="0"/>
          <w:szCs w:val="24"/>
        </w:rPr>
      </w:pPr>
      <w:r w:rsidRPr="006F05B3">
        <w:rPr>
          <w:snapToGrid w:val="0"/>
          <w:szCs w:val="24"/>
        </w:rPr>
        <w:t>–</w:t>
      </w:r>
      <w:r w:rsidRPr="006F05B3">
        <w:rPr>
          <w:snapToGrid w:val="0"/>
          <w:szCs w:val="24"/>
        </w:rPr>
        <w:tab/>
        <w:t>като взе предвид Регламент (ЕС, Евратом) 2018/1046 на Европейския парламент и на Съвета от 18 юли 2018 г.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w:t>
      </w:r>
      <w:r w:rsidRPr="006F05B3">
        <w:rPr>
          <w:rStyle w:val="FootnoteReference"/>
          <w:snapToGrid w:val="0"/>
          <w:szCs w:val="24"/>
        </w:rPr>
        <w:footnoteReference w:id="4"/>
      </w:r>
      <w:r w:rsidRPr="006F05B3">
        <w:rPr>
          <w:snapToGrid w:val="0"/>
          <w:szCs w:val="24"/>
        </w:rPr>
        <w:t>, и по-специално член 70 от него,</w:t>
      </w:r>
    </w:p>
    <w:p w14:paraId="53D643DC" w14:textId="77777777" w:rsidR="00CA13F6" w:rsidRPr="006F05B3" w:rsidRDefault="00CA13F6" w:rsidP="00CA13F6">
      <w:pPr>
        <w:pStyle w:val="Normal12Hanging"/>
      </w:pPr>
      <w:r w:rsidRPr="006F05B3">
        <w:t>–</w:t>
      </w:r>
      <w:r w:rsidRPr="006F05B3">
        <w:tab/>
        <w:t>като взе предвид Регламент (ЕО) № 401/2009 на Европейския парламент и на Съвета от 23 април 2009 г. относно Европейската агенция за околна среда и Европейската мрежа за информация и наблюдение на околната среда</w:t>
      </w:r>
      <w:r w:rsidRPr="006F05B3">
        <w:rPr>
          <w:rStyle w:val="FootnoteReference"/>
        </w:rPr>
        <w:footnoteReference w:id="5"/>
      </w:r>
      <w:r w:rsidRPr="006F05B3">
        <w:t>, и по-специално член 13 от него,</w:t>
      </w:r>
    </w:p>
    <w:p w14:paraId="5DF62A7C" w14:textId="77777777" w:rsidR="00CA13F6" w:rsidRPr="006F05B3" w:rsidRDefault="00CA13F6" w:rsidP="00CA13F6">
      <w:pPr>
        <w:pStyle w:val="Normal12Hanging"/>
      </w:pPr>
      <w:r w:rsidRPr="006F05B3">
        <w:t>–</w:t>
      </w:r>
      <w:r w:rsidRPr="006F05B3">
        <w:tab/>
        <w:t>като взе предвид Делегиран регламент (ЕС) № 1271/2013 на Комисията от 30 септември 2013 г. относно рамковия Финансов регламент за органите, посочени в член 208 от Регламент (ЕС, Евратом) № 966/2012 на Европейския парламент и на Съвета</w:t>
      </w:r>
      <w:r w:rsidRPr="006F05B3">
        <w:rPr>
          <w:rStyle w:val="FootnoteReference"/>
        </w:rPr>
        <w:footnoteReference w:id="6"/>
      </w:r>
      <w:r w:rsidRPr="006F05B3">
        <w:t>, и по-специално член 108 от него,</w:t>
      </w:r>
    </w:p>
    <w:p w14:paraId="47C8AF89" w14:textId="77777777" w:rsidR="00CA13F6" w:rsidRPr="006F05B3" w:rsidRDefault="00CA13F6" w:rsidP="00CA13F6">
      <w:pPr>
        <w:pStyle w:val="Normal12Hanging"/>
      </w:pPr>
      <w:r w:rsidRPr="006F05B3">
        <w:t>–</w:t>
      </w:r>
      <w:r w:rsidRPr="006F05B3">
        <w:tab/>
        <w:t>като взе предвид член 94 и приложение IV към своя правилник,</w:t>
      </w:r>
    </w:p>
    <w:p w14:paraId="79030876" w14:textId="70DC12C0" w:rsidR="00CA13F6" w:rsidRPr="006F05B3" w:rsidRDefault="00CA13F6" w:rsidP="00CA13F6">
      <w:pPr>
        <w:pStyle w:val="Normal12Hanging"/>
      </w:pPr>
      <w:r w:rsidRPr="006F05B3">
        <w:t>–</w:t>
      </w:r>
      <w:r w:rsidRPr="006F05B3">
        <w:tab/>
        <w:t>като взе предвид доклада на комисията по бюджетен контрол и становището на комисията по околна среда, обществено здраве и безопасност на храните (A8-0127/2019),</w:t>
      </w:r>
    </w:p>
    <w:p w14:paraId="04689414" w14:textId="77777777" w:rsidR="00CC0A06" w:rsidRPr="006F05B3" w:rsidRDefault="00CA13F6" w:rsidP="00CA13F6">
      <w:pPr>
        <w:pStyle w:val="Normal12Hanging"/>
      </w:pPr>
      <w:r w:rsidRPr="006F05B3">
        <w:t>1.</w:t>
      </w:r>
      <w:r w:rsidRPr="006F05B3">
        <w:tab/>
        <w:t>освобождава от отговорност изпълнителния директор на Европейската агенция за околна среда във връзка с изпълнението на бюджета на Агенцията за финансовата 2017 година;</w:t>
      </w:r>
    </w:p>
    <w:p w14:paraId="3B056476" w14:textId="77777777" w:rsidR="00CA13F6" w:rsidRPr="006F05B3" w:rsidRDefault="00CA13F6" w:rsidP="00CA13F6">
      <w:pPr>
        <w:pStyle w:val="Normal12Hanging"/>
      </w:pPr>
      <w:r w:rsidRPr="006F05B3">
        <w:t>2.</w:t>
      </w:r>
      <w:r w:rsidRPr="006F05B3">
        <w:tab/>
        <w:t>представя своите забележки в резолюцията по-долу;</w:t>
      </w:r>
    </w:p>
    <w:p w14:paraId="58EBC840" w14:textId="77777777" w:rsidR="00C1531C" w:rsidRPr="006F05B3" w:rsidRDefault="00CA13F6" w:rsidP="00CA13F6">
      <w:pPr>
        <w:pStyle w:val="Normal12Hanging"/>
      </w:pPr>
      <w:r w:rsidRPr="006F05B3">
        <w:t>3.</w:t>
      </w:r>
      <w:r w:rsidRPr="006F05B3">
        <w:tab/>
        <w:t xml:space="preserve">възлага на своя председател да предаде настоящото решение, както и резолюцията, която е неразделна част от него, на изпълнителния директор на Европейската агенция за околна среда, на Съвета, Комисията и Сметната палата и да осигури публикуването им в </w:t>
      </w:r>
      <w:r w:rsidRPr="006F05B3">
        <w:rPr>
          <w:i/>
        </w:rPr>
        <w:t>Официален вестник на Европейския съюз</w:t>
      </w:r>
      <w:r w:rsidRPr="006F05B3">
        <w:t xml:space="preserve"> (серия L). </w:t>
      </w:r>
    </w:p>
    <w:p w14:paraId="686E20BB" w14:textId="77777777" w:rsidR="00C1531C" w:rsidRPr="006F05B3" w:rsidRDefault="00C1531C" w:rsidP="004D13BA">
      <w:pPr>
        <w:pStyle w:val="PageHeading"/>
      </w:pPr>
      <w:r w:rsidRPr="006F05B3">
        <w:br w:type="page"/>
      </w:r>
      <w:bookmarkStart w:id="6" w:name="Decision2"/>
      <w:bookmarkStart w:id="7" w:name="_Toc3471644"/>
      <w:r w:rsidRPr="006F05B3">
        <w:t>2. ПРЕДЛОЖЕНИЕ ЗА РЕШЕНИЕ НА ЕВРОПЕЙСКИЯ ПАРЛАМЕНТ</w:t>
      </w:r>
      <w:bookmarkEnd w:id="7"/>
    </w:p>
    <w:p w14:paraId="63EA8BD6" w14:textId="77777777" w:rsidR="00C1531C" w:rsidRPr="006F05B3" w:rsidRDefault="007A4FAF">
      <w:pPr>
        <w:pStyle w:val="NormalBold"/>
      </w:pPr>
      <w:bookmarkStart w:id="8" w:name="DecisionTitle2"/>
      <w:bookmarkEnd w:id="6"/>
      <w:r w:rsidRPr="006F05B3">
        <w:t>относно приключването на сметките на Европейската агенция за околна среда за финансовата 2017 година</w:t>
      </w:r>
    </w:p>
    <w:bookmarkEnd w:id="8"/>
    <w:p w14:paraId="38036BC8" w14:textId="77777777" w:rsidR="00C1531C" w:rsidRPr="006F05B3" w:rsidRDefault="007A4FAF">
      <w:pPr>
        <w:pStyle w:val="Normal12Bold"/>
      </w:pPr>
      <w:r w:rsidRPr="006F05B3">
        <w:t>(2018/2182(DEC))</w:t>
      </w:r>
    </w:p>
    <w:p w14:paraId="764AA5BB" w14:textId="77777777" w:rsidR="00C1531C" w:rsidRPr="006F05B3" w:rsidRDefault="007A4FAF">
      <w:pPr>
        <w:pStyle w:val="Normal12"/>
      </w:pPr>
      <w:r w:rsidRPr="006F05B3">
        <w:rPr>
          <w:i/>
        </w:rPr>
        <w:t>Европейският парламент</w:t>
      </w:r>
      <w:r w:rsidRPr="006F05B3">
        <w:t>,</w:t>
      </w:r>
    </w:p>
    <w:p w14:paraId="28C4DB1D" w14:textId="77777777" w:rsidR="00CA13F6" w:rsidRPr="006F05B3" w:rsidRDefault="00CA13F6" w:rsidP="00CA13F6">
      <w:pPr>
        <w:pStyle w:val="Normal12Hanging"/>
      </w:pPr>
      <w:r w:rsidRPr="006F05B3">
        <w:t>–</w:t>
      </w:r>
      <w:r w:rsidRPr="006F05B3">
        <w:tab/>
        <w:t>като взе предвид окончателните годишни отчети на Европейската агенция за околна среда за финансовата 2017 година,</w:t>
      </w:r>
    </w:p>
    <w:p w14:paraId="2316BBD5" w14:textId="77777777" w:rsidR="00CA13F6" w:rsidRPr="006F05B3" w:rsidRDefault="009A1AE4" w:rsidP="00CA13F6">
      <w:pPr>
        <w:pStyle w:val="Normal12Hanging"/>
      </w:pPr>
      <w:r w:rsidRPr="006F05B3">
        <w:t>–</w:t>
      </w:r>
      <w:r w:rsidRPr="006F05B3">
        <w:tab/>
        <w:t>като взе предвид доклада на Сметната палата относно годишните отчети на Европейската агенция за околна среда за финансовата 2017 година, придружен от отговора на Агенцията</w:t>
      </w:r>
      <w:r w:rsidR="00CA13F6" w:rsidRPr="006F05B3">
        <w:rPr>
          <w:rStyle w:val="FootnoteReference"/>
        </w:rPr>
        <w:footnoteReference w:id="7"/>
      </w:r>
      <w:r w:rsidRPr="006F05B3">
        <w:t>,</w:t>
      </w:r>
    </w:p>
    <w:p w14:paraId="3A309B1E" w14:textId="77777777" w:rsidR="00CA13F6" w:rsidRPr="006F05B3" w:rsidRDefault="00CA13F6" w:rsidP="00CA13F6">
      <w:pPr>
        <w:pStyle w:val="Normal12Hanging"/>
      </w:pPr>
      <w:r w:rsidRPr="006F05B3">
        <w:t>–</w:t>
      </w:r>
      <w:r w:rsidRPr="006F05B3">
        <w:tab/>
        <w:t>като взе предвид декларацията за достоверност</w:t>
      </w:r>
      <w:r w:rsidRPr="006F05B3">
        <w:rPr>
          <w:rStyle w:val="FootnoteReference"/>
        </w:rPr>
        <w:footnoteReference w:id="8"/>
      </w:r>
      <w:r w:rsidRPr="006F05B3">
        <w:t xml:space="preserve"> относно надеждността и точността на отчетите, както и законосъобразността и редовността на свързаните с тях операции, предоставена от Сметната палата за финансовата 2017 година в съответствие с член 287 от Договора за функционирането на Европейския съюз,</w:t>
      </w:r>
    </w:p>
    <w:p w14:paraId="75BBA556" w14:textId="4E0D8420" w:rsidR="00CA13F6" w:rsidRPr="006F05B3" w:rsidRDefault="00CA13F6" w:rsidP="00CA13F6">
      <w:pPr>
        <w:pStyle w:val="Normal12Hanging"/>
      </w:pPr>
      <w:r w:rsidRPr="006F05B3">
        <w:t>–</w:t>
      </w:r>
      <w:r w:rsidRPr="006F05B3">
        <w:tab/>
        <w:t>като взе предвид препоръката на Съвета от 12 февруари 2019 г. относно освобождаването от отговорност на Агенцията във връзка с изпълнението на бюджета за финансовата 2017 година (05825/2019 – C8</w:t>
      </w:r>
      <w:r w:rsidRPr="006F05B3">
        <w:noBreakHyphen/>
        <w:t>0072/2019),</w:t>
      </w:r>
    </w:p>
    <w:p w14:paraId="3AC2D379" w14:textId="77777777" w:rsidR="00CA13F6" w:rsidRPr="006F05B3" w:rsidRDefault="00CA13F6" w:rsidP="00CA13F6">
      <w:pPr>
        <w:pStyle w:val="Normal12Hanging"/>
      </w:pPr>
      <w:r w:rsidRPr="006F05B3">
        <w:t>–</w:t>
      </w:r>
      <w:r w:rsidRPr="006F05B3">
        <w:tab/>
        <w:t>като взе предвид член 319 от Договора за функционирането на Европейския съюз,</w:t>
      </w:r>
    </w:p>
    <w:p w14:paraId="5F378CEA" w14:textId="77777777" w:rsidR="00CA13F6" w:rsidRPr="006F05B3" w:rsidRDefault="00CA13F6" w:rsidP="00CA13F6">
      <w:pPr>
        <w:pStyle w:val="Normal12Hanging"/>
      </w:pPr>
      <w:r w:rsidRPr="006F05B3">
        <w:t>–</w:t>
      </w:r>
      <w:r w:rsidRPr="006F05B3">
        <w:tab/>
        <w:t>като взе предвид Регламент (ЕС, Евратом) № 966/2012 на Европейския парламент и на Съвета от 25 октомври 2012 г. относно финансовите правила, приложими за общия бюджет на Съюза, и за отмяна на Регламент (ЕО, Евратом) № 1605/2002</w:t>
      </w:r>
      <w:r w:rsidRPr="006F05B3">
        <w:rPr>
          <w:rStyle w:val="FootnoteReference"/>
        </w:rPr>
        <w:footnoteReference w:id="9"/>
      </w:r>
      <w:r w:rsidRPr="006F05B3">
        <w:t xml:space="preserve"> на Съвета, и по-специално член 208 от него,</w:t>
      </w:r>
    </w:p>
    <w:p w14:paraId="7125E38B" w14:textId="77777777" w:rsidR="00CA13F6" w:rsidRPr="006F05B3" w:rsidRDefault="00CA13F6" w:rsidP="00CA13F6">
      <w:pPr>
        <w:pStyle w:val="Visa"/>
        <w:tabs>
          <w:tab w:val="clear" w:pos="357"/>
          <w:tab w:val="left" w:pos="720"/>
        </w:tabs>
        <w:ind w:left="567" w:hanging="567"/>
        <w:rPr>
          <w:snapToGrid w:val="0"/>
          <w:szCs w:val="24"/>
        </w:rPr>
      </w:pPr>
      <w:r w:rsidRPr="006F05B3">
        <w:rPr>
          <w:snapToGrid w:val="0"/>
          <w:szCs w:val="24"/>
        </w:rPr>
        <w:t>–</w:t>
      </w:r>
      <w:r w:rsidRPr="006F05B3">
        <w:rPr>
          <w:snapToGrid w:val="0"/>
          <w:szCs w:val="24"/>
        </w:rPr>
        <w:tab/>
        <w:t>като взе предвид Регламент (ЕС, Евратом) 2018/1046 на Европейския парламент и на Съвета от 18 юли 2018 г.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w:t>
      </w:r>
      <w:r w:rsidRPr="006F05B3">
        <w:rPr>
          <w:rStyle w:val="FootnoteReference"/>
          <w:snapToGrid w:val="0"/>
          <w:szCs w:val="24"/>
        </w:rPr>
        <w:footnoteReference w:id="10"/>
      </w:r>
      <w:r w:rsidRPr="006F05B3">
        <w:rPr>
          <w:snapToGrid w:val="0"/>
          <w:szCs w:val="24"/>
        </w:rPr>
        <w:t>, и по-специално член 70 от него,</w:t>
      </w:r>
    </w:p>
    <w:p w14:paraId="559732F9" w14:textId="77777777" w:rsidR="00CA13F6" w:rsidRPr="006F05B3" w:rsidRDefault="00CA13F6" w:rsidP="00CA13F6">
      <w:pPr>
        <w:pStyle w:val="Normal12Hanging"/>
      </w:pPr>
      <w:r w:rsidRPr="006F05B3">
        <w:t>–</w:t>
      </w:r>
      <w:r w:rsidRPr="006F05B3">
        <w:tab/>
        <w:t>като взе предвид Регламент (ЕО) № 401/2009 на Европейския парламент и на Съвета от 23 април 2009 г. относно Европейската агенция за околна среда и Европейската мрежа за информация и наблюдение на околната среда</w:t>
      </w:r>
      <w:r w:rsidRPr="006F05B3">
        <w:rPr>
          <w:rStyle w:val="FootnoteReference"/>
        </w:rPr>
        <w:footnoteReference w:id="11"/>
      </w:r>
      <w:r w:rsidRPr="006F05B3">
        <w:t>, и по-специално член 13 от него,</w:t>
      </w:r>
    </w:p>
    <w:p w14:paraId="248B4E74" w14:textId="77777777" w:rsidR="00CA13F6" w:rsidRPr="006F05B3" w:rsidRDefault="00CA13F6" w:rsidP="00CA13F6">
      <w:pPr>
        <w:pStyle w:val="Normal12Hanging"/>
      </w:pPr>
      <w:r w:rsidRPr="006F05B3">
        <w:t>–</w:t>
      </w:r>
      <w:r w:rsidRPr="006F05B3">
        <w:tab/>
        <w:t>като взе предвид Делегиран регламент (ЕС) № 1271/2013 на Комисията от 30 септември 2013 г. относно рамковия Финансов регламент за органите, посочени в член 208 от Регламент (ЕС, Евратом) № 966/2012 на Европейския парламент и на Съвета</w:t>
      </w:r>
      <w:r w:rsidRPr="006F05B3">
        <w:rPr>
          <w:rStyle w:val="FootnoteReference"/>
        </w:rPr>
        <w:footnoteReference w:id="12"/>
      </w:r>
      <w:r w:rsidRPr="006F05B3">
        <w:t>, и по-специално член 108 от него,</w:t>
      </w:r>
    </w:p>
    <w:p w14:paraId="0F4D835F" w14:textId="77777777" w:rsidR="00CA13F6" w:rsidRPr="006F05B3" w:rsidRDefault="00CA13F6" w:rsidP="00CA13F6">
      <w:pPr>
        <w:pStyle w:val="Normal12Hanging"/>
      </w:pPr>
      <w:r w:rsidRPr="006F05B3">
        <w:t>–</w:t>
      </w:r>
      <w:r w:rsidRPr="006F05B3">
        <w:tab/>
        <w:t>като взе предвид член 94 и приложение IV към своя правилник,</w:t>
      </w:r>
    </w:p>
    <w:p w14:paraId="2BB59513" w14:textId="1B3DB3CF" w:rsidR="00CA13F6" w:rsidRPr="006F05B3" w:rsidRDefault="00CA13F6" w:rsidP="00CA13F6">
      <w:pPr>
        <w:pStyle w:val="Normal12Hanging"/>
      </w:pPr>
      <w:r w:rsidRPr="006F05B3">
        <w:t>–</w:t>
      </w:r>
      <w:r w:rsidRPr="006F05B3">
        <w:tab/>
        <w:t>като взе предвид доклада на комисията по бюджетен контрол и становището на комисията по околна среда, обществено здраве и безопасност на храните (A8-0127/2019),</w:t>
      </w:r>
    </w:p>
    <w:p w14:paraId="7024D144" w14:textId="77777777" w:rsidR="00F55DED" w:rsidRPr="006F05B3" w:rsidRDefault="00CA13F6" w:rsidP="00CA13F6">
      <w:pPr>
        <w:pStyle w:val="Normal12Hanging"/>
      </w:pPr>
      <w:r w:rsidRPr="006F05B3">
        <w:t>1.</w:t>
      </w:r>
      <w:r w:rsidRPr="006F05B3">
        <w:tab/>
        <w:t>одобрява приключването на сметките на Европейската агенция за околна среда за финансовата 2017 година;</w:t>
      </w:r>
    </w:p>
    <w:p w14:paraId="4F7D15F6" w14:textId="77777777" w:rsidR="00F55DED" w:rsidRPr="006F05B3" w:rsidRDefault="00CA13F6" w:rsidP="00F55DED">
      <w:pPr>
        <w:pStyle w:val="Normal12Hanging"/>
      </w:pPr>
      <w:r w:rsidRPr="006F05B3">
        <w:t>2.</w:t>
      </w:r>
      <w:r w:rsidRPr="006F05B3">
        <w:tab/>
        <w:t xml:space="preserve">възлага на своя председател да предаде настоящото решение на изпълнителния директор на Европейската агенция за околна среда, на Съвета, Комисията и Сметната палата и да осигури публикуването му в </w:t>
      </w:r>
      <w:r w:rsidRPr="006F05B3">
        <w:rPr>
          <w:i/>
        </w:rPr>
        <w:t>Официален вестник на Европейския съюз</w:t>
      </w:r>
      <w:r w:rsidRPr="006F05B3">
        <w:t xml:space="preserve"> (серия L).</w:t>
      </w:r>
    </w:p>
    <w:p w14:paraId="0CC06CBD" w14:textId="77777777" w:rsidR="00C1531C" w:rsidRPr="006F05B3" w:rsidRDefault="00C1531C" w:rsidP="00F55DED">
      <w:pPr>
        <w:pStyle w:val="PageHeading"/>
      </w:pPr>
      <w:r w:rsidRPr="006F05B3">
        <w:br w:type="page"/>
      </w:r>
      <w:bookmarkStart w:id="9" w:name="Resolution"/>
      <w:bookmarkStart w:id="10" w:name="_Toc3471645"/>
      <w:bookmarkEnd w:id="2"/>
      <w:bookmarkEnd w:id="3"/>
      <w:r w:rsidRPr="006F05B3">
        <w:t>3. ПРЕДЛОЖЕНИЕ ЗА РЕЗОЛЮЦИЯ НА ЕВРОПЕЙСКИЯ ПАРЛАМЕНТ,</w:t>
      </w:r>
      <w:bookmarkEnd w:id="10"/>
    </w:p>
    <w:p w14:paraId="4D18577D" w14:textId="77777777" w:rsidR="00C1531C" w:rsidRPr="006F05B3" w:rsidRDefault="007A4FAF">
      <w:pPr>
        <w:pStyle w:val="NormalBold"/>
      </w:pPr>
      <w:bookmarkStart w:id="11" w:name="ResolutionTitle"/>
      <w:bookmarkEnd w:id="9"/>
      <w:r w:rsidRPr="006F05B3">
        <w:t>съдържащо забележките, които са неразделна част от решението за освобождаване от отговорност във връзка с изпълнението на бюджета на Европейската агенция за околна среда за финансовата 2017 година</w:t>
      </w:r>
    </w:p>
    <w:bookmarkEnd w:id="11"/>
    <w:p w14:paraId="39E14588" w14:textId="77777777" w:rsidR="00C1531C" w:rsidRPr="006F05B3" w:rsidRDefault="007A4FAF">
      <w:pPr>
        <w:pStyle w:val="Normal12Bold"/>
      </w:pPr>
      <w:r w:rsidRPr="006F05B3">
        <w:t>(2018/2182(DEC))</w:t>
      </w:r>
    </w:p>
    <w:p w14:paraId="12353432" w14:textId="77777777" w:rsidR="00C1531C" w:rsidRPr="006F05B3" w:rsidRDefault="007A4FAF">
      <w:pPr>
        <w:pStyle w:val="Normal12"/>
      </w:pPr>
      <w:r w:rsidRPr="006F05B3">
        <w:rPr>
          <w:i/>
        </w:rPr>
        <w:t>Европейският парламент</w:t>
      </w:r>
      <w:r w:rsidRPr="006F05B3">
        <w:t>,</w:t>
      </w:r>
    </w:p>
    <w:p w14:paraId="1E202813" w14:textId="77777777" w:rsidR="00CA13F6" w:rsidRPr="006F05B3" w:rsidRDefault="00A35902" w:rsidP="00CA13F6">
      <w:pPr>
        <w:pStyle w:val="Normal12Hanging"/>
      </w:pPr>
      <w:r w:rsidRPr="006F05B3">
        <w:t>–</w:t>
      </w:r>
      <w:r w:rsidRPr="006F05B3">
        <w:tab/>
        <w:t>като взе предвид своето решение за освобождаване от отговорност във връзка с изпълнението на бюджета на Европейската агенция за околна среда за финансовата 2017 година,</w:t>
      </w:r>
    </w:p>
    <w:p w14:paraId="52AE266F" w14:textId="77777777" w:rsidR="00CA13F6" w:rsidRPr="006F05B3" w:rsidRDefault="00CA13F6" w:rsidP="00CA13F6">
      <w:pPr>
        <w:pStyle w:val="Normal12Hanging"/>
      </w:pPr>
      <w:r w:rsidRPr="006F05B3">
        <w:t>–</w:t>
      </w:r>
      <w:r w:rsidRPr="006F05B3">
        <w:tab/>
        <w:t>като взе предвид член 94 и приложение IV към своя правилник,</w:t>
      </w:r>
    </w:p>
    <w:p w14:paraId="7E055FBD" w14:textId="361033C6" w:rsidR="00CA13F6" w:rsidRPr="006F05B3" w:rsidRDefault="00CA13F6" w:rsidP="00CA13F6">
      <w:pPr>
        <w:pStyle w:val="Normal12Hanging"/>
      </w:pPr>
      <w:r w:rsidRPr="006F05B3">
        <w:t>–</w:t>
      </w:r>
      <w:r w:rsidRPr="006F05B3">
        <w:tab/>
        <w:t>като взе предвид доклада на комисията по бюджетен контрол и становището на комисията по околна среда, обществено здраве и безопасност на храните (A8-0127/2019),</w:t>
      </w:r>
    </w:p>
    <w:p w14:paraId="2F36D9AF" w14:textId="685D8F6D" w:rsidR="00CA13F6" w:rsidRPr="006F05B3" w:rsidRDefault="00CA13F6" w:rsidP="00CA13F6">
      <w:pPr>
        <w:spacing w:after="240"/>
        <w:ind w:left="567" w:hanging="567"/>
        <w:rPr>
          <w:szCs w:val="24"/>
        </w:rPr>
      </w:pPr>
      <w:r w:rsidRPr="006F05B3">
        <w:t>A.</w:t>
      </w:r>
      <w:r w:rsidRPr="006F05B3">
        <w:tab/>
        <w:t>като има предвид, че според отчета за приходите и разходите</w:t>
      </w:r>
      <w:r w:rsidRPr="006F05B3">
        <w:rPr>
          <w:rStyle w:val="FootnoteReference"/>
          <w:szCs w:val="24"/>
        </w:rPr>
        <w:footnoteReference w:id="13"/>
      </w:r>
      <w:r w:rsidRPr="006F05B3">
        <w:t xml:space="preserve"> на Европейската агенция за околна среда („Агенцията“) нейният окончателен бюджет за финансовата 2017 година възлиза на 70 430 306 EUR, което представлява значително увеличение от 39,44% спрямо 2016 г.; като има предвид, че увеличението беше свързано с бъдещата роля на Агенцията и възложените ѝ нови задачи; като има предвид, че бюджетът на Агенцията се осигурява главно от бюджета на Съюза (59,19%) и от вноските по конкретни споразумения, а именно програмите „Коперник“ и Европейската програма за човешки биомониторинг (40,80%);</w:t>
      </w:r>
    </w:p>
    <w:p w14:paraId="6649EA82" w14:textId="77777777" w:rsidR="00CA13F6" w:rsidRPr="006F05B3" w:rsidRDefault="00CA13F6" w:rsidP="00CA13F6">
      <w:pPr>
        <w:spacing w:after="240"/>
        <w:ind w:left="567" w:hanging="567"/>
        <w:rPr>
          <w:szCs w:val="24"/>
        </w:rPr>
      </w:pPr>
      <w:r w:rsidRPr="006F05B3">
        <w:t>Б.</w:t>
      </w:r>
      <w:r w:rsidRPr="006F05B3">
        <w:tab/>
        <w:t>като има предвид, че в своя доклад за годишните отчети на Европейската агенция за околна среда за финансовата 2017 година („доклада на Сметната палата“) Сметната палата заяви, че е получила достатъчна увереност, че годишните отчети на Агенцията са надеждни и че свързаните с тях операции са законосъобразни и редовни;</w:t>
      </w:r>
    </w:p>
    <w:p w14:paraId="3CB6788F" w14:textId="77777777" w:rsidR="00CA13F6" w:rsidRPr="006F05B3" w:rsidRDefault="00CA13F6" w:rsidP="00CA13F6">
      <w:pPr>
        <w:spacing w:after="240"/>
        <w:rPr>
          <w:b/>
          <w:i/>
          <w:szCs w:val="24"/>
        </w:rPr>
      </w:pPr>
      <w:r w:rsidRPr="006F05B3">
        <w:rPr>
          <w:b/>
          <w:i/>
          <w:szCs w:val="24"/>
        </w:rPr>
        <w:t xml:space="preserve">Бюджетно и финансово управление  </w:t>
      </w:r>
    </w:p>
    <w:p w14:paraId="3F3BDF0A" w14:textId="68542FB2" w:rsidR="00CA13F6" w:rsidRPr="006F05B3" w:rsidRDefault="00CA13F6" w:rsidP="00CA13F6">
      <w:pPr>
        <w:spacing w:after="240"/>
        <w:ind w:left="567" w:hanging="567"/>
        <w:rPr>
          <w:szCs w:val="24"/>
        </w:rPr>
      </w:pPr>
      <w:r w:rsidRPr="006F05B3">
        <w:t>1.</w:t>
      </w:r>
      <w:r w:rsidRPr="006F05B3">
        <w:tab/>
        <w:t>отбелязва със задоволство, че усилията за контрол на бюджета през финансовата 2017 година са довели до степен на изпълнение на бюджета от 99,97%, което представлява същата степен, както през 2016 г.; отбелязва, че степента на изпълнение на бюджетните кредити за плащания е 89,04%, което представлява леко намаление с 0,78% в сравнение с предходната година;</w:t>
      </w:r>
    </w:p>
    <w:p w14:paraId="76E85B58" w14:textId="1E161C41" w:rsidR="00CA13F6" w:rsidRPr="006F05B3" w:rsidRDefault="00CA13F6" w:rsidP="00CA13F6">
      <w:pPr>
        <w:spacing w:after="240"/>
        <w:ind w:left="567" w:hanging="567"/>
        <w:rPr>
          <w:b/>
          <w:i/>
          <w:szCs w:val="24"/>
        </w:rPr>
      </w:pPr>
      <w:r w:rsidRPr="006F05B3">
        <w:rPr>
          <w:b/>
          <w:i/>
          <w:szCs w:val="24"/>
        </w:rPr>
        <w:t>Анулиране на преноси</w:t>
      </w:r>
    </w:p>
    <w:p w14:paraId="4B054192" w14:textId="77777777" w:rsidR="00CA13F6" w:rsidRPr="006F05B3" w:rsidRDefault="00CA13F6" w:rsidP="00CA13F6">
      <w:pPr>
        <w:autoSpaceDE w:val="0"/>
        <w:autoSpaceDN w:val="0"/>
        <w:adjustRightInd w:val="0"/>
        <w:spacing w:after="240"/>
        <w:ind w:left="567" w:hanging="567"/>
        <w:rPr>
          <w:szCs w:val="24"/>
        </w:rPr>
      </w:pPr>
      <w:r w:rsidRPr="006F05B3">
        <w:t>2.</w:t>
      </w:r>
      <w:r w:rsidRPr="006F05B3">
        <w:tab/>
        <w:t>изразява съжаление във връзка с високото равнище на анулирани бюджетни кредити от преноси от 2016 към 2017 г. в размер на 443 566 EUR, което представлява 10,55% от общата пренесена сума и показва значително увеличение от 5,16% в сравнение с 2016 г.;</w:t>
      </w:r>
    </w:p>
    <w:p w14:paraId="23B14898" w14:textId="77777777" w:rsidR="00CA13F6" w:rsidRPr="006F05B3" w:rsidRDefault="00CA13F6" w:rsidP="00CA13F6">
      <w:pPr>
        <w:spacing w:after="240"/>
        <w:ind w:left="567" w:hanging="567"/>
        <w:rPr>
          <w:b/>
          <w:i/>
          <w:szCs w:val="24"/>
        </w:rPr>
      </w:pPr>
      <w:r w:rsidRPr="006F05B3">
        <w:rPr>
          <w:b/>
          <w:i/>
          <w:szCs w:val="24"/>
        </w:rPr>
        <w:t>Изпълнение</w:t>
      </w:r>
    </w:p>
    <w:p w14:paraId="633ABECA" w14:textId="439231A5" w:rsidR="00CA13F6" w:rsidRPr="006F05B3" w:rsidRDefault="00CA13F6" w:rsidP="00CA13F6">
      <w:pPr>
        <w:spacing w:after="240"/>
        <w:ind w:left="567" w:hanging="567"/>
        <w:rPr>
          <w:szCs w:val="24"/>
        </w:rPr>
      </w:pPr>
      <w:r w:rsidRPr="006F05B3">
        <w:t>3.</w:t>
      </w:r>
      <w:r w:rsidRPr="006F05B3">
        <w:tab/>
        <w:t>отбелязва, че Агенцията използва някои ключови показатели за ефективност (КПЕ) за оценка на добавената стойност, предоставяна от нейните дейности, както и че през 2017 г. Агенцията е подобрила управлението на качеството посредством разработването на обща структура за управление на изпълнението, определяйки КПЕ за периода 2019—2021 г.; отбелязва освен това, че Агенцията използва балансиран индекс за измерване на постигнатите подобрения в управлението на бюджета;</w:t>
      </w:r>
    </w:p>
    <w:p w14:paraId="3917A98F" w14:textId="57A27088" w:rsidR="009879A1" w:rsidRPr="006F05B3" w:rsidRDefault="00953D69" w:rsidP="009879A1">
      <w:pPr>
        <w:pStyle w:val="Normal12Hanging"/>
      </w:pPr>
      <w:r w:rsidRPr="006F05B3">
        <w:t>4.</w:t>
      </w:r>
      <w:r w:rsidRPr="006F05B3">
        <w:tab/>
        <w:t>потвърждава, че според управителния съвет на Агенцията, тя е постигнала задоволителни резултати по отношение на целите, определени в годишната работна програма за 2017 г.; отбелязва обаче, че някои дейности не са могли да бъдат изцяло осъществени поради редица обстоятелства, като например ограничени човешки ресурси или късно предоставяне на входящи данни; потвърждава, че Агенцията е продължила ефективното сътрудничество със своята Европейска мрежа за информация и наблюдение на околната среда, както и участието си, наред с другото, в Екологичната общност на знанията, семинарите на Съвместния научен комитет на ЕАОС по приоритетните за Агенцията области и Академията на ЕАОС; настоява, че капацитетът на Агенцията да реагира в отговор на развитието на политиките ще зависи от бъдещото равнище на разпределените ресурси или от прекратяването на изпълнявани понастоящем задачи;</w:t>
      </w:r>
    </w:p>
    <w:p w14:paraId="6EEED1A1" w14:textId="0DC407DF" w:rsidR="00CA13F6" w:rsidRPr="006F05B3" w:rsidRDefault="00953D69" w:rsidP="00CA13F6">
      <w:pPr>
        <w:spacing w:after="240"/>
        <w:ind w:left="567" w:hanging="567"/>
        <w:rPr>
          <w:szCs w:val="24"/>
        </w:rPr>
      </w:pPr>
      <w:r w:rsidRPr="006F05B3">
        <w:t>5.</w:t>
      </w:r>
      <w:r w:rsidRPr="006F05B3">
        <w:tab/>
        <w:t>отбелязва със загриженост, че Агенцията не споделя ресурси при припокриване на задачи с други агенции, извършващи сходни дейности; отбелязва при все това по данни от Агенцията, че тя работи непрекъснато с Комисията за определяне и постигане на съгласие относно разпределянето на задачите със съответните служби на Комисията (напр. ГД „Околна среда“, ГД „Действия по климата“, Съвместния изследователски център и Евростат); призовава Агенцията да докладва на органа по освобождаване от отговорност за развитието в това отношение;</w:t>
      </w:r>
    </w:p>
    <w:p w14:paraId="5AECF51D" w14:textId="346EB028" w:rsidR="00CA13F6" w:rsidRPr="006F05B3" w:rsidRDefault="00953D69" w:rsidP="00CA13F6">
      <w:pPr>
        <w:spacing w:after="240"/>
        <w:ind w:left="567" w:hanging="567"/>
        <w:rPr>
          <w:szCs w:val="24"/>
        </w:rPr>
      </w:pPr>
      <w:r w:rsidRPr="006F05B3">
        <w:t>6.</w:t>
      </w:r>
      <w:r w:rsidRPr="006F05B3">
        <w:tab/>
        <w:t>приема за сведение, че през 2016 г. Комисията е започнала външна оценка на Агенцията и на Европейската мрежа за информация и наблюдение на околната среда; призовава Агенцията да докладва на органа по освобождаване от отговорност относно резултатите от тази оценка;</w:t>
      </w:r>
    </w:p>
    <w:p w14:paraId="0F12976F" w14:textId="1568C693" w:rsidR="00953D69" w:rsidRPr="006F05B3" w:rsidRDefault="00953D69" w:rsidP="00953D69">
      <w:pPr>
        <w:pStyle w:val="Normal12Hanging"/>
      </w:pPr>
      <w:r w:rsidRPr="006F05B3">
        <w:t>7.</w:t>
      </w:r>
      <w:r w:rsidRPr="006F05B3">
        <w:tab/>
        <w:t>приветства качеството на крайните продукти на Агенцията, публикувани през 2017 г., като доклада относно изменението на климата, въздействието и уязвимостта в Европа (Climate change, impacts and vulnerability in Europe 2016), eвропейския индекс на качество на въздуха (European Air Quality Index) и доклада относно показателите за околната среда за 2017 г. (Environmental indicator report 2017);</w:t>
      </w:r>
    </w:p>
    <w:p w14:paraId="4F843B77" w14:textId="77777777" w:rsidR="00CA13F6" w:rsidRPr="006F05B3" w:rsidRDefault="00CA13F6" w:rsidP="00CA13F6">
      <w:pPr>
        <w:spacing w:after="240"/>
        <w:ind w:left="567" w:hanging="567"/>
        <w:rPr>
          <w:b/>
          <w:i/>
          <w:szCs w:val="24"/>
        </w:rPr>
      </w:pPr>
      <w:r w:rsidRPr="006F05B3">
        <w:rPr>
          <w:b/>
          <w:i/>
          <w:szCs w:val="24"/>
        </w:rPr>
        <w:t>Политика относно персонала</w:t>
      </w:r>
    </w:p>
    <w:p w14:paraId="1EEA2D95" w14:textId="6F96B949" w:rsidR="00CA13F6" w:rsidRPr="006F05B3" w:rsidRDefault="009879A1" w:rsidP="00CA13F6">
      <w:pPr>
        <w:spacing w:after="240"/>
        <w:ind w:left="567" w:hanging="567"/>
        <w:rPr>
          <w:rFonts w:eastAsia="Calibri"/>
          <w:szCs w:val="24"/>
        </w:rPr>
      </w:pPr>
      <w:r w:rsidRPr="006F05B3">
        <w:t>8.</w:t>
      </w:r>
      <w:r w:rsidRPr="006F05B3">
        <w:tab/>
        <w:t>отбелязва, че към 31 декември 2017 г. щатното разписание е било запълнено на 99,21%, като са били назначени 126 длъжностни лица или срочно наети служители от общо 127 длъжности, разрешени съгласно бюджета на Съюза (130 разрешени длъжности през 2016 г.); отбелязва, че освен това през 2017 г. за Агенцията са работили 66 договорно наети служители и 20 командировани национални експерти;</w:t>
      </w:r>
    </w:p>
    <w:p w14:paraId="4D921477" w14:textId="47CCCC45" w:rsidR="001616EE" w:rsidRPr="006F05B3" w:rsidRDefault="009879A1" w:rsidP="001616EE">
      <w:pPr>
        <w:pStyle w:val="Normal12Hanging"/>
      </w:pPr>
      <w:r w:rsidRPr="006F05B3">
        <w:t>9.</w:t>
      </w:r>
      <w:r w:rsidRPr="006F05B3">
        <w:tab/>
        <w:t>изразява дълбокото си съжаление по повод на дисбаланса в съотношението между половете при членовете на висшето ръководство на Агенцията, като 7 от общо 8 членове са мъже, а един е жена; изисква от Агенцията да предприеме мерки, които да гарантират по-добър баланс между половете в рамките на висшето ръководство;</w:t>
      </w:r>
    </w:p>
    <w:p w14:paraId="6837125F" w14:textId="16C55D18" w:rsidR="00CA13F6" w:rsidRPr="006F05B3" w:rsidRDefault="009879A1" w:rsidP="00CA13F6">
      <w:pPr>
        <w:spacing w:after="240"/>
        <w:ind w:left="567" w:hanging="567"/>
        <w:rPr>
          <w:szCs w:val="24"/>
        </w:rPr>
      </w:pPr>
      <w:r w:rsidRPr="006F05B3">
        <w:t>10.</w:t>
      </w:r>
      <w:r w:rsidRPr="006F05B3">
        <w:tab/>
        <w:t>отбелязва, че Агенцията е приела политика в областта на защитата на личното достойнство и борбата с тормоза; признава, че тя предлага курсове за електронно обучение и е призовала за изразяване на интерес сред членовете на персонала, които биха искали да станат доверени съветници;</w:t>
      </w:r>
    </w:p>
    <w:p w14:paraId="23C8BBED" w14:textId="2C911605" w:rsidR="00CA13F6" w:rsidRPr="006F05B3" w:rsidRDefault="009879A1" w:rsidP="00CA13F6">
      <w:pPr>
        <w:spacing w:after="240"/>
        <w:ind w:left="567" w:hanging="567"/>
        <w:rPr>
          <w:szCs w:val="24"/>
        </w:rPr>
      </w:pPr>
      <w:r w:rsidRPr="006F05B3">
        <w:t>11.</w:t>
      </w:r>
      <w:r w:rsidRPr="006F05B3">
        <w:tab/>
        <w:t>отбелязва със загриженост въз основа на доклада на Палатата, че бяха посочени няколко слабости в организираните от Агенцията процедури за набиране на персонал, които водят до липса на прозрачност и потенциално неравностойно третиране на кандидатите; отбелязва, въз основа на отговора на Агенцията, че тя предвижда да разработи своите процедури за набиране на персонал с оглед на установените слабости; призовава Агенцията да докладва на органа по освобождаване от отговорност за развитието в това отношение;</w:t>
      </w:r>
    </w:p>
    <w:p w14:paraId="66DE3EC6" w14:textId="55068F6A" w:rsidR="00CA13F6" w:rsidRPr="006F05B3" w:rsidRDefault="009879A1" w:rsidP="00CA13F6">
      <w:pPr>
        <w:spacing w:after="240"/>
        <w:ind w:left="567" w:hanging="567"/>
        <w:rPr>
          <w:szCs w:val="24"/>
        </w:rPr>
      </w:pPr>
      <w:r w:rsidRPr="006F05B3">
        <w:t>12.</w:t>
      </w:r>
      <w:r w:rsidRPr="006F05B3">
        <w:tab/>
        <w:t xml:space="preserve">приветства предложението на Палатата обявленията за свободни длъжности да се публикуват също и на уебсайта на Европейската служба за подбор на персонал с цел по-голяма публичност; разбира отговора на Агенцията относно високите разходи за писмен превод във връзка с тези публикации; в допълнение потвърждава въз основа на информация от Агенцията нейното намерение да публикува всички свои свободни работни места на общата платформа за работни места, разработена от мрежата от агенции на ЕС; </w:t>
      </w:r>
    </w:p>
    <w:p w14:paraId="771B1D4D" w14:textId="77777777" w:rsidR="00CA13F6" w:rsidRPr="006F05B3" w:rsidRDefault="00CA13F6" w:rsidP="00CA13F6">
      <w:pPr>
        <w:spacing w:after="240"/>
        <w:ind w:left="567" w:hanging="567"/>
        <w:rPr>
          <w:b/>
          <w:i/>
          <w:szCs w:val="24"/>
        </w:rPr>
      </w:pPr>
      <w:r w:rsidRPr="006F05B3">
        <w:rPr>
          <w:b/>
          <w:i/>
          <w:szCs w:val="24"/>
        </w:rPr>
        <w:t>Обществени поръчки</w:t>
      </w:r>
    </w:p>
    <w:p w14:paraId="663FF7F9" w14:textId="77B8A7ED" w:rsidR="00CA13F6" w:rsidRPr="006F05B3" w:rsidRDefault="009879A1" w:rsidP="00CA13F6">
      <w:pPr>
        <w:pStyle w:val="Default"/>
        <w:spacing w:after="240"/>
        <w:ind w:left="567" w:hanging="567"/>
        <w:rPr>
          <w:rFonts w:ascii="Times New Roman" w:eastAsia="Times New Roman" w:hAnsi="Times New Roman" w:cs="Times New Roman"/>
        </w:rPr>
      </w:pPr>
      <w:r w:rsidRPr="006F05B3">
        <w:rPr>
          <w:rFonts w:ascii="Times New Roman" w:hAnsi="Times New Roman"/>
        </w:rPr>
        <w:t>13.</w:t>
      </w:r>
      <w:r w:rsidRPr="006F05B3">
        <w:rPr>
          <w:rFonts w:ascii="Times New Roman" w:hAnsi="Times New Roman"/>
        </w:rPr>
        <w:tab/>
        <w:t>отбелязва със загриженост въз основа на доклада на Сметната палата, че са установени някои слабости в няколко процедури за възлагане на обществени поръчки, включително фактът, че в тръжните спецификации, използвани от Агенцията за различни покани за представяне на оферти, не са посочени никакви минимални изисквания за критериите за подбор по отношение на икономическите и финансовите възможности;</w:t>
      </w:r>
      <w:r w:rsidRPr="006F05B3">
        <w:t xml:space="preserve"> </w:t>
      </w:r>
      <w:r w:rsidRPr="006F05B3">
        <w:rPr>
          <w:rFonts w:ascii="Times New Roman" w:hAnsi="Times New Roman"/>
        </w:rPr>
        <w:t>отбелязва, че според отговора на Агенцията през 2017 г. тези изисквания са били променени;</w:t>
      </w:r>
    </w:p>
    <w:p w14:paraId="3F1905F7" w14:textId="020F27D0" w:rsidR="00CA13F6" w:rsidRPr="006F05B3" w:rsidRDefault="009879A1" w:rsidP="00CA13F6">
      <w:pPr>
        <w:spacing w:after="240"/>
        <w:ind w:left="573" w:hanging="573"/>
      </w:pPr>
      <w:r w:rsidRPr="006F05B3">
        <w:t>14.</w:t>
      </w:r>
      <w:r w:rsidRPr="006F05B3">
        <w:tab/>
        <w:t>отбелязва въз основа на доклада на Сметната палата, че до края на 2017 г. Агенцията все още не е използвала всички инструменти, стартирани от Комисията с цел внедряване на единно решение за електронния обмен на информация с трети страни, участващи в процедури за възлагане на обществени поръчки (електронни обществени поръчки); отбелязва въз основа на отговора на Агенцията, че тя е въвела електронно фактуриране и електронно подаване на оферти за някои процес на разширяване на обхвата до всички процедури; призовава Агенцията да въведе всички необходими инструменти за управление на процедурите за възлагане на обществени поръчки и да докладва на органа по освобождаване от отговорност относно постигнатия в тази област напредък;</w:t>
      </w:r>
    </w:p>
    <w:p w14:paraId="3E06ADE5" w14:textId="77777777" w:rsidR="00CA13F6" w:rsidRPr="006F05B3" w:rsidRDefault="00CA13F6" w:rsidP="00CA13F6">
      <w:pPr>
        <w:spacing w:after="240"/>
        <w:ind w:left="567" w:hanging="567"/>
        <w:rPr>
          <w:b/>
          <w:i/>
          <w:szCs w:val="24"/>
        </w:rPr>
      </w:pPr>
      <w:r w:rsidRPr="006F05B3">
        <w:rPr>
          <w:b/>
          <w:i/>
          <w:szCs w:val="24"/>
        </w:rPr>
        <w:t xml:space="preserve">Предотвратяване и управление на конфликтите на интереси и прозрачност </w:t>
      </w:r>
    </w:p>
    <w:p w14:paraId="214A09E1" w14:textId="1A76FBA8" w:rsidR="00CA13F6" w:rsidRPr="006F05B3" w:rsidRDefault="009879A1" w:rsidP="00CA13F6">
      <w:pPr>
        <w:spacing w:after="240"/>
        <w:ind w:left="567" w:hanging="567"/>
        <w:rPr>
          <w:szCs w:val="24"/>
        </w:rPr>
      </w:pPr>
      <w:r w:rsidRPr="006F05B3">
        <w:t>15.</w:t>
      </w:r>
      <w:r w:rsidRPr="006F05B3">
        <w:tab/>
        <w:t>отбелязва съществуващите мерки на Агенцията и текущите усилия за осигуряване на прозрачност, превенция, управление на конфликтите на интереси, както и гарантиране на защита за лицата, подаващи сигнали за нередности;</w:t>
      </w:r>
    </w:p>
    <w:p w14:paraId="3069AE7E" w14:textId="61A10C23" w:rsidR="00CA13F6" w:rsidRPr="006F05B3" w:rsidRDefault="009879A1" w:rsidP="00CA13F6">
      <w:pPr>
        <w:spacing w:after="240"/>
        <w:ind w:left="567" w:hanging="567"/>
        <w:rPr>
          <w:szCs w:val="24"/>
        </w:rPr>
      </w:pPr>
      <w:r w:rsidRPr="006F05B3">
        <w:t>16.</w:t>
      </w:r>
      <w:r w:rsidRPr="006F05B3">
        <w:tab/>
        <w:t>отбелязва, че според доклада на Палатата е необходимо да се увеличи независимостта на отговорния счетоводител, като той се постави на пряко подчинение на директора и на управителния съвет на Агенцията; отбелязва въз основа на отговора на Агенцията, че тя счита, че функционалната независимост на счетоводителя е вече гарантирана;</w:t>
      </w:r>
    </w:p>
    <w:p w14:paraId="6157E2A0" w14:textId="77777777" w:rsidR="00CA13F6" w:rsidRPr="006F05B3" w:rsidRDefault="00CA13F6" w:rsidP="00CA13F6">
      <w:pPr>
        <w:spacing w:after="240"/>
        <w:ind w:left="567" w:hanging="567"/>
        <w:rPr>
          <w:b/>
          <w:i/>
          <w:szCs w:val="24"/>
        </w:rPr>
      </w:pPr>
      <w:r w:rsidRPr="006F05B3">
        <w:rPr>
          <w:b/>
          <w:i/>
          <w:szCs w:val="24"/>
        </w:rPr>
        <w:t>Вътрешен контрол</w:t>
      </w:r>
    </w:p>
    <w:p w14:paraId="039DFF94" w14:textId="7A5B7CB8" w:rsidR="00CA13F6" w:rsidRPr="006F05B3" w:rsidRDefault="009879A1" w:rsidP="00CA13F6">
      <w:pPr>
        <w:spacing w:after="240"/>
        <w:ind w:left="567" w:hanging="567"/>
        <w:rPr>
          <w:szCs w:val="24"/>
        </w:rPr>
      </w:pPr>
      <w:r w:rsidRPr="006F05B3">
        <w:t>17.</w:t>
      </w:r>
      <w:r w:rsidRPr="006F05B3">
        <w:tab/>
        <w:t>отбелязва, че според одита на Службата за вътрешен одит на Комисията през 2015 г., от който някои препоръки все още не са изпълнени, Агенцията следва да въведе рамка за управление на данните и информацията в ежедневната си дейност и да актуализира и прилага стратегията в областта на информационните технологии, която да бъде в съответствие с новите информационни технологии и новата многогодишна работна програма; призовава Агенцията да докладва на органа по освобождаване от отговорност за мерките, предприети в това отношение;</w:t>
      </w:r>
    </w:p>
    <w:p w14:paraId="27B0576A" w14:textId="22CC8F2A" w:rsidR="009879A1" w:rsidRPr="006F05B3" w:rsidRDefault="009879A1" w:rsidP="009879A1">
      <w:pPr>
        <w:pStyle w:val="Normal12Hanging"/>
      </w:pPr>
      <w:r w:rsidRPr="006F05B3">
        <w:t>18.</w:t>
      </w:r>
      <w:r w:rsidRPr="006F05B3">
        <w:tab/>
        <w:t>отбелязва, че управителният съвет е започнал преглед на двата управленски органа на Агенцията, който се очаква да приключи до края на 2018 г.;</w:t>
      </w:r>
    </w:p>
    <w:p w14:paraId="5F627002" w14:textId="1C9CFC87" w:rsidR="00CA13F6" w:rsidRPr="006F05B3" w:rsidRDefault="00CA13F6" w:rsidP="00CA13F6">
      <w:pPr>
        <w:spacing w:after="240"/>
        <w:ind w:left="567" w:hanging="567"/>
        <w:rPr>
          <w:b/>
          <w:i/>
          <w:szCs w:val="24"/>
        </w:rPr>
      </w:pPr>
      <w:r w:rsidRPr="006F05B3">
        <w:rPr>
          <w:b/>
          <w:i/>
          <w:szCs w:val="24"/>
        </w:rPr>
        <w:t>Други коментари</w:t>
      </w:r>
    </w:p>
    <w:p w14:paraId="5E6FF31D" w14:textId="66B30065" w:rsidR="008C1C54" w:rsidRPr="006F05B3" w:rsidRDefault="009879A1" w:rsidP="00CA13F6">
      <w:pPr>
        <w:spacing w:after="240"/>
        <w:ind w:left="567" w:hanging="567"/>
      </w:pPr>
      <w:r w:rsidRPr="006F05B3">
        <w:t>19.</w:t>
      </w:r>
      <w:r w:rsidRPr="006F05B3">
        <w:tab/>
        <w:t>отбелязва, че управителният съвет на Агенцията е съгласен с предложената бъдеща роля на Агенцията и на Европейската мрежа за информация и наблюдение на околната среда във връзка с „Управлението на енергийния съюз“, „Мониторинга и докладването на емисиите на CO2 от тежкотоварни превозни средства“ и „Действията за усъвършенстване на докладването в областта на околната среда“ на Комисията и приветства предложението на Комисията за предоставяне на допълнителни ресурси на Агенцията под формата на договорно наети служители и финансови средства за предложените нови задачи на Агенцията;</w:t>
      </w:r>
    </w:p>
    <w:p w14:paraId="07CE7914" w14:textId="77777777" w:rsidR="00C05680" w:rsidRPr="006F05B3" w:rsidRDefault="00C05680" w:rsidP="00B844BC">
      <w:pPr>
        <w:pStyle w:val="Normal12Centre"/>
      </w:pPr>
      <w:r w:rsidRPr="006F05B3">
        <w:t>o</w:t>
      </w:r>
    </w:p>
    <w:p w14:paraId="1707AA11" w14:textId="77777777" w:rsidR="00B844BC" w:rsidRPr="006F05B3" w:rsidRDefault="00C05680" w:rsidP="00B844BC">
      <w:pPr>
        <w:pStyle w:val="Normal12Centre"/>
      </w:pPr>
      <w:r w:rsidRPr="006F05B3">
        <w:t>o     o</w:t>
      </w:r>
    </w:p>
    <w:p w14:paraId="1C1411B0" w14:textId="3A65B5BD" w:rsidR="00021CE7" w:rsidRPr="006F05B3" w:rsidRDefault="009879A1" w:rsidP="00021CE7">
      <w:pPr>
        <w:pStyle w:val="Normal12Hanging"/>
      </w:pPr>
      <w:r w:rsidRPr="006F05B3">
        <w:t>20.</w:t>
      </w:r>
      <w:r w:rsidRPr="006F05B3">
        <w:tab/>
        <w:t>по отношение на други забележки, придружаващи решението за освобождаване от отговорност, които имат хоризонтален характер, препраща към своята резолюция от … 2019 г.</w:t>
      </w:r>
      <w:r w:rsidR="00C05680" w:rsidRPr="006F05B3">
        <w:rPr>
          <w:rStyle w:val="FootnoteReference"/>
        </w:rPr>
        <w:footnoteReference w:id="14"/>
      </w:r>
      <w:r w:rsidRPr="006F05B3">
        <w:t xml:space="preserve"> относно резултатите от дейността, финансовото управление и контрола на агенциите.</w:t>
      </w:r>
    </w:p>
    <w:p w14:paraId="23465022" w14:textId="77777777" w:rsidR="000A2807" w:rsidRDefault="000A2807">
      <w:pPr>
        <w:autoSpaceDE w:val="0"/>
        <w:autoSpaceDN w:val="0"/>
        <w:adjustRightInd w:val="0"/>
        <w:spacing w:before="240" w:after="240"/>
        <w:jc w:val="center"/>
        <w:sectPr w:rsidR="000A2807" w:rsidSect="006F05B3">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docGrid w:linePitch="326"/>
        </w:sectPr>
      </w:pPr>
    </w:p>
    <w:p w14:paraId="5A251052" w14:textId="566839CE" w:rsidR="000A2807" w:rsidRDefault="000A2807">
      <w:pPr>
        <w:autoSpaceDE w:val="0"/>
        <w:autoSpaceDN w:val="0"/>
        <w:adjustRightInd w:val="0"/>
        <w:spacing w:before="240" w:after="240"/>
        <w:jc w:val="center"/>
      </w:pPr>
    </w:p>
    <w:p w14:paraId="5B9433D6" w14:textId="77777777" w:rsidR="000A2807" w:rsidRPr="00DF3055" w:rsidRDefault="000A2807" w:rsidP="000A2807">
      <w:pPr>
        <w:pStyle w:val="ZDate"/>
        <w:spacing w:after="480"/>
      </w:pPr>
      <w:r w:rsidRPr="00DF3055">
        <w:rPr>
          <w:rStyle w:val="HideTWBExt"/>
          <w:noProof w:val="0"/>
        </w:rPr>
        <w:t>&lt;Date&gt;</w:t>
      </w:r>
      <w:r w:rsidRPr="00DF3055">
        <w:rPr>
          <w:rStyle w:val="HideTWBInt"/>
        </w:rPr>
        <w:t>{24/01/2019}</w:t>
      </w:r>
      <w:r w:rsidRPr="00DF3055">
        <w:t>24.01.2019</w:t>
      </w:r>
      <w:r w:rsidRPr="00DF3055">
        <w:rPr>
          <w:rStyle w:val="HideTWBExt"/>
          <w:noProof w:val="0"/>
        </w:rPr>
        <w:t>&lt;/Date&gt;</w:t>
      </w:r>
    </w:p>
    <w:p w14:paraId="0758E1C4" w14:textId="6731B064" w:rsidR="000A2807" w:rsidRPr="00DF3055" w:rsidRDefault="000A2807" w:rsidP="000A2807">
      <w:pPr>
        <w:pStyle w:val="PageHeading"/>
        <w:spacing w:before="0" w:after="720"/>
      </w:pPr>
      <w:bookmarkStart w:id="12" w:name="_Toc3471646"/>
      <w:r w:rsidRPr="000A2807">
        <w:t xml:space="preserve">СТАНОВИЩЕ </w:t>
      </w:r>
      <w:r w:rsidRPr="00DF3055">
        <w:rPr>
          <w:rStyle w:val="HideTWBExt"/>
          <w:noProof w:val="0"/>
        </w:rPr>
        <w:t>&lt;CommissionResp&gt;</w:t>
      </w:r>
      <w:bookmarkStart w:id="13" w:name="OpinionToc_1"/>
      <w:r w:rsidRPr="000A2807">
        <w:rPr>
          <w:caps/>
        </w:rPr>
        <w:t>на комисията по околна среда, обществено здраве и безопасност на храните</w:t>
      </w:r>
      <w:bookmarkEnd w:id="13"/>
      <w:bookmarkEnd w:id="12"/>
      <w:r w:rsidRPr="00DF3055">
        <w:rPr>
          <w:rStyle w:val="HideTWBExt"/>
          <w:noProof w:val="0"/>
        </w:rPr>
        <w:t>&lt;/CommissionResp&gt;</w:t>
      </w:r>
    </w:p>
    <w:p w14:paraId="77D9C5EF" w14:textId="77777777" w:rsidR="000A2807" w:rsidRPr="00DF3055" w:rsidRDefault="000A2807" w:rsidP="000A2807">
      <w:pPr>
        <w:pStyle w:val="Cover24"/>
        <w:ind w:left="0"/>
      </w:pPr>
      <w:r w:rsidRPr="00DF3055">
        <w:rPr>
          <w:rStyle w:val="HideTWBExt"/>
          <w:noProof w:val="0"/>
        </w:rPr>
        <w:t>&lt;CommissionInt&gt;</w:t>
      </w:r>
      <w:r w:rsidRPr="00DF3055">
        <w:t>на вниманието на комисията по бюджетен контрол</w:t>
      </w:r>
      <w:r w:rsidRPr="00DF3055">
        <w:rPr>
          <w:rStyle w:val="HideTWBExt"/>
          <w:noProof w:val="0"/>
        </w:rPr>
        <w:t>&lt;/CommissionInt&gt;</w:t>
      </w:r>
    </w:p>
    <w:p w14:paraId="788B68B1" w14:textId="77777777" w:rsidR="000A2807" w:rsidRPr="00DF3055" w:rsidRDefault="000A2807" w:rsidP="000A2807">
      <w:pPr>
        <w:pStyle w:val="CoverNormal"/>
        <w:ind w:left="0"/>
      </w:pPr>
      <w:r w:rsidRPr="00DF3055">
        <w:rPr>
          <w:rStyle w:val="HideTWBExt"/>
          <w:noProof w:val="0"/>
        </w:rPr>
        <w:t>&lt;Titre&gt;</w:t>
      </w:r>
      <w:r w:rsidRPr="00DF3055">
        <w:t>относно освобождаването от отговорност във връзка с изпълнението на бюджета на Европейската агенция за околна среда (ЕАОС) за финансовата 2017 година</w:t>
      </w:r>
      <w:r w:rsidRPr="00DF3055">
        <w:rPr>
          <w:rStyle w:val="HideTWBExt"/>
          <w:noProof w:val="0"/>
        </w:rPr>
        <w:t>&lt;/Titre&gt;</w:t>
      </w:r>
    </w:p>
    <w:p w14:paraId="173C4CB5" w14:textId="77777777" w:rsidR="000A2807" w:rsidRPr="00DF3055" w:rsidRDefault="000A2807" w:rsidP="000A2807">
      <w:pPr>
        <w:pStyle w:val="Cover24"/>
        <w:ind w:left="0"/>
      </w:pPr>
      <w:r w:rsidRPr="00DF3055">
        <w:rPr>
          <w:rStyle w:val="HideTWBExt"/>
          <w:noProof w:val="0"/>
        </w:rPr>
        <w:t>&lt;DocRef&gt;</w:t>
      </w:r>
      <w:r w:rsidRPr="00DF3055">
        <w:t>(2018/2182(DEC))</w:t>
      </w:r>
      <w:r w:rsidRPr="00DF3055">
        <w:rPr>
          <w:rStyle w:val="HideTWBExt"/>
          <w:noProof w:val="0"/>
        </w:rPr>
        <w:t>&lt;/DocRef&gt;</w:t>
      </w:r>
    </w:p>
    <w:p w14:paraId="7F577FB6" w14:textId="77777777" w:rsidR="000A2807" w:rsidRPr="00DF3055" w:rsidRDefault="000A2807" w:rsidP="000A2807">
      <w:pPr>
        <w:pStyle w:val="Cover24"/>
        <w:ind w:left="0"/>
      </w:pPr>
      <w:r w:rsidRPr="00DF3055">
        <w:t xml:space="preserve">Докладчик по становище: </w:t>
      </w:r>
      <w:r w:rsidRPr="00DF3055">
        <w:rPr>
          <w:rStyle w:val="HideTWBExt"/>
          <w:noProof w:val="0"/>
        </w:rPr>
        <w:t>&lt;Depute&gt;</w:t>
      </w:r>
      <w:r w:rsidRPr="00DF3055">
        <w:t>Адина</w:t>
      </w:r>
      <w:r w:rsidRPr="00DF3055">
        <w:noBreakHyphen/>
        <w:t>Йоана Вълян</w:t>
      </w:r>
      <w:r w:rsidRPr="00DF3055">
        <w:rPr>
          <w:rStyle w:val="HideTWBExt"/>
          <w:noProof w:val="0"/>
        </w:rPr>
        <w:t>&lt;/Depute&gt;</w:t>
      </w:r>
    </w:p>
    <w:p w14:paraId="5ACB5FA7" w14:textId="77777777" w:rsidR="000A2807" w:rsidRPr="00DF3055" w:rsidRDefault="000A2807" w:rsidP="000A2807">
      <w:pPr>
        <w:pStyle w:val="CoverNormal"/>
        <w:ind w:left="0"/>
      </w:pPr>
    </w:p>
    <w:p w14:paraId="4721714B" w14:textId="1F76145C" w:rsidR="000A2807" w:rsidRPr="00DF3055" w:rsidRDefault="000A2807" w:rsidP="00E856D2">
      <w:pPr>
        <w:widowControl/>
        <w:tabs>
          <w:tab w:val="center" w:pos="4677"/>
        </w:tabs>
      </w:pPr>
    </w:p>
    <w:p w14:paraId="69042C1A" w14:textId="1F627250" w:rsidR="000A2807" w:rsidRPr="00DF3055" w:rsidRDefault="000A2807" w:rsidP="00E856D2">
      <w:pPr>
        <w:widowControl/>
        <w:tabs>
          <w:tab w:val="center" w:pos="4677"/>
        </w:tabs>
      </w:pPr>
    </w:p>
    <w:p w14:paraId="601CC3D3" w14:textId="2A10F23A" w:rsidR="000A2807" w:rsidRPr="00DF3055" w:rsidRDefault="000A2807">
      <w:pPr>
        <w:pStyle w:val="PageHeadingNotTOC"/>
      </w:pPr>
      <w:r w:rsidRPr="00DF3055">
        <w:t>ПРЕДЛОЖЕНИЯ</w:t>
      </w:r>
    </w:p>
    <w:p w14:paraId="4A916273" w14:textId="77777777" w:rsidR="000A2807" w:rsidRPr="00DF3055" w:rsidRDefault="000A2807" w:rsidP="008313E7">
      <w:pPr>
        <w:pStyle w:val="Normal12"/>
      </w:pPr>
      <w:r w:rsidRPr="00DF3055">
        <w:t>Комисията по околна среда, обществено здраве и безопасност на храните приканва водещата комисия по бюджетен контрол да включи в предложението за резолюция, което ще приеме, следните предложения:</w:t>
      </w:r>
    </w:p>
    <w:p w14:paraId="467AA5BA" w14:textId="77777777" w:rsidR="000A2807" w:rsidRPr="00DF3055" w:rsidRDefault="000A2807" w:rsidP="001D6AA3">
      <w:pPr>
        <w:pStyle w:val="Normal12Hanging"/>
      </w:pPr>
      <w:bookmarkStart w:id="14" w:name="restart"/>
      <w:r w:rsidRPr="00DF3055">
        <w:t>1.</w:t>
      </w:r>
      <w:r w:rsidRPr="00DF3055">
        <w:tab/>
        <w:t>отбелязва, че през 2017 г. общият бюджет на Европейската агенция за околна среда („Агенцията“) възлиза на 70 621 793 EUR (+40% спрямо 2016 г.), от които 36 309 240 EUR (запазено равнище спрямо 2016 г.) са осигурени чрез общия бюджет на Европейския съюз; отбелязва, че нарастването на бюджета се дължи на увеличаване на финансирането, получено в подкрепа на проекти на Съюза, основно програмата „Коперник“;</w:t>
      </w:r>
    </w:p>
    <w:p w14:paraId="6A34A324" w14:textId="77777777" w:rsidR="000A2807" w:rsidRPr="00DF3055" w:rsidRDefault="000A2807" w:rsidP="001D6AA3">
      <w:pPr>
        <w:pStyle w:val="Normal12Hanging"/>
      </w:pPr>
      <w:r w:rsidRPr="00DF3055">
        <w:t>2.</w:t>
      </w:r>
      <w:r w:rsidRPr="00DF3055">
        <w:tab/>
        <w:t>отбелязва, че усилията на Агенцията за мониторинг на бюджета са довели до 99,9-процентно изпълнение на бюджета по отношение на предоставените кредити от основния бюджет (субсидия от Съюза и вноски от други държави членки);</w:t>
      </w:r>
    </w:p>
    <w:p w14:paraId="00637C5D" w14:textId="77777777" w:rsidR="000A2807" w:rsidRPr="00DF3055" w:rsidRDefault="000A2807" w:rsidP="001D6AA3">
      <w:pPr>
        <w:pStyle w:val="Normal12Hanging"/>
      </w:pPr>
      <w:r w:rsidRPr="00DF3055">
        <w:t>3.</w:t>
      </w:r>
      <w:r w:rsidRPr="00DF3055">
        <w:tab/>
        <w:t>приветства качеството на крайните продукти на Агенцията, публикувани през 2017 г., като доклада относно изменението на климата, въздействието и уязвимостта в Европа (</w:t>
      </w:r>
      <w:r w:rsidRPr="00DF3055">
        <w:rPr>
          <w:i/>
        </w:rPr>
        <w:t>Climate change, impacts and vulnerability in Europe 2016</w:t>
      </w:r>
      <w:r w:rsidRPr="00DF3055">
        <w:t>), eвропейския индекс на качество на въздуха (</w:t>
      </w:r>
      <w:r w:rsidRPr="00DF3055">
        <w:rPr>
          <w:i/>
        </w:rPr>
        <w:t>European Air Quality Index</w:t>
      </w:r>
      <w:r w:rsidRPr="00DF3055">
        <w:t>) и доклада относно показателите за околната среда за 2017 г. (</w:t>
      </w:r>
      <w:r w:rsidRPr="00DF3055">
        <w:rPr>
          <w:i/>
        </w:rPr>
        <w:t>Environmental indicator report 2017</w:t>
      </w:r>
      <w:r w:rsidRPr="00DF3055">
        <w:t>);</w:t>
      </w:r>
    </w:p>
    <w:p w14:paraId="03A6BEED" w14:textId="77777777" w:rsidR="000A2807" w:rsidRPr="00DF3055" w:rsidRDefault="000A2807" w:rsidP="001D6AA3">
      <w:pPr>
        <w:pStyle w:val="Normal12Hanging"/>
      </w:pPr>
      <w:r w:rsidRPr="00DF3055">
        <w:t>4.</w:t>
      </w:r>
      <w:r w:rsidRPr="00DF3055">
        <w:tab/>
        <w:t>изразява съжаление, че Агенцията е изправена пред нарастващи предизвикателства при постигането на целите, определени в многогодишната ѝ работна програма, поради силно ограничените ресурси и че вследствие на това някои крайни продукти не са могли да бъдат предоставени през 2017 г.; настоява, че капацитетът на Агенцията да реагира в отговор на развитието на политиките ще зависи от бъдещото равнище на разпределените ресурси или от прекратяването на изпълнявани понастоящем задачи;</w:t>
      </w:r>
    </w:p>
    <w:p w14:paraId="2EF733FC" w14:textId="77777777" w:rsidR="000A2807" w:rsidRPr="00DF3055" w:rsidRDefault="000A2807" w:rsidP="001D6AA3">
      <w:pPr>
        <w:pStyle w:val="Normal12Hanging"/>
      </w:pPr>
      <w:r w:rsidRPr="00DF3055">
        <w:t>5.</w:t>
      </w:r>
      <w:r w:rsidRPr="00DF3055">
        <w:tab/>
        <w:t>отбелязва приемането през юни 2017 г. на нова политика за защита на личното достойнство и за предотвратяване на психическия и сексуалния тормоз;</w:t>
      </w:r>
    </w:p>
    <w:p w14:paraId="5C922100" w14:textId="77777777" w:rsidR="000A2807" w:rsidRPr="00DF3055" w:rsidRDefault="000A2807" w:rsidP="001D6AA3">
      <w:pPr>
        <w:pStyle w:val="Normal12Hanging"/>
      </w:pPr>
      <w:r w:rsidRPr="00DF3055">
        <w:t>6.</w:t>
      </w:r>
      <w:r w:rsidRPr="00DF3055">
        <w:tab/>
        <w:t>посочва слабостите, установени от Сметната палата („Палатата“) в процедурите за набиране на персонал, организирани от Агенцията, и изисква от Агенцията да повиши прозрачността и да осигури равно третиране на кандидатите;</w:t>
      </w:r>
    </w:p>
    <w:p w14:paraId="6D08D779" w14:textId="77777777" w:rsidR="000A2807" w:rsidRPr="00DF3055" w:rsidRDefault="000A2807" w:rsidP="001D6AA3">
      <w:pPr>
        <w:pStyle w:val="Normal12Hanging"/>
      </w:pPr>
      <w:r w:rsidRPr="00DF3055">
        <w:t>7.</w:t>
      </w:r>
      <w:r w:rsidRPr="00DF3055">
        <w:tab/>
        <w:t>отбелязва, че управителният съвет е започнал преглед на двата управленски органа на Агенцията, който се очаква да приключи до края на 2018 г.;</w:t>
      </w:r>
    </w:p>
    <w:p w14:paraId="073F36A5" w14:textId="77777777" w:rsidR="000A2807" w:rsidRPr="00DF3055" w:rsidRDefault="000A2807" w:rsidP="001D6AA3">
      <w:pPr>
        <w:pStyle w:val="Normal12Hanging"/>
      </w:pPr>
      <w:r w:rsidRPr="00DF3055">
        <w:t>8.</w:t>
      </w:r>
      <w:r w:rsidRPr="00DF3055">
        <w:tab/>
        <w:t>приветства факта, че Палатата е заявила, че е получила достатъчна увереност, че годишните отчети на Агенцията за 2017 г. са надеждни и че свързаните с тях операции са законосъобразни и редовни;</w:t>
      </w:r>
    </w:p>
    <w:p w14:paraId="1F200AD2" w14:textId="77777777" w:rsidR="000A2807" w:rsidRPr="00DF3055" w:rsidRDefault="000A2807" w:rsidP="00535BF5">
      <w:pPr>
        <w:pStyle w:val="Normal12Hanging"/>
      </w:pPr>
      <w:r w:rsidRPr="00DF3055">
        <w:t>9.</w:t>
      </w:r>
      <w:r w:rsidRPr="00DF3055">
        <w:tab/>
        <w:t>препоръчва, въз основа на наличните факти, освобождаване от отговорност на изпълнителния директор на Европейската агенция за околна среда във връзка с изпълнението на бюджета на Агенцията за финансовата 2017 година.</w:t>
      </w:r>
      <w:bookmarkEnd w:id="14"/>
    </w:p>
    <w:p w14:paraId="2B4BDA94" w14:textId="77777777" w:rsidR="000A2807" w:rsidRPr="00DF3055" w:rsidRDefault="000A2807" w:rsidP="00E23FF1">
      <w:pPr>
        <w:pStyle w:val="PageHeadingNotTOC"/>
      </w:pPr>
      <w:r w:rsidRPr="00DF3055">
        <w:br w:type="page"/>
        <w:t>ИНФОРМАЦИЯ ОТНОСНО ПРИЕМАНЕТО В ПОДПОМАГАЩАТА КОМИСИЯ</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0A2807" w:rsidRPr="00DF3055" w14:paraId="4B19BACC"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80D33C3" w14:textId="77777777" w:rsidR="000A2807" w:rsidRPr="00DF3055" w:rsidRDefault="000A2807">
            <w:pPr>
              <w:autoSpaceDE w:val="0"/>
              <w:autoSpaceDN w:val="0"/>
              <w:adjustRightInd w:val="0"/>
              <w:rPr>
                <w:b/>
                <w:bCs/>
                <w:color w:val="000000"/>
                <w:sz w:val="20"/>
              </w:rPr>
            </w:pPr>
            <w:r w:rsidRPr="00DF3055">
              <w:rPr>
                <w:b/>
                <w:bCs/>
                <w:color w:val="000000"/>
                <w:sz w:val="20"/>
              </w:rPr>
              <w:t>Дата на приемане</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D878B11" w14:textId="77777777" w:rsidR="000A2807" w:rsidRPr="00DF3055" w:rsidRDefault="000A2807">
            <w:pPr>
              <w:autoSpaceDE w:val="0"/>
              <w:autoSpaceDN w:val="0"/>
              <w:adjustRightInd w:val="0"/>
              <w:rPr>
                <w:color w:val="000000"/>
                <w:sz w:val="20"/>
              </w:rPr>
            </w:pPr>
            <w:r w:rsidRPr="00DF3055">
              <w:rPr>
                <w:color w:val="000000"/>
                <w:sz w:val="20"/>
              </w:rPr>
              <w:t>22.1.2019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3EEF319" w14:textId="77777777" w:rsidR="000A2807" w:rsidRPr="00DF3055" w:rsidRDefault="000A280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0F103CF" w14:textId="77777777" w:rsidR="000A2807" w:rsidRPr="00DF3055" w:rsidRDefault="000A280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92C1476" w14:textId="77777777" w:rsidR="000A2807" w:rsidRPr="00DF3055" w:rsidRDefault="000A2807">
            <w:pPr>
              <w:autoSpaceDE w:val="0"/>
              <w:autoSpaceDN w:val="0"/>
              <w:adjustRightInd w:val="0"/>
              <w:rPr>
                <w:rFonts w:ascii="sans-serif" w:hAnsi="sans-serif" w:cs="sans-serif"/>
                <w:color w:val="000000"/>
                <w:szCs w:val="24"/>
              </w:rPr>
            </w:pPr>
          </w:p>
        </w:tc>
      </w:tr>
      <w:tr w:rsidR="000A2807" w:rsidRPr="00DF3055" w14:paraId="452FB093"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5200C56" w14:textId="77777777" w:rsidR="000A2807" w:rsidRPr="00DF3055" w:rsidRDefault="000A2807">
            <w:pPr>
              <w:autoSpaceDE w:val="0"/>
              <w:autoSpaceDN w:val="0"/>
              <w:adjustRightInd w:val="0"/>
              <w:rPr>
                <w:b/>
                <w:bCs/>
                <w:color w:val="000000"/>
                <w:sz w:val="20"/>
              </w:rPr>
            </w:pPr>
            <w:r w:rsidRPr="00DF3055">
              <w:rPr>
                <w:b/>
                <w:bCs/>
                <w:color w:val="000000"/>
                <w:sz w:val="20"/>
              </w:rPr>
              <w:t>Резултат от окончателното гласуване</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9860C1F" w14:textId="77777777" w:rsidR="000A2807" w:rsidRPr="00DF3055" w:rsidRDefault="000A2807">
            <w:pPr>
              <w:autoSpaceDE w:val="0"/>
              <w:autoSpaceDN w:val="0"/>
              <w:adjustRightInd w:val="0"/>
              <w:rPr>
                <w:color w:val="000000"/>
                <w:sz w:val="20"/>
              </w:rPr>
            </w:pPr>
            <w:r w:rsidRPr="00DF3055">
              <w:rPr>
                <w:color w:val="000000"/>
                <w:sz w:val="20"/>
              </w:rPr>
              <w:t>+:</w:t>
            </w:r>
          </w:p>
          <w:p w14:paraId="168BC2AD" w14:textId="77777777" w:rsidR="000A2807" w:rsidRPr="00DF3055" w:rsidRDefault="000A2807">
            <w:pPr>
              <w:autoSpaceDE w:val="0"/>
              <w:autoSpaceDN w:val="0"/>
              <w:adjustRightInd w:val="0"/>
              <w:rPr>
                <w:color w:val="000000"/>
                <w:sz w:val="20"/>
              </w:rPr>
            </w:pPr>
            <w:r w:rsidRPr="00DF3055">
              <w:rPr>
                <w:color w:val="000000"/>
                <w:sz w:val="20"/>
              </w:rPr>
              <w:t>–:</w:t>
            </w:r>
          </w:p>
          <w:p w14:paraId="0AB83048" w14:textId="77777777" w:rsidR="000A2807" w:rsidRPr="00DF3055" w:rsidRDefault="000A2807">
            <w:pPr>
              <w:autoSpaceDE w:val="0"/>
              <w:autoSpaceDN w:val="0"/>
              <w:adjustRightInd w:val="0"/>
              <w:rPr>
                <w:color w:val="000000"/>
                <w:sz w:val="20"/>
              </w:rPr>
            </w:pPr>
            <w:r w:rsidRPr="00DF3055">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720EDEE" w14:textId="77777777" w:rsidR="000A2807" w:rsidRPr="00DF3055" w:rsidRDefault="000A2807">
            <w:pPr>
              <w:autoSpaceDE w:val="0"/>
              <w:autoSpaceDN w:val="0"/>
              <w:adjustRightInd w:val="0"/>
              <w:rPr>
                <w:color w:val="000000"/>
                <w:sz w:val="20"/>
              </w:rPr>
            </w:pPr>
            <w:r w:rsidRPr="00DF3055">
              <w:rPr>
                <w:color w:val="000000"/>
                <w:sz w:val="20"/>
              </w:rPr>
              <w:t>49</w:t>
            </w:r>
          </w:p>
          <w:p w14:paraId="2554B102" w14:textId="77777777" w:rsidR="000A2807" w:rsidRPr="00DF3055" w:rsidRDefault="000A2807">
            <w:pPr>
              <w:autoSpaceDE w:val="0"/>
              <w:autoSpaceDN w:val="0"/>
              <w:adjustRightInd w:val="0"/>
              <w:rPr>
                <w:color w:val="000000"/>
                <w:sz w:val="20"/>
              </w:rPr>
            </w:pPr>
            <w:r w:rsidRPr="00DF3055">
              <w:rPr>
                <w:color w:val="000000"/>
                <w:sz w:val="20"/>
              </w:rPr>
              <w:t>6</w:t>
            </w:r>
          </w:p>
          <w:p w14:paraId="3D1762A2" w14:textId="77777777" w:rsidR="000A2807" w:rsidRPr="00DF3055" w:rsidRDefault="000A2807">
            <w:pPr>
              <w:autoSpaceDE w:val="0"/>
              <w:autoSpaceDN w:val="0"/>
              <w:adjustRightInd w:val="0"/>
              <w:rPr>
                <w:color w:val="000000"/>
                <w:sz w:val="20"/>
              </w:rPr>
            </w:pPr>
            <w:r w:rsidRPr="00DF3055">
              <w:rPr>
                <w:color w:val="000000"/>
                <w:sz w:val="20"/>
              </w:rPr>
              <w:t>1</w:t>
            </w:r>
          </w:p>
        </w:tc>
      </w:tr>
      <w:tr w:rsidR="000A2807" w:rsidRPr="00DF3055" w14:paraId="689ADDAE"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195DB6E" w14:textId="77777777" w:rsidR="000A2807" w:rsidRPr="00DF3055" w:rsidRDefault="000A2807">
            <w:pPr>
              <w:autoSpaceDE w:val="0"/>
              <w:autoSpaceDN w:val="0"/>
              <w:adjustRightInd w:val="0"/>
              <w:rPr>
                <w:b/>
                <w:bCs/>
                <w:color w:val="000000"/>
                <w:sz w:val="20"/>
              </w:rPr>
            </w:pPr>
            <w:r w:rsidRPr="00DF3055">
              <w:rPr>
                <w:b/>
                <w:bCs/>
                <w:color w:val="000000"/>
                <w:sz w:val="20"/>
              </w:rPr>
              <w:t>Членове, присъствали на окончателното гласуване</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D0FF79B" w14:textId="77777777" w:rsidR="000A2807" w:rsidRPr="00DF3055" w:rsidRDefault="000A2807">
            <w:pPr>
              <w:autoSpaceDE w:val="0"/>
              <w:autoSpaceDN w:val="0"/>
              <w:adjustRightInd w:val="0"/>
              <w:rPr>
                <w:color w:val="000000"/>
                <w:sz w:val="20"/>
              </w:rPr>
            </w:pPr>
            <w:r w:rsidRPr="00DF3055">
              <w:rPr>
                <w:color w:val="000000"/>
                <w:sz w:val="20"/>
              </w:rPr>
              <w:t>Margrete Auken, Pilar Ayuso, Catherine Bearder, Ivo Belet, Simona Bonafè, Biljana Borzan, Paul Brannen, Soledad Cabezón Ruiz, Nessa Childers, Birgit Collin-Langen, Miriam Dalli, Seb Dance, Angélique Delahaye, Mark Demesmaeker, Stefan Eck, Bas Eickhout, José Inácio Faria, Karl-Heinz Florenz, Francesc Gambús, Elisabetta Gardini, Arne Gericke, Jens Gieseke, Julie Girling, Sylvie Goddyn, Françoise Grossetête, Jytte Guteland, Anneli Jäätteenmäki, Jean-François Jalkh, Benedek Jávor, Kateřina Konečná, Urszula Krupa, Peter Liese, Valentinas Mazuronis, Susanne Melior, Rory Palmer, Gilles Pargneaux, Bolesław G. Piecha, Pavel Poc, John Procter, Frédérique Ries, Daciana Octavia Sârbu, Annie Schreijer-Pierik, Ivica Tolić, Nils Torvalds, Adina-Ioana Vălean, Jadwiga Wiśniewska, Damiano Zoffoli</w:t>
            </w:r>
          </w:p>
        </w:tc>
      </w:tr>
      <w:tr w:rsidR="000A2807" w:rsidRPr="00DF3055" w14:paraId="45762892"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8375D77" w14:textId="77777777" w:rsidR="000A2807" w:rsidRPr="00DF3055" w:rsidRDefault="000A2807">
            <w:pPr>
              <w:autoSpaceDE w:val="0"/>
              <w:autoSpaceDN w:val="0"/>
              <w:adjustRightInd w:val="0"/>
              <w:rPr>
                <w:b/>
                <w:bCs/>
                <w:color w:val="000000"/>
                <w:sz w:val="20"/>
              </w:rPr>
            </w:pPr>
            <w:r w:rsidRPr="00DF3055">
              <w:rPr>
                <w:b/>
                <w:bCs/>
                <w:color w:val="000000"/>
                <w:sz w:val="20"/>
              </w:rPr>
              <w:t>Заместници, присъствали на окончателното гласуване</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F095E5F" w14:textId="77777777" w:rsidR="000A2807" w:rsidRPr="00DF3055" w:rsidRDefault="000A2807">
            <w:pPr>
              <w:autoSpaceDE w:val="0"/>
              <w:autoSpaceDN w:val="0"/>
              <w:adjustRightInd w:val="0"/>
              <w:rPr>
                <w:color w:val="000000"/>
                <w:sz w:val="20"/>
              </w:rPr>
            </w:pPr>
            <w:r w:rsidRPr="00DF3055">
              <w:rPr>
                <w:color w:val="000000"/>
                <w:sz w:val="20"/>
              </w:rPr>
              <w:t>Cristian-Silviu Buşoi, Christophe Hansen, Martin Häusling, Anja Hazekamp, Jan Huitema, Tilly Metz, Bart Staes, Tiemo Wölken</w:t>
            </w:r>
          </w:p>
        </w:tc>
      </w:tr>
      <w:tr w:rsidR="000A2807" w:rsidRPr="00DF3055" w14:paraId="201E03D4"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0FF3C82" w14:textId="77777777" w:rsidR="000A2807" w:rsidRPr="00DF3055" w:rsidRDefault="000A2807">
            <w:pPr>
              <w:autoSpaceDE w:val="0"/>
              <w:autoSpaceDN w:val="0"/>
              <w:adjustRightInd w:val="0"/>
              <w:rPr>
                <w:b/>
                <w:bCs/>
                <w:color w:val="000000"/>
                <w:sz w:val="20"/>
              </w:rPr>
            </w:pPr>
            <w:r w:rsidRPr="00DF3055">
              <w:rPr>
                <w:b/>
                <w:bCs/>
                <w:color w:val="000000"/>
                <w:sz w:val="20"/>
              </w:rPr>
              <w:t>Заместници (чл. 200, пар. 2), присъствали на окончателното гласуване</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AC12E67" w14:textId="77777777" w:rsidR="000A2807" w:rsidRPr="00DF3055" w:rsidRDefault="000A2807">
            <w:pPr>
              <w:autoSpaceDE w:val="0"/>
              <w:autoSpaceDN w:val="0"/>
              <w:adjustRightInd w:val="0"/>
              <w:rPr>
                <w:color w:val="000000"/>
                <w:sz w:val="20"/>
              </w:rPr>
            </w:pPr>
            <w:r w:rsidRPr="00DF3055">
              <w:rPr>
                <w:color w:val="000000"/>
                <w:sz w:val="20"/>
              </w:rPr>
              <w:t>Olle Ludvigsson</w:t>
            </w:r>
          </w:p>
        </w:tc>
      </w:tr>
    </w:tbl>
    <w:p w14:paraId="3A85B0C3" w14:textId="77777777" w:rsidR="000A2807" w:rsidRPr="00DF3055" w:rsidRDefault="000A2807">
      <w:pPr>
        <w:autoSpaceDE w:val="0"/>
        <w:autoSpaceDN w:val="0"/>
        <w:adjustRightInd w:val="0"/>
        <w:rPr>
          <w:rFonts w:ascii="Arial" w:hAnsi="Arial" w:cs="Arial"/>
          <w:szCs w:val="24"/>
        </w:rPr>
      </w:pPr>
    </w:p>
    <w:p w14:paraId="35DAED07" w14:textId="77777777" w:rsidR="000A2807" w:rsidRPr="00DF3055" w:rsidRDefault="000A2807" w:rsidP="00E23FF1"/>
    <w:p w14:paraId="2AC3E442" w14:textId="77777777" w:rsidR="000A2807" w:rsidRPr="00DF3055" w:rsidRDefault="000A2807" w:rsidP="006154CE">
      <w:pPr>
        <w:pStyle w:val="PageHeadingNotTOC"/>
      </w:pPr>
      <w:r w:rsidRPr="00DF3055">
        <w:br w:type="page"/>
        <w:t xml:space="preserve"> </w:t>
      </w:r>
    </w:p>
    <w:p w14:paraId="38189317" w14:textId="77777777" w:rsidR="000A2807" w:rsidRPr="00DF3055" w:rsidRDefault="000A2807" w:rsidP="00C2406B">
      <w:pPr>
        <w:pStyle w:val="PageHeadingNotTOC"/>
      </w:pPr>
      <w:r w:rsidRPr="00DF3055">
        <w:t>ПОИМЕННО ОКОНЧАТЕЛНО ГЛАСУВАНЕ В ПОДПОМАГАЩАТА КОМИСИЯ</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A2807" w:rsidRPr="00DF3055" w14:paraId="53E7B021" w14:textId="77777777" w:rsidTr="008920AC">
        <w:trPr>
          <w:cantSplit/>
        </w:trPr>
        <w:tc>
          <w:tcPr>
            <w:tcW w:w="1701" w:type="dxa"/>
            <w:shd w:val="pct10" w:color="000000" w:fill="FFFFFF"/>
            <w:vAlign w:val="center"/>
          </w:tcPr>
          <w:p w14:paraId="21CFAE67" w14:textId="77777777" w:rsidR="000A2807" w:rsidRPr="00DF3055" w:rsidRDefault="000A2807" w:rsidP="008920AC">
            <w:pPr>
              <w:spacing w:before="120" w:after="120"/>
              <w:jc w:val="center"/>
              <w:rPr>
                <w:b/>
                <w:sz w:val="20"/>
              </w:rPr>
            </w:pPr>
            <w:r w:rsidRPr="00DF3055">
              <w:rPr>
                <w:b/>
                <w:sz w:val="20"/>
              </w:rPr>
              <w:t>49</w:t>
            </w:r>
          </w:p>
        </w:tc>
        <w:tc>
          <w:tcPr>
            <w:tcW w:w="7371" w:type="dxa"/>
            <w:shd w:val="pct10" w:color="000000" w:fill="FFFFFF"/>
          </w:tcPr>
          <w:p w14:paraId="37625F1D" w14:textId="77777777" w:rsidR="000A2807" w:rsidRPr="00DF3055" w:rsidRDefault="000A2807" w:rsidP="008920AC">
            <w:pPr>
              <w:spacing w:before="120" w:after="120"/>
              <w:jc w:val="center"/>
              <w:rPr>
                <w:rFonts w:ascii="Arial" w:hAnsi="Arial" w:cs="Arial"/>
                <w:b/>
                <w:sz w:val="28"/>
                <w:szCs w:val="28"/>
              </w:rPr>
            </w:pPr>
            <w:r w:rsidRPr="00DF3055">
              <w:rPr>
                <w:rFonts w:ascii="Arial" w:hAnsi="Arial"/>
                <w:b/>
                <w:sz w:val="28"/>
                <w:szCs w:val="28"/>
              </w:rPr>
              <w:t>+</w:t>
            </w:r>
          </w:p>
        </w:tc>
      </w:tr>
      <w:tr w:rsidR="000A2807" w:rsidRPr="00DF3055" w14:paraId="16A8D85C" w14:textId="77777777" w:rsidTr="008920AC">
        <w:trPr>
          <w:cantSplit/>
        </w:trPr>
        <w:tc>
          <w:tcPr>
            <w:tcW w:w="1701" w:type="dxa"/>
            <w:shd w:val="clear" w:color="auto" w:fill="FFFFFF"/>
          </w:tcPr>
          <w:p w14:paraId="7A5CBE99" w14:textId="77777777" w:rsidR="000A2807" w:rsidRPr="00DF3055" w:rsidRDefault="000A2807" w:rsidP="008920AC">
            <w:pPr>
              <w:spacing w:before="120" w:after="120"/>
              <w:rPr>
                <w:sz w:val="20"/>
              </w:rPr>
            </w:pPr>
            <w:r w:rsidRPr="00DF3055">
              <w:rPr>
                <w:sz w:val="20"/>
              </w:rPr>
              <w:t>ALDE</w:t>
            </w:r>
          </w:p>
        </w:tc>
        <w:tc>
          <w:tcPr>
            <w:tcW w:w="7371" w:type="dxa"/>
            <w:shd w:val="clear" w:color="auto" w:fill="FFFFFF"/>
          </w:tcPr>
          <w:p w14:paraId="5308E0E7" w14:textId="77777777" w:rsidR="000A2807" w:rsidRPr="00DF3055" w:rsidRDefault="000A2807" w:rsidP="008920AC">
            <w:pPr>
              <w:spacing w:before="120" w:after="120"/>
              <w:rPr>
                <w:sz w:val="20"/>
              </w:rPr>
            </w:pPr>
            <w:r w:rsidRPr="00DF3055">
              <w:rPr>
                <w:sz w:val="20"/>
              </w:rPr>
              <w:t>Catherine Bearder, Jan Huitema, Anneli Jäätteenmäki, Valentinas Mazuronis, Frédérique Ries, Nils Torvalds</w:t>
            </w:r>
          </w:p>
        </w:tc>
      </w:tr>
      <w:tr w:rsidR="000A2807" w:rsidRPr="00DF3055" w14:paraId="37518403" w14:textId="77777777" w:rsidTr="008920AC">
        <w:trPr>
          <w:cantSplit/>
        </w:trPr>
        <w:tc>
          <w:tcPr>
            <w:tcW w:w="1701" w:type="dxa"/>
            <w:shd w:val="clear" w:color="auto" w:fill="FFFFFF"/>
          </w:tcPr>
          <w:p w14:paraId="6680FE1D" w14:textId="77777777" w:rsidR="000A2807" w:rsidRPr="00DF3055" w:rsidRDefault="000A2807" w:rsidP="008920AC">
            <w:pPr>
              <w:spacing w:before="120" w:after="120"/>
              <w:rPr>
                <w:sz w:val="20"/>
              </w:rPr>
            </w:pPr>
            <w:r w:rsidRPr="00DF3055">
              <w:rPr>
                <w:sz w:val="20"/>
              </w:rPr>
              <w:t>ECR</w:t>
            </w:r>
          </w:p>
        </w:tc>
        <w:tc>
          <w:tcPr>
            <w:tcW w:w="7371" w:type="dxa"/>
            <w:shd w:val="clear" w:color="auto" w:fill="FFFFFF"/>
          </w:tcPr>
          <w:p w14:paraId="7DA17D51" w14:textId="77777777" w:rsidR="000A2807" w:rsidRPr="00DF3055" w:rsidRDefault="000A2807" w:rsidP="008920AC">
            <w:pPr>
              <w:spacing w:before="120" w:after="120"/>
              <w:rPr>
                <w:sz w:val="20"/>
              </w:rPr>
            </w:pPr>
            <w:r w:rsidRPr="00DF3055">
              <w:rPr>
                <w:sz w:val="20"/>
              </w:rPr>
              <w:t>Mark Demesmaeker</w:t>
            </w:r>
          </w:p>
        </w:tc>
      </w:tr>
      <w:tr w:rsidR="000A2807" w:rsidRPr="00DF3055" w14:paraId="1A0DBB6E" w14:textId="77777777" w:rsidTr="008920AC">
        <w:trPr>
          <w:cantSplit/>
        </w:trPr>
        <w:tc>
          <w:tcPr>
            <w:tcW w:w="1701" w:type="dxa"/>
            <w:shd w:val="clear" w:color="auto" w:fill="FFFFFF"/>
          </w:tcPr>
          <w:p w14:paraId="4D423D08" w14:textId="77777777" w:rsidR="000A2807" w:rsidRPr="00DF3055" w:rsidRDefault="000A2807" w:rsidP="008920AC">
            <w:pPr>
              <w:spacing w:before="120" w:after="120"/>
              <w:rPr>
                <w:sz w:val="20"/>
              </w:rPr>
            </w:pPr>
            <w:r w:rsidRPr="00DF3055">
              <w:rPr>
                <w:sz w:val="20"/>
              </w:rPr>
              <w:t>GUE/NGL </w:t>
            </w:r>
          </w:p>
        </w:tc>
        <w:tc>
          <w:tcPr>
            <w:tcW w:w="7371" w:type="dxa"/>
            <w:shd w:val="clear" w:color="auto" w:fill="FFFFFF"/>
          </w:tcPr>
          <w:p w14:paraId="012C42DD" w14:textId="77777777" w:rsidR="000A2807" w:rsidRPr="00DF3055" w:rsidRDefault="000A2807" w:rsidP="008920AC">
            <w:pPr>
              <w:spacing w:before="120" w:after="120"/>
              <w:rPr>
                <w:sz w:val="20"/>
              </w:rPr>
            </w:pPr>
            <w:r w:rsidRPr="00DF3055">
              <w:rPr>
                <w:sz w:val="20"/>
              </w:rPr>
              <w:t>Stefan Eck, Anja Hazekamp, Kateřina Konečná</w:t>
            </w:r>
          </w:p>
        </w:tc>
      </w:tr>
      <w:tr w:rsidR="000A2807" w:rsidRPr="00DF3055" w14:paraId="68187E5A" w14:textId="77777777" w:rsidTr="008920AC">
        <w:trPr>
          <w:cantSplit/>
        </w:trPr>
        <w:tc>
          <w:tcPr>
            <w:tcW w:w="1701" w:type="dxa"/>
            <w:shd w:val="clear" w:color="auto" w:fill="FFFFFF"/>
          </w:tcPr>
          <w:p w14:paraId="1BDC25B5" w14:textId="77777777" w:rsidR="000A2807" w:rsidRPr="00DF3055" w:rsidRDefault="000A2807" w:rsidP="008920AC">
            <w:pPr>
              <w:spacing w:before="120" w:after="120"/>
              <w:rPr>
                <w:sz w:val="20"/>
              </w:rPr>
            </w:pPr>
            <w:r w:rsidRPr="00DF3055">
              <w:rPr>
                <w:sz w:val="20"/>
              </w:rPr>
              <w:t>PPE</w:t>
            </w:r>
          </w:p>
        </w:tc>
        <w:tc>
          <w:tcPr>
            <w:tcW w:w="7371" w:type="dxa"/>
            <w:shd w:val="clear" w:color="auto" w:fill="FFFFFF"/>
          </w:tcPr>
          <w:p w14:paraId="679F5F50" w14:textId="77777777" w:rsidR="000A2807" w:rsidRPr="00DF3055" w:rsidRDefault="000A2807" w:rsidP="008920AC">
            <w:pPr>
              <w:spacing w:before="120" w:after="120"/>
              <w:rPr>
                <w:sz w:val="20"/>
              </w:rPr>
            </w:pPr>
            <w:r w:rsidRPr="00DF3055">
              <w:rPr>
                <w:sz w:val="20"/>
              </w:rPr>
              <w:t>Pilar Ayuso, Ivo Belet, Cristian Silviu Buşoi, Birgit Collin Langen, Angélique Delahaye, José Inácio Faria, Karl Heinz Florenz, Francesc Gambús, Elisabetta Gardini, Jens Gieseke, Julie Girling, Françoise Grossetête, Christophe Hansen, Peter Liese, Annie Schreijer Pierik, Ivica Tolić, Adina Ioana Vălean</w:t>
            </w:r>
          </w:p>
        </w:tc>
      </w:tr>
      <w:tr w:rsidR="000A2807" w:rsidRPr="00DF3055" w14:paraId="1FABAAD1" w14:textId="77777777" w:rsidTr="008920AC">
        <w:trPr>
          <w:cantSplit/>
        </w:trPr>
        <w:tc>
          <w:tcPr>
            <w:tcW w:w="1701" w:type="dxa"/>
            <w:shd w:val="clear" w:color="auto" w:fill="FFFFFF"/>
          </w:tcPr>
          <w:p w14:paraId="0EB435A3" w14:textId="77777777" w:rsidR="000A2807" w:rsidRPr="00DF3055" w:rsidRDefault="000A2807" w:rsidP="008920AC">
            <w:pPr>
              <w:spacing w:before="120" w:after="120"/>
              <w:rPr>
                <w:sz w:val="20"/>
              </w:rPr>
            </w:pPr>
            <w:r w:rsidRPr="00DF3055">
              <w:rPr>
                <w:sz w:val="20"/>
              </w:rPr>
              <w:t>S&amp;D</w:t>
            </w:r>
          </w:p>
        </w:tc>
        <w:tc>
          <w:tcPr>
            <w:tcW w:w="7371" w:type="dxa"/>
            <w:shd w:val="clear" w:color="auto" w:fill="FFFFFF"/>
          </w:tcPr>
          <w:p w14:paraId="327A7A1E" w14:textId="77777777" w:rsidR="000A2807" w:rsidRPr="00DF3055" w:rsidRDefault="000A2807" w:rsidP="008920AC">
            <w:pPr>
              <w:spacing w:before="120" w:after="120"/>
              <w:rPr>
                <w:sz w:val="20"/>
              </w:rPr>
            </w:pPr>
            <w:r w:rsidRPr="00DF3055">
              <w:rPr>
                <w:sz w:val="20"/>
              </w:rPr>
              <w:t>Simona Bonafè, Biljana Borzan, Paul Brannen, Soledad Cabezón Ruiz, Nessa Childers, Miriam Dalli, Seb Dance, Jytte Guteland, Olle Ludvigsson, Susanne Melior, Rory Palmer, Gilles Pargneaux, Pavel Poc, Daciana Octavia Sârbu, Tiemo Wölken, Damiano Zoffoli</w:t>
            </w:r>
          </w:p>
        </w:tc>
      </w:tr>
      <w:tr w:rsidR="000A2807" w:rsidRPr="00DF3055" w14:paraId="2AFE897F" w14:textId="77777777" w:rsidTr="008920AC">
        <w:trPr>
          <w:cantSplit/>
        </w:trPr>
        <w:tc>
          <w:tcPr>
            <w:tcW w:w="1701" w:type="dxa"/>
            <w:shd w:val="clear" w:color="auto" w:fill="FFFFFF"/>
          </w:tcPr>
          <w:p w14:paraId="17C4C635" w14:textId="77777777" w:rsidR="000A2807" w:rsidRPr="00DF3055" w:rsidRDefault="000A2807" w:rsidP="008920AC">
            <w:pPr>
              <w:spacing w:before="120" w:after="120"/>
              <w:rPr>
                <w:sz w:val="20"/>
              </w:rPr>
            </w:pPr>
            <w:r w:rsidRPr="00DF3055">
              <w:rPr>
                <w:sz w:val="20"/>
              </w:rPr>
              <w:t>VERTS/ALE</w:t>
            </w:r>
          </w:p>
        </w:tc>
        <w:tc>
          <w:tcPr>
            <w:tcW w:w="7371" w:type="dxa"/>
            <w:shd w:val="clear" w:color="auto" w:fill="FFFFFF"/>
          </w:tcPr>
          <w:p w14:paraId="72F48E28" w14:textId="77777777" w:rsidR="000A2807" w:rsidRPr="00DF3055" w:rsidRDefault="000A2807" w:rsidP="008920AC">
            <w:pPr>
              <w:spacing w:before="120" w:after="120"/>
              <w:rPr>
                <w:sz w:val="20"/>
              </w:rPr>
            </w:pPr>
            <w:r w:rsidRPr="00DF3055">
              <w:rPr>
                <w:sz w:val="20"/>
              </w:rPr>
              <w:t>Margrete Auken, Bas Eickhout, Martin Häusling, Benedek Jávor, Tilly Metz, Bart Staes</w:t>
            </w:r>
          </w:p>
        </w:tc>
      </w:tr>
    </w:tbl>
    <w:p w14:paraId="01ED9572" w14:textId="77777777" w:rsidR="000A2807" w:rsidRPr="00DF3055" w:rsidRDefault="000A2807"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A2807" w:rsidRPr="00DF3055" w14:paraId="5E919609" w14:textId="77777777" w:rsidTr="008920AC">
        <w:trPr>
          <w:cantSplit/>
        </w:trPr>
        <w:tc>
          <w:tcPr>
            <w:tcW w:w="1701" w:type="dxa"/>
            <w:shd w:val="pct10" w:color="000000" w:fill="FFFFFF"/>
            <w:vAlign w:val="center"/>
          </w:tcPr>
          <w:p w14:paraId="128AF4C2" w14:textId="77777777" w:rsidR="000A2807" w:rsidRPr="00DF3055" w:rsidRDefault="000A2807" w:rsidP="008920AC">
            <w:pPr>
              <w:spacing w:before="120" w:after="120"/>
              <w:jc w:val="center"/>
              <w:rPr>
                <w:b/>
                <w:sz w:val="16"/>
              </w:rPr>
            </w:pPr>
            <w:r w:rsidRPr="00DF3055">
              <w:rPr>
                <w:b/>
                <w:sz w:val="20"/>
              </w:rPr>
              <w:t>6</w:t>
            </w:r>
          </w:p>
        </w:tc>
        <w:tc>
          <w:tcPr>
            <w:tcW w:w="7371" w:type="dxa"/>
            <w:shd w:val="pct10" w:color="000000" w:fill="FFFFFF"/>
          </w:tcPr>
          <w:p w14:paraId="77DC6EBF" w14:textId="77777777" w:rsidR="000A2807" w:rsidRPr="00DF3055" w:rsidRDefault="000A2807" w:rsidP="008920AC">
            <w:pPr>
              <w:spacing w:before="120" w:after="120"/>
              <w:jc w:val="center"/>
              <w:rPr>
                <w:sz w:val="28"/>
                <w:szCs w:val="28"/>
              </w:rPr>
            </w:pPr>
            <w:r w:rsidRPr="00DF3055">
              <w:rPr>
                <w:rFonts w:ascii="Arial" w:hAnsi="Arial"/>
                <w:b/>
                <w:sz w:val="28"/>
                <w:szCs w:val="28"/>
              </w:rPr>
              <w:t>-</w:t>
            </w:r>
          </w:p>
        </w:tc>
      </w:tr>
      <w:tr w:rsidR="000A2807" w:rsidRPr="00DF3055" w14:paraId="4D686AA8" w14:textId="77777777" w:rsidTr="008920AC">
        <w:trPr>
          <w:cantSplit/>
        </w:trPr>
        <w:tc>
          <w:tcPr>
            <w:tcW w:w="1701" w:type="dxa"/>
            <w:shd w:val="clear" w:color="auto" w:fill="FFFFFF"/>
          </w:tcPr>
          <w:p w14:paraId="1235D2D4" w14:textId="77777777" w:rsidR="000A2807" w:rsidRPr="00DF3055" w:rsidRDefault="000A2807" w:rsidP="008920AC">
            <w:pPr>
              <w:spacing w:before="120" w:after="120"/>
              <w:rPr>
                <w:sz w:val="20"/>
              </w:rPr>
            </w:pPr>
            <w:r w:rsidRPr="00DF3055">
              <w:rPr>
                <w:sz w:val="20"/>
              </w:rPr>
              <w:t>ECR</w:t>
            </w:r>
          </w:p>
        </w:tc>
        <w:tc>
          <w:tcPr>
            <w:tcW w:w="7371" w:type="dxa"/>
            <w:shd w:val="clear" w:color="auto" w:fill="FFFFFF"/>
          </w:tcPr>
          <w:p w14:paraId="35E5D6A6" w14:textId="77777777" w:rsidR="000A2807" w:rsidRPr="00DF3055" w:rsidRDefault="000A2807" w:rsidP="008920AC">
            <w:pPr>
              <w:spacing w:before="120" w:after="120"/>
              <w:rPr>
                <w:sz w:val="20"/>
              </w:rPr>
            </w:pPr>
            <w:r w:rsidRPr="00DF3055">
              <w:rPr>
                <w:sz w:val="20"/>
              </w:rPr>
              <w:t>Arne Gericke, Urszula Krupa, Bolesław G. Piecha, John Procter, Jadwiga Wiśniewska</w:t>
            </w:r>
          </w:p>
        </w:tc>
      </w:tr>
      <w:tr w:rsidR="000A2807" w:rsidRPr="00DF3055" w14:paraId="67EB17D3" w14:textId="77777777" w:rsidTr="008920AC">
        <w:trPr>
          <w:cantSplit/>
        </w:trPr>
        <w:tc>
          <w:tcPr>
            <w:tcW w:w="1701" w:type="dxa"/>
            <w:shd w:val="clear" w:color="auto" w:fill="FFFFFF"/>
          </w:tcPr>
          <w:p w14:paraId="39D08C65" w14:textId="77777777" w:rsidR="000A2807" w:rsidRPr="00DF3055" w:rsidRDefault="000A2807" w:rsidP="008920AC">
            <w:pPr>
              <w:spacing w:before="120" w:after="120"/>
              <w:rPr>
                <w:sz w:val="20"/>
              </w:rPr>
            </w:pPr>
            <w:r w:rsidRPr="00DF3055">
              <w:rPr>
                <w:sz w:val="20"/>
              </w:rPr>
              <w:t>ENF</w:t>
            </w:r>
          </w:p>
        </w:tc>
        <w:tc>
          <w:tcPr>
            <w:tcW w:w="7371" w:type="dxa"/>
            <w:shd w:val="clear" w:color="auto" w:fill="FFFFFF"/>
          </w:tcPr>
          <w:p w14:paraId="10A6BE9C" w14:textId="77777777" w:rsidR="000A2807" w:rsidRPr="00DF3055" w:rsidRDefault="000A2807" w:rsidP="008920AC">
            <w:pPr>
              <w:spacing w:before="120" w:after="120"/>
              <w:rPr>
                <w:sz w:val="20"/>
              </w:rPr>
            </w:pPr>
            <w:r w:rsidRPr="00DF3055">
              <w:rPr>
                <w:sz w:val="20"/>
              </w:rPr>
              <w:t>Jean</w:t>
            </w:r>
            <w:r w:rsidRPr="00DF3055">
              <w:rPr>
                <w:sz w:val="20"/>
              </w:rPr>
              <w:noBreakHyphen/>
              <w:t>François Jalkh</w:t>
            </w:r>
          </w:p>
        </w:tc>
      </w:tr>
    </w:tbl>
    <w:p w14:paraId="40FDD97C" w14:textId="77777777" w:rsidR="000A2807" w:rsidRPr="00DF3055" w:rsidRDefault="000A2807"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A2807" w:rsidRPr="00DF3055" w14:paraId="290FDD49" w14:textId="77777777" w:rsidTr="008920AC">
        <w:trPr>
          <w:cantSplit/>
        </w:trPr>
        <w:tc>
          <w:tcPr>
            <w:tcW w:w="1701" w:type="dxa"/>
            <w:shd w:val="pct10" w:color="000000" w:fill="FFFFFF"/>
            <w:vAlign w:val="center"/>
          </w:tcPr>
          <w:p w14:paraId="658D5019" w14:textId="77777777" w:rsidR="000A2807" w:rsidRPr="00DF3055" w:rsidRDefault="000A2807" w:rsidP="008920AC">
            <w:pPr>
              <w:spacing w:before="120" w:after="120"/>
              <w:jc w:val="center"/>
              <w:rPr>
                <w:b/>
                <w:sz w:val="16"/>
              </w:rPr>
            </w:pPr>
            <w:r w:rsidRPr="00DF3055">
              <w:rPr>
                <w:b/>
                <w:sz w:val="20"/>
              </w:rPr>
              <w:t>1</w:t>
            </w:r>
          </w:p>
        </w:tc>
        <w:tc>
          <w:tcPr>
            <w:tcW w:w="7371" w:type="dxa"/>
            <w:shd w:val="pct10" w:color="000000" w:fill="FFFFFF"/>
          </w:tcPr>
          <w:p w14:paraId="7946B80E" w14:textId="77777777" w:rsidR="000A2807" w:rsidRPr="00DF3055" w:rsidRDefault="000A2807" w:rsidP="008920AC">
            <w:pPr>
              <w:spacing w:before="120" w:after="120"/>
              <w:jc w:val="center"/>
              <w:rPr>
                <w:sz w:val="28"/>
                <w:szCs w:val="28"/>
              </w:rPr>
            </w:pPr>
            <w:r w:rsidRPr="00DF3055">
              <w:rPr>
                <w:rFonts w:ascii="Arial" w:hAnsi="Arial"/>
                <w:b/>
                <w:sz w:val="28"/>
                <w:szCs w:val="28"/>
              </w:rPr>
              <w:t>0</w:t>
            </w:r>
          </w:p>
        </w:tc>
      </w:tr>
      <w:tr w:rsidR="000A2807" w:rsidRPr="00DF3055" w14:paraId="7F651BE7" w14:textId="77777777" w:rsidTr="008920AC">
        <w:trPr>
          <w:cantSplit/>
        </w:trPr>
        <w:tc>
          <w:tcPr>
            <w:tcW w:w="1701" w:type="dxa"/>
            <w:shd w:val="clear" w:color="auto" w:fill="FFFFFF"/>
          </w:tcPr>
          <w:p w14:paraId="60A8F815" w14:textId="77777777" w:rsidR="000A2807" w:rsidRPr="00DF3055" w:rsidRDefault="000A2807" w:rsidP="008920AC">
            <w:pPr>
              <w:spacing w:before="120" w:after="120"/>
              <w:rPr>
                <w:sz w:val="20"/>
              </w:rPr>
            </w:pPr>
            <w:r w:rsidRPr="00DF3055">
              <w:rPr>
                <w:sz w:val="20"/>
              </w:rPr>
              <w:t>EFDD</w:t>
            </w:r>
            <w:bookmarkStart w:id="15" w:name="DocEPLastPosition"/>
            <w:bookmarkEnd w:id="15"/>
          </w:p>
        </w:tc>
        <w:tc>
          <w:tcPr>
            <w:tcW w:w="7371" w:type="dxa"/>
            <w:shd w:val="clear" w:color="auto" w:fill="FFFFFF"/>
          </w:tcPr>
          <w:p w14:paraId="4D42312B" w14:textId="77777777" w:rsidR="000A2807" w:rsidRPr="00DF3055" w:rsidRDefault="000A2807" w:rsidP="008920AC">
            <w:pPr>
              <w:spacing w:before="120" w:after="120"/>
              <w:rPr>
                <w:sz w:val="20"/>
              </w:rPr>
            </w:pPr>
            <w:r w:rsidRPr="00DF3055">
              <w:rPr>
                <w:sz w:val="20"/>
              </w:rPr>
              <w:t>Sylvie Goddyn</w:t>
            </w:r>
          </w:p>
        </w:tc>
      </w:tr>
    </w:tbl>
    <w:p w14:paraId="64EC7297" w14:textId="77777777" w:rsidR="000A2807" w:rsidRPr="00DF3055" w:rsidRDefault="000A2807" w:rsidP="00147FBF">
      <w:pPr>
        <w:pStyle w:val="Normal12"/>
      </w:pPr>
    </w:p>
    <w:p w14:paraId="5DF4E67E" w14:textId="77777777" w:rsidR="000A2807" w:rsidRPr="00DF3055" w:rsidRDefault="000A2807" w:rsidP="00B735E3">
      <w:r w:rsidRPr="00DF3055">
        <w:t>Легенда на използваните знаци:</w:t>
      </w:r>
    </w:p>
    <w:p w14:paraId="173B4F3C" w14:textId="77777777" w:rsidR="000A2807" w:rsidRPr="00DF3055" w:rsidRDefault="000A2807" w:rsidP="00B735E3">
      <w:pPr>
        <w:pStyle w:val="NormalTabs"/>
      </w:pPr>
      <w:r w:rsidRPr="00DF3055">
        <w:t>+</w:t>
      </w:r>
      <w:r w:rsidRPr="00DF3055">
        <w:tab/>
        <w:t>:</w:t>
      </w:r>
      <w:r w:rsidRPr="00DF3055">
        <w:tab/>
        <w:t>„за“</w:t>
      </w:r>
    </w:p>
    <w:p w14:paraId="595B7402" w14:textId="77777777" w:rsidR="000A2807" w:rsidRPr="00DF3055" w:rsidRDefault="000A2807" w:rsidP="00B735E3">
      <w:pPr>
        <w:pStyle w:val="NormalTabs"/>
      </w:pPr>
      <w:r w:rsidRPr="00DF3055">
        <w:t>-</w:t>
      </w:r>
      <w:r w:rsidRPr="00DF3055">
        <w:tab/>
        <w:t>:</w:t>
      </w:r>
      <w:r w:rsidRPr="00DF3055">
        <w:tab/>
        <w:t>„против“</w:t>
      </w:r>
    </w:p>
    <w:p w14:paraId="247E47F2" w14:textId="77777777" w:rsidR="000A2807" w:rsidRPr="00DF3055" w:rsidRDefault="000A2807" w:rsidP="00B735E3">
      <w:pPr>
        <w:pStyle w:val="NormalTabs"/>
      </w:pPr>
      <w:r w:rsidRPr="00DF3055">
        <w:t>0</w:t>
      </w:r>
      <w:r w:rsidRPr="00DF3055">
        <w:tab/>
        <w:t>:</w:t>
      </w:r>
      <w:r w:rsidRPr="00DF3055">
        <w:tab/>
        <w:t>„въздържал се“</w:t>
      </w:r>
    </w:p>
    <w:p w14:paraId="2B7538B8" w14:textId="3A807572" w:rsidR="00F84986" w:rsidRPr="006F05B3" w:rsidRDefault="00F84986">
      <w:pPr>
        <w:autoSpaceDE w:val="0"/>
        <w:autoSpaceDN w:val="0"/>
        <w:adjustRightInd w:val="0"/>
        <w:spacing w:before="240" w:after="240"/>
        <w:jc w:val="center"/>
      </w:pPr>
    </w:p>
    <w:p w14:paraId="25964AFB" w14:textId="32676D37" w:rsidR="00F84986" w:rsidRPr="006F05B3" w:rsidRDefault="00F84986" w:rsidP="00F84986"/>
    <w:p w14:paraId="72170E12" w14:textId="77777777" w:rsidR="00F84986" w:rsidRPr="006F05B3" w:rsidRDefault="00F84986" w:rsidP="0018680F"/>
    <w:p w14:paraId="78DBB96B" w14:textId="77777777" w:rsidR="000A2807" w:rsidRDefault="000A2807" w:rsidP="0018680F">
      <w:pPr>
        <w:pStyle w:val="PageHeading"/>
        <w:sectPr w:rsidR="000A2807" w:rsidSect="000A2807">
          <w:footnotePr>
            <w:numRestart w:val="eachPage"/>
          </w:footnotePr>
          <w:endnotePr>
            <w:numFmt w:val="decimal"/>
          </w:endnotePr>
          <w:pgSz w:w="11906" w:h="16838" w:code="9"/>
          <w:pgMar w:top="1134" w:right="1418" w:bottom="1418" w:left="1418" w:header="567" w:footer="567" w:gutter="0"/>
          <w:cols w:space="720"/>
          <w:noEndnote/>
          <w:docGrid w:linePitch="326"/>
        </w:sectPr>
      </w:pPr>
    </w:p>
    <w:p w14:paraId="37759071" w14:textId="37BF8E08" w:rsidR="0018680F" w:rsidRPr="006F05B3" w:rsidRDefault="00021CE7" w:rsidP="0018680F">
      <w:pPr>
        <w:pStyle w:val="PageHeading"/>
      </w:pPr>
      <w:bookmarkStart w:id="16" w:name="ProcPageRR"/>
      <w:bookmarkStart w:id="17" w:name="_Toc3471647"/>
      <w:r w:rsidRPr="006F05B3">
        <w:t>ИНФОРМАЦИЯ ОТНОСНО ПРИЕМАНЕТО ВЪВ ВОДЕЩАТА КОМИСИЯ</w:t>
      </w:r>
      <w:bookmarkEnd w:id="17"/>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18680F" w:rsidRPr="006F05B3" w14:paraId="6AE0F0E6"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43301D0" w14:textId="77777777" w:rsidR="0018680F" w:rsidRPr="006F05B3" w:rsidRDefault="0018680F">
            <w:pPr>
              <w:autoSpaceDE w:val="0"/>
              <w:autoSpaceDN w:val="0"/>
              <w:adjustRightInd w:val="0"/>
              <w:rPr>
                <w:b/>
                <w:bCs/>
                <w:color w:val="000000"/>
                <w:sz w:val="20"/>
              </w:rPr>
            </w:pPr>
            <w:r w:rsidRPr="006F05B3">
              <w:rPr>
                <w:b/>
                <w:bCs/>
                <w:color w:val="000000"/>
                <w:sz w:val="20"/>
              </w:rPr>
              <w:t>Дата на приемане</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3D95C56" w14:textId="77777777" w:rsidR="0018680F" w:rsidRPr="006F05B3" w:rsidRDefault="0018680F">
            <w:pPr>
              <w:autoSpaceDE w:val="0"/>
              <w:autoSpaceDN w:val="0"/>
              <w:adjustRightInd w:val="0"/>
              <w:rPr>
                <w:color w:val="000000"/>
                <w:sz w:val="20"/>
              </w:rPr>
            </w:pPr>
            <w:r w:rsidRPr="006F05B3">
              <w:rPr>
                <w:color w:val="000000"/>
                <w:sz w:val="20"/>
              </w:rPr>
              <w:t>20.2.2019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4B80590" w14:textId="77777777" w:rsidR="0018680F" w:rsidRPr="006F05B3" w:rsidRDefault="0018680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2BA599B" w14:textId="77777777" w:rsidR="0018680F" w:rsidRPr="006F05B3" w:rsidRDefault="0018680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20C3F30" w14:textId="77777777" w:rsidR="0018680F" w:rsidRPr="006F05B3" w:rsidRDefault="0018680F">
            <w:pPr>
              <w:autoSpaceDE w:val="0"/>
              <w:autoSpaceDN w:val="0"/>
              <w:adjustRightInd w:val="0"/>
              <w:rPr>
                <w:rFonts w:ascii="sans-serif" w:hAnsi="sans-serif" w:cs="sans-serif"/>
                <w:color w:val="000000"/>
                <w:szCs w:val="24"/>
              </w:rPr>
            </w:pPr>
          </w:p>
        </w:tc>
      </w:tr>
      <w:tr w:rsidR="0018680F" w:rsidRPr="006F05B3" w14:paraId="36BB5165"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2869DF1" w14:textId="77777777" w:rsidR="0018680F" w:rsidRPr="006F05B3" w:rsidRDefault="0018680F">
            <w:pPr>
              <w:autoSpaceDE w:val="0"/>
              <w:autoSpaceDN w:val="0"/>
              <w:adjustRightInd w:val="0"/>
              <w:rPr>
                <w:b/>
                <w:bCs/>
                <w:color w:val="000000"/>
                <w:sz w:val="20"/>
              </w:rPr>
            </w:pPr>
            <w:r w:rsidRPr="006F05B3">
              <w:rPr>
                <w:b/>
                <w:bCs/>
                <w:color w:val="000000"/>
                <w:sz w:val="20"/>
              </w:rPr>
              <w:t>Резултат от окончателното гласуване</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1660018" w14:textId="77777777" w:rsidR="0018680F" w:rsidRPr="006F05B3" w:rsidRDefault="0018680F">
            <w:pPr>
              <w:autoSpaceDE w:val="0"/>
              <w:autoSpaceDN w:val="0"/>
              <w:adjustRightInd w:val="0"/>
              <w:rPr>
                <w:color w:val="000000"/>
                <w:sz w:val="20"/>
              </w:rPr>
            </w:pPr>
            <w:r w:rsidRPr="006F05B3">
              <w:rPr>
                <w:color w:val="000000"/>
                <w:sz w:val="20"/>
              </w:rPr>
              <w:t>+:</w:t>
            </w:r>
          </w:p>
          <w:p w14:paraId="111E4E85" w14:textId="77777777" w:rsidR="0018680F" w:rsidRPr="006F05B3" w:rsidRDefault="0018680F">
            <w:pPr>
              <w:autoSpaceDE w:val="0"/>
              <w:autoSpaceDN w:val="0"/>
              <w:adjustRightInd w:val="0"/>
              <w:rPr>
                <w:color w:val="000000"/>
                <w:sz w:val="20"/>
              </w:rPr>
            </w:pPr>
            <w:r w:rsidRPr="006F05B3">
              <w:rPr>
                <w:color w:val="000000"/>
                <w:sz w:val="20"/>
              </w:rPr>
              <w:t>–:</w:t>
            </w:r>
          </w:p>
          <w:p w14:paraId="52B707D3" w14:textId="77777777" w:rsidR="0018680F" w:rsidRPr="006F05B3" w:rsidRDefault="0018680F">
            <w:pPr>
              <w:autoSpaceDE w:val="0"/>
              <w:autoSpaceDN w:val="0"/>
              <w:adjustRightInd w:val="0"/>
              <w:rPr>
                <w:color w:val="000000"/>
                <w:sz w:val="20"/>
              </w:rPr>
            </w:pPr>
            <w:r w:rsidRPr="006F05B3">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2B41CBE" w14:textId="77777777" w:rsidR="0018680F" w:rsidRPr="006F05B3" w:rsidRDefault="0018680F">
            <w:pPr>
              <w:autoSpaceDE w:val="0"/>
              <w:autoSpaceDN w:val="0"/>
              <w:adjustRightInd w:val="0"/>
              <w:rPr>
                <w:color w:val="000000"/>
                <w:sz w:val="20"/>
              </w:rPr>
            </w:pPr>
            <w:r w:rsidRPr="006F05B3">
              <w:rPr>
                <w:color w:val="000000"/>
                <w:sz w:val="20"/>
              </w:rPr>
              <w:t>21</w:t>
            </w:r>
          </w:p>
          <w:p w14:paraId="62BF7EDC" w14:textId="77777777" w:rsidR="0018680F" w:rsidRPr="006F05B3" w:rsidRDefault="0018680F">
            <w:pPr>
              <w:autoSpaceDE w:val="0"/>
              <w:autoSpaceDN w:val="0"/>
              <w:adjustRightInd w:val="0"/>
              <w:rPr>
                <w:color w:val="000000"/>
                <w:sz w:val="20"/>
              </w:rPr>
            </w:pPr>
            <w:r w:rsidRPr="006F05B3">
              <w:rPr>
                <w:color w:val="000000"/>
                <w:sz w:val="20"/>
              </w:rPr>
              <w:t>1</w:t>
            </w:r>
          </w:p>
          <w:p w14:paraId="6772B5F4" w14:textId="77777777" w:rsidR="0018680F" w:rsidRPr="006F05B3" w:rsidRDefault="0018680F">
            <w:pPr>
              <w:autoSpaceDE w:val="0"/>
              <w:autoSpaceDN w:val="0"/>
              <w:adjustRightInd w:val="0"/>
              <w:rPr>
                <w:color w:val="000000"/>
                <w:sz w:val="20"/>
              </w:rPr>
            </w:pPr>
            <w:r w:rsidRPr="006F05B3">
              <w:rPr>
                <w:color w:val="000000"/>
                <w:sz w:val="20"/>
              </w:rPr>
              <w:t>0</w:t>
            </w:r>
          </w:p>
        </w:tc>
      </w:tr>
      <w:tr w:rsidR="0018680F" w:rsidRPr="006F05B3" w14:paraId="4104B39A"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B2E5DEB" w14:textId="77777777" w:rsidR="0018680F" w:rsidRPr="006F05B3" w:rsidRDefault="0018680F">
            <w:pPr>
              <w:autoSpaceDE w:val="0"/>
              <w:autoSpaceDN w:val="0"/>
              <w:adjustRightInd w:val="0"/>
              <w:rPr>
                <w:b/>
                <w:bCs/>
                <w:color w:val="000000"/>
                <w:sz w:val="20"/>
              </w:rPr>
            </w:pPr>
            <w:r w:rsidRPr="006F05B3">
              <w:rPr>
                <w:b/>
                <w:bCs/>
                <w:color w:val="000000"/>
                <w:sz w:val="20"/>
              </w:rPr>
              <w:t>Членове, присъствали на окончателното гласуване</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CD5CC20" w14:textId="77777777" w:rsidR="0018680F" w:rsidRPr="006F05B3" w:rsidRDefault="0018680F">
            <w:pPr>
              <w:autoSpaceDE w:val="0"/>
              <w:autoSpaceDN w:val="0"/>
              <w:adjustRightInd w:val="0"/>
              <w:rPr>
                <w:color w:val="000000"/>
                <w:sz w:val="20"/>
              </w:rPr>
            </w:pPr>
            <w:r w:rsidRPr="006F05B3">
              <w:rPr>
                <w:color w:val="000000"/>
                <w:sz w:val="20"/>
              </w:rPr>
              <w:t>Nedzhmi Ali, Inés Ayala Sender, Zigmantas Balčytis, Dennis de Jong, Tamás Deutsch, Martina Dlabajová, Ingeborg Gräßle, Jean-François Jalkh, Wolf Klinz, Monica Macovei, Georgi Pirinski, José Ignacio Salafranca Sánchez-Neyra, Petri Sarvamaa, Claudia Schmidt, Bart Staes, Marco Valli, Derek Vaughan, Tomáš Zdechovský, Joachim Zeller</w:t>
            </w:r>
          </w:p>
        </w:tc>
      </w:tr>
      <w:tr w:rsidR="0018680F" w:rsidRPr="006F05B3" w14:paraId="79590569"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C6AFBD3" w14:textId="77777777" w:rsidR="0018680F" w:rsidRPr="006F05B3" w:rsidRDefault="0018680F">
            <w:pPr>
              <w:autoSpaceDE w:val="0"/>
              <w:autoSpaceDN w:val="0"/>
              <w:adjustRightInd w:val="0"/>
              <w:rPr>
                <w:b/>
                <w:bCs/>
                <w:color w:val="000000"/>
                <w:sz w:val="20"/>
              </w:rPr>
            </w:pPr>
            <w:r w:rsidRPr="006F05B3">
              <w:rPr>
                <w:b/>
                <w:bCs/>
                <w:color w:val="000000"/>
                <w:sz w:val="20"/>
              </w:rPr>
              <w:t>Заместници, присъствали на окончателното гласуване</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F4BC888" w14:textId="77777777" w:rsidR="0018680F" w:rsidRPr="006F05B3" w:rsidRDefault="0018680F">
            <w:pPr>
              <w:autoSpaceDE w:val="0"/>
              <w:autoSpaceDN w:val="0"/>
              <w:adjustRightInd w:val="0"/>
              <w:rPr>
                <w:color w:val="000000"/>
                <w:sz w:val="20"/>
              </w:rPr>
            </w:pPr>
            <w:r w:rsidRPr="006F05B3">
              <w:rPr>
                <w:color w:val="000000"/>
                <w:sz w:val="20"/>
              </w:rPr>
              <w:t>Karin Kadenbach, Marian-Jean Marinescu</w:t>
            </w:r>
          </w:p>
        </w:tc>
      </w:tr>
      <w:tr w:rsidR="0018680F" w:rsidRPr="006F05B3" w14:paraId="47548009"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7317E95" w14:textId="77777777" w:rsidR="0018680F" w:rsidRPr="006F05B3" w:rsidRDefault="0018680F">
            <w:pPr>
              <w:autoSpaceDE w:val="0"/>
              <w:autoSpaceDN w:val="0"/>
              <w:adjustRightInd w:val="0"/>
              <w:rPr>
                <w:b/>
                <w:bCs/>
                <w:color w:val="000000"/>
                <w:sz w:val="20"/>
              </w:rPr>
            </w:pPr>
            <w:r w:rsidRPr="006F05B3">
              <w:rPr>
                <w:b/>
                <w:bCs/>
                <w:color w:val="000000"/>
                <w:sz w:val="20"/>
              </w:rPr>
              <w:t>Заместници (чл. 200, пар. 2), присъствали на окончателното гласуване</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0D21AA1" w14:textId="77777777" w:rsidR="0018680F" w:rsidRPr="006F05B3" w:rsidRDefault="0018680F">
            <w:pPr>
              <w:autoSpaceDE w:val="0"/>
              <w:autoSpaceDN w:val="0"/>
              <w:adjustRightInd w:val="0"/>
              <w:rPr>
                <w:color w:val="000000"/>
                <w:sz w:val="20"/>
              </w:rPr>
            </w:pPr>
            <w:r w:rsidRPr="006F05B3">
              <w:rPr>
                <w:color w:val="000000"/>
                <w:sz w:val="20"/>
              </w:rPr>
              <w:t>Petra Kammerevert</w:t>
            </w:r>
          </w:p>
        </w:tc>
      </w:tr>
    </w:tbl>
    <w:p w14:paraId="0FC0A254" w14:textId="77777777" w:rsidR="0018680F" w:rsidRPr="006F05B3" w:rsidRDefault="0018680F">
      <w:pPr>
        <w:autoSpaceDE w:val="0"/>
        <w:autoSpaceDN w:val="0"/>
        <w:adjustRightInd w:val="0"/>
        <w:rPr>
          <w:rFonts w:ascii="Arial" w:hAnsi="Arial" w:cs="Arial"/>
          <w:szCs w:val="24"/>
        </w:rPr>
      </w:pPr>
    </w:p>
    <w:bookmarkEnd w:id="16"/>
    <w:p w14:paraId="6461349B" w14:textId="28A4325A" w:rsidR="00F84986" w:rsidRPr="006F05B3" w:rsidRDefault="00F84986" w:rsidP="0018680F">
      <w:pPr>
        <w:sectPr w:rsidR="00F84986" w:rsidRPr="006F05B3" w:rsidSect="000A2807">
          <w:footnotePr>
            <w:numRestart w:val="eachPage"/>
          </w:footnotePr>
          <w:endnotePr>
            <w:numFmt w:val="decimal"/>
          </w:endnotePr>
          <w:pgSz w:w="11906" w:h="16838" w:code="9"/>
          <w:pgMar w:top="1134" w:right="1418" w:bottom="1418" w:left="1418" w:header="567" w:footer="567" w:gutter="0"/>
          <w:cols w:space="720"/>
          <w:noEndnote/>
          <w:docGrid w:linePitch="326"/>
        </w:sectPr>
      </w:pPr>
    </w:p>
    <w:p w14:paraId="4DD75407" w14:textId="1EEDCF15" w:rsidR="00F84986" w:rsidRPr="006F05B3" w:rsidRDefault="00F84986" w:rsidP="0018680F">
      <w:pPr>
        <w:pStyle w:val="PageHeading"/>
      </w:pPr>
      <w:bookmarkStart w:id="18" w:name="RollCallPageRR"/>
      <w:bookmarkStart w:id="19" w:name="_Toc3471648"/>
      <w:r w:rsidRPr="006F05B3">
        <w:t>ПОИМЕННО ОКОНЧАТЕЛНО ГЛАСУВАНЕ ВЪВ ВОДЕЩАТА КОМИСИЯ</w:t>
      </w:r>
      <w:bookmarkEnd w:id="19"/>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84986" w:rsidRPr="006F05B3" w14:paraId="0AE8B970" w14:textId="77777777" w:rsidTr="008920AC">
        <w:trPr>
          <w:cantSplit/>
        </w:trPr>
        <w:tc>
          <w:tcPr>
            <w:tcW w:w="1701" w:type="dxa"/>
            <w:shd w:val="pct10" w:color="000000" w:fill="FFFFFF"/>
            <w:vAlign w:val="center"/>
          </w:tcPr>
          <w:p w14:paraId="58BF7180" w14:textId="7E321635" w:rsidR="00F84986" w:rsidRPr="006F05B3" w:rsidRDefault="00F84986" w:rsidP="008920AC">
            <w:pPr>
              <w:spacing w:before="120" w:after="120"/>
              <w:jc w:val="center"/>
              <w:rPr>
                <w:b/>
                <w:sz w:val="20"/>
              </w:rPr>
            </w:pPr>
            <w:r w:rsidRPr="006F05B3">
              <w:rPr>
                <w:b/>
                <w:sz w:val="20"/>
              </w:rPr>
              <w:t>21</w:t>
            </w:r>
          </w:p>
        </w:tc>
        <w:tc>
          <w:tcPr>
            <w:tcW w:w="7371" w:type="dxa"/>
            <w:shd w:val="pct10" w:color="000000" w:fill="FFFFFF"/>
          </w:tcPr>
          <w:p w14:paraId="437216FD" w14:textId="77777777" w:rsidR="00F84986" w:rsidRPr="006F05B3" w:rsidRDefault="00F84986" w:rsidP="008920AC">
            <w:pPr>
              <w:spacing w:before="120" w:after="120"/>
              <w:jc w:val="center"/>
              <w:rPr>
                <w:rFonts w:ascii="Arial" w:hAnsi="Arial" w:cs="Arial"/>
                <w:b/>
                <w:sz w:val="28"/>
                <w:szCs w:val="28"/>
              </w:rPr>
            </w:pPr>
            <w:r w:rsidRPr="006F05B3">
              <w:rPr>
                <w:rFonts w:ascii="Arial" w:hAnsi="Arial"/>
                <w:b/>
                <w:sz w:val="28"/>
                <w:szCs w:val="28"/>
              </w:rPr>
              <w:t>+</w:t>
            </w:r>
          </w:p>
        </w:tc>
      </w:tr>
      <w:tr w:rsidR="00F84986" w:rsidRPr="006F05B3" w14:paraId="27403DD8" w14:textId="77777777" w:rsidTr="008920AC">
        <w:trPr>
          <w:cantSplit/>
        </w:trPr>
        <w:tc>
          <w:tcPr>
            <w:tcW w:w="1701" w:type="dxa"/>
            <w:shd w:val="clear" w:color="auto" w:fill="FFFFFF"/>
          </w:tcPr>
          <w:p w14:paraId="1D1EA2C8" w14:textId="417639EB" w:rsidR="00F84986" w:rsidRPr="006F05B3" w:rsidRDefault="00F84986" w:rsidP="008920AC">
            <w:pPr>
              <w:spacing w:before="120" w:after="120"/>
              <w:rPr>
                <w:sz w:val="20"/>
              </w:rPr>
            </w:pPr>
            <w:r w:rsidRPr="006F05B3">
              <w:rPr>
                <w:sz w:val="20"/>
              </w:rPr>
              <w:t>ALDE</w:t>
            </w:r>
          </w:p>
        </w:tc>
        <w:tc>
          <w:tcPr>
            <w:tcW w:w="7371" w:type="dxa"/>
            <w:shd w:val="clear" w:color="auto" w:fill="FFFFFF"/>
          </w:tcPr>
          <w:p w14:paraId="3B5782C3" w14:textId="2EDEF7AD" w:rsidR="00F84986" w:rsidRPr="006F05B3" w:rsidRDefault="00F84986" w:rsidP="008920AC">
            <w:pPr>
              <w:spacing w:before="120" w:after="120"/>
              <w:rPr>
                <w:sz w:val="20"/>
              </w:rPr>
            </w:pPr>
            <w:r w:rsidRPr="006F05B3">
              <w:rPr>
                <w:sz w:val="20"/>
              </w:rPr>
              <w:t>Nedzhmi Ali, Martina Dlabajová, Wolf Klinz</w:t>
            </w:r>
          </w:p>
        </w:tc>
      </w:tr>
      <w:tr w:rsidR="00F84986" w:rsidRPr="006F05B3" w14:paraId="6BE24A08" w14:textId="77777777" w:rsidTr="008920AC">
        <w:trPr>
          <w:cantSplit/>
        </w:trPr>
        <w:tc>
          <w:tcPr>
            <w:tcW w:w="1701" w:type="dxa"/>
            <w:shd w:val="clear" w:color="auto" w:fill="FFFFFF"/>
          </w:tcPr>
          <w:p w14:paraId="060ABD3F" w14:textId="61E08B3E" w:rsidR="00F84986" w:rsidRPr="006F05B3" w:rsidRDefault="00F84986" w:rsidP="008920AC">
            <w:pPr>
              <w:spacing w:before="120" w:after="120"/>
              <w:rPr>
                <w:sz w:val="20"/>
              </w:rPr>
            </w:pPr>
            <w:r w:rsidRPr="006F05B3">
              <w:rPr>
                <w:sz w:val="20"/>
              </w:rPr>
              <w:t>ECR</w:t>
            </w:r>
          </w:p>
        </w:tc>
        <w:tc>
          <w:tcPr>
            <w:tcW w:w="7371" w:type="dxa"/>
            <w:shd w:val="clear" w:color="auto" w:fill="FFFFFF"/>
          </w:tcPr>
          <w:p w14:paraId="650AD6E0" w14:textId="761722C0" w:rsidR="00F84986" w:rsidRPr="006F05B3" w:rsidRDefault="00F84986" w:rsidP="008920AC">
            <w:pPr>
              <w:spacing w:before="120" w:after="120"/>
              <w:rPr>
                <w:sz w:val="20"/>
              </w:rPr>
            </w:pPr>
            <w:r w:rsidRPr="006F05B3">
              <w:rPr>
                <w:sz w:val="20"/>
              </w:rPr>
              <w:t>Monica Macovei</w:t>
            </w:r>
          </w:p>
        </w:tc>
      </w:tr>
      <w:tr w:rsidR="00F84986" w:rsidRPr="006F05B3" w14:paraId="09F2CCA7" w14:textId="77777777" w:rsidTr="008920AC">
        <w:trPr>
          <w:cantSplit/>
        </w:trPr>
        <w:tc>
          <w:tcPr>
            <w:tcW w:w="1701" w:type="dxa"/>
            <w:shd w:val="clear" w:color="auto" w:fill="FFFFFF"/>
          </w:tcPr>
          <w:p w14:paraId="6B87225F" w14:textId="451186C1" w:rsidR="00F84986" w:rsidRPr="006F05B3" w:rsidRDefault="00F84986" w:rsidP="008920AC">
            <w:pPr>
              <w:spacing w:before="120" w:after="120"/>
              <w:rPr>
                <w:sz w:val="20"/>
              </w:rPr>
            </w:pPr>
            <w:r w:rsidRPr="006F05B3">
              <w:rPr>
                <w:sz w:val="20"/>
              </w:rPr>
              <w:t>EFDD</w:t>
            </w:r>
          </w:p>
        </w:tc>
        <w:tc>
          <w:tcPr>
            <w:tcW w:w="7371" w:type="dxa"/>
            <w:shd w:val="clear" w:color="auto" w:fill="FFFFFF"/>
          </w:tcPr>
          <w:p w14:paraId="3A3E7A9E" w14:textId="7CB7E79E" w:rsidR="00F84986" w:rsidRPr="006F05B3" w:rsidRDefault="00F84986" w:rsidP="008920AC">
            <w:pPr>
              <w:spacing w:before="120" w:after="120"/>
              <w:rPr>
                <w:sz w:val="20"/>
              </w:rPr>
            </w:pPr>
            <w:r w:rsidRPr="006F05B3">
              <w:rPr>
                <w:sz w:val="20"/>
              </w:rPr>
              <w:t>Marco Valli</w:t>
            </w:r>
          </w:p>
        </w:tc>
      </w:tr>
      <w:tr w:rsidR="00F84986" w:rsidRPr="006F05B3" w14:paraId="73CD759C" w14:textId="77777777" w:rsidTr="008920AC">
        <w:trPr>
          <w:cantSplit/>
        </w:trPr>
        <w:tc>
          <w:tcPr>
            <w:tcW w:w="1701" w:type="dxa"/>
            <w:shd w:val="clear" w:color="auto" w:fill="FFFFFF"/>
          </w:tcPr>
          <w:p w14:paraId="7A12D6A4" w14:textId="3A699E3C" w:rsidR="00F84986" w:rsidRPr="006F05B3" w:rsidRDefault="00F84986" w:rsidP="008920AC">
            <w:pPr>
              <w:spacing w:before="120" w:after="120"/>
              <w:rPr>
                <w:sz w:val="20"/>
              </w:rPr>
            </w:pPr>
            <w:r w:rsidRPr="006F05B3">
              <w:rPr>
                <w:sz w:val="20"/>
              </w:rPr>
              <w:t>GUE/NGL</w:t>
            </w:r>
          </w:p>
        </w:tc>
        <w:tc>
          <w:tcPr>
            <w:tcW w:w="7371" w:type="dxa"/>
            <w:shd w:val="clear" w:color="auto" w:fill="FFFFFF"/>
          </w:tcPr>
          <w:p w14:paraId="3FC14053" w14:textId="2EF38B3A" w:rsidR="00F84986" w:rsidRPr="006F05B3" w:rsidRDefault="00F84986" w:rsidP="008920AC">
            <w:pPr>
              <w:spacing w:before="120" w:after="120"/>
              <w:rPr>
                <w:sz w:val="20"/>
              </w:rPr>
            </w:pPr>
            <w:r w:rsidRPr="006F05B3">
              <w:rPr>
                <w:sz w:val="20"/>
              </w:rPr>
              <w:t>Dennis de Jong</w:t>
            </w:r>
          </w:p>
        </w:tc>
      </w:tr>
      <w:tr w:rsidR="00F84986" w:rsidRPr="006F05B3" w14:paraId="6197424A" w14:textId="77777777" w:rsidTr="008920AC">
        <w:trPr>
          <w:cantSplit/>
        </w:trPr>
        <w:tc>
          <w:tcPr>
            <w:tcW w:w="1701" w:type="dxa"/>
            <w:shd w:val="clear" w:color="auto" w:fill="FFFFFF"/>
          </w:tcPr>
          <w:p w14:paraId="5307DC81" w14:textId="0B8C9F0E" w:rsidR="00F84986" w:rsidRPr="006F05B3" w:rsidRDefault="00F84986" w:rsidP="008920AC">
            <w:pPr>
              <w:spacing w:before="120" w:after="120"/>
              <w:rPr>
                <w:sz w:val="20"/>
              </w:rPr>
            </w:pPr>
            <w:r w:rsidRPr="006F05B3">
              <w:rPr>
                <w:sz w:val="20"/>
              </w:rPr>
              <w:t>PPE</w:t>
            </w:r>
          </w:p>
        </w:tc>
        <w:tc>
          <w:tcPr>
            <w:tcW w:w="7371" w:type="dxa"/>
            <w:shd w:val="clear" w:color="auto" w:fill="FFFFFF"/>
          </w:tcPr>
          <w:p w14:paraId="6FA32A36" w14:textId="32A29B70" w:rsidR="00F84986" w:rsidRPr="006F05B3" w:rsidRDefault="00F84986" w:rsidP="008920AC">
            <w:pPr>
              <w:spacing w:before="120" w:after="120"/>
              <w:rPr>
                <w:sz w:val="20"/>
              </w:rPr>
            </w:pPr>
            <w:r w:rsidRPr="006F05B3">
              <w:rPr>
                <w:sz w:val="20"/>
              </w:rPr>
              <w:t>Tamás Deutsch, Ingeborg Gräßle, Marian-Jean Marinescu, José Ignacio Salafranca Sánchez-Neyra, Petri Sarvamaa, Claudia Schmidt, Tomáš Zdechovský, Joachim Zeller</w:t>
            </w:r>
          </w:p>
        </w:tc>
      </w:tr>
      <w:tr w:rsidR="00F84986" w:rsidRPr="006F05B3" w14:paraId="6A7E6F5D" w14:textId="77777777" w:rsidTr="008920AC">
        <w:trPr>
          <w:cantSplit/>
        </w:trPr>
        <w:tc>
          <w:tcPr>
            <w:tcW w:w="1701" w:type="dxa"/>
            <w:shd w:val="clear" w:color="auto" w:fill="FFFFFF"/>
          </w:tcPr>
          <w:p w14:paraId="01573A80" w14:textId="0B4FF70A" w:rsidR="00F84986" w:rsidRPr="006F05B3" w:rsidRDefault="00F84986" w:rsidP="008920AC">
            <w:pPr>
              <w:spacing w:before="120" w:after="120"/>
              <w:rPr>
                <w:sz w:val="20"/>
              </w:rPr>
            </w:pPr>
            <w:r w:rsidRPr="006F05B3">
              <w:rPr>
                <w:sz w:val="20"/>
              </w:rPr>
              <w:t>S&amp;D</w:t>
            </w:r>
          </w:p>
        </w:tc>
        <w:tc>
          <w:tcPr>
            <w:tcW w:w="7371" w:type="dxa"/>
            <w:shd w:val="clear" w:color="auto" w:fill="FFFFFF"/>
          </w:tcPr>
          <w:p w14:paraId="0A6BF40E" w14:textId="14EC5E14" w:rsidR="00F84986" w:rsidRPr="006F05B3" w:rsidRDefault="00F84986" w:rsidP="008920AC">
            <w:pPr>
              <w:spacing w:before="120" w:after="120"/>
              <w:rPr>
                <w:sz w:val="20"/>
              </w:rPr>
            </w:pPr>
            <w:r w:rsidRPr="006F05B3">
              <w:rPr>
                <w:sz w:val="20"/>
              </w:rPr>
              <w:t>Inés Ayala Sender, Zigmantas Balčytis, Karin Kadenbach, Petra Kammerevert, Georgi Pirinski, Derek Vaughan</w:t>
            </w:r>
          </w:p>
        </w:tc>
      </w:tr>
      <w:tr w:rsidR="00F84986" w:rsidRPr="006F05B3" w14:paraId="17432ECE" w14:textId="77777777" w:rsidTr="008920AC">
        <w:trPr>
          <w:cantSplit/>
        </w:trPr>
        <w:tc>
          <w:tcPr>
            <w:tcW w:w="1701" w:type="dxa"/>
            <w:shd w:val="clear" w:color="auto" w:fill="FFFFFF"/>
          </w:tcPr>
          <w:p w14:paraId="2C776647" w14:textId="0BC98CC7" w:rsidR="00F84986" w:rsidRPr="006F05B3" w:rsidRDefault="00F84986" w:rsidP="008920AC">
            <w:pPr>
              <w:spacing w:before="120" w:after="120"/>
              <w:rPr>
                <w:sz w:val="20"/>
              </w:rPr>
            </w:pPr>
            <w:r w:rsidRPr="006F05B3">
              <w:rPr>
                <w:sz w:val="20"/>
              </w:rPr>
              <w:t>VERTS/ALE</w:t>
            </w:r>
          </w:p>
        </w:tc>
        <w:tc>
          <w:tcPr>
            <w:tcW w:w="7371" w:type="dxa"/>
            <w:shd w:val="clear" w:color="auto" w:fill="FFFFFF"/>
          </w:tcPr>
          <w:p w14:paraId="7B9B7E24" w14:textId="3517D188" w:rsidR="00F84986" w:rsidRPr="006F05B3" w:rsidRDefault="00F84986" w:rsidP="008920AC">
            <w:pPr>
              <w:spacing w:before="120" w:after="120"/>
              <w:rPr>
                <w:sz w:val="20"/>
              </w:rPr>
            </w:pPr>
            <w:r w:rsidRPr="006F05B3">
              <w:rPr>
                <w:sz w:val="20"/>
              </w:rPr>
              <w:t>Bart Staes</w:t>
            </w:r>
          </w:p>
        </w:tc>
      </w:tr>
    </w:tbl>
    <w:p w14:paraId="66915A7D" w14:textId="77777777" w:rsidR="00F84986" w:rsidRPr="006F05B3" w:rsidRDefault="00F84986"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84986" w:rsidRPr="006F05B3" w14:paraId="270657D8" w14:textId="77777777" w:rsidTr="008920AC">
        <w:trPr>
          <w:cantSplit/>
        </w:trPr>
        <w:tc>
          <w:tcPr>
            <w:tcW w:w="1701" w:type="dxa"/>
            <w:shd w:val="pct10" w:color="000000" w:fill="FFFFFF"/>
            <w:vAlign w:val="center"/>
          </w:tcPr>
          <w:p w14:paraId="71495123" w14:textId="5E0E1F21" w:rsidR="00F84986" w:rsidRPr="006F05B3" w:rsidRDefault="00F84986" w:rsidP="008920AC">
            <w:pPr>
              <w:spacing w:before="120" w:after="120"/>
              <w:jc w:val="center"/>
              <w:rPr>
                <w:b/>
                <w:sz w:val="20"/>
              </w:rPr>
            </w:pPr>
            <w:r w:rsidRPr="006F05B3">
              <w:rPr>
                <w:b/>
                <w:sz w:val="20"/>
              </w:rPr>
              <w:t>1</w:t>
            </w:r>
          </w:p>
        </w:tc>
        <w:tc>
          <w:tcPr>
            <w:tcW w:w="7371" w:type="dxa"/>
            <w:shd w:val="pct10" w:color="000000" w:fill="FFFFFF"/>
          </w:tcPr>
          <w:p w14:paraId="24BAA2DA" w14:textId="77777777" w:rsidR="00F84986" w:rsidRPr="006F05B3" w:rsidRDefault="00F84986" w:rsidP="008920AC">
            <w:pPr>
              <w:spacing w:before="120" w:after="120"/>
              <w:jc w:val="center"/>
              <w:rPr>
                <w:sz w:val="28"/>
                <w:szCs w:val="28"/>
              </w:rPr>
            </w:pPr>
            <w:r w:rsidRPr="006F05B3">
              <w:rPr>
                <w:rFonts w:ascii="Arial" w:hAnsi="Arial"/>
                <w:b/>
                <w:sz w:val="28"/>
                <w:szCs w:val="28"/>
              </w:rPr>
              <w:t>-</w:t>
            </w:r>
          </w:p>
        </w:tc>
      </w:tr>
      <w:tr w:rsidR="00F84986" w:rsidRPr="006F05B3" w14:paraId="17590B50" w14:textId="77777777" w:rsidTr="008920AC">
        <w:trPr>
          <w:cantSplit/>
        </w:trPr>
        <w:tc>
          <w:tcPr>
            <w:tcW w:w="1701" w:type="dxa"/>
            <w:shd w:val="clear" w:color="auto" w:fill="FFFFFF"/>
          </w:tcPr>
          <w:p w14:paraId="3964BA5B" w14:textId="52D0BB13" w:rsidR="00F84986" w:rsidRPr="006F05B3" w:rsidRDefault="00F84986" w:rsidP="008920AC">
            <w:pPr>
              <w:spacing w:before="120" w:after="120"/>
              <w:rPr>
                <w:sz w:val="20"/>
              </w:rPr>
            </w:pPr>
            <w:r w:rsidRPr="006F05B3">
              <w:rPr>
                <w:sz w:val="20"/>
              </w:rPr>
              <w:t>ENF</w:t>
            </w:r>
          </w:p>
        </w:tc>
        <w:tc>
          <w:tcPr>
            <w:tcW w:w="7371" w:type="dxa"/>
            <w:shd w:val="clear" w:color="auto" w:fill="FFFFFF"/>
          </w:tcPr>
          <w:p w14:paraId="684E1A6F" w14:textId="7E65A524" w:rsidR="00F84986" w:rsidRPr="006F05B3" w:rsidRDefault="00F84986" w:rsidP="008920AC">
            <w:pPr>
              <w:spacing w:before="120" w:after="120"/>
              <w:rPr>
                <w:sz w:val="20"/>
              </w:rPr>
            </w:pPr>
            <w:r w:rsidRPr="006F05B3">
              <w:rPr>
                <w:sz w:val="20"/>
              </w:rPr>
              <w:t>Jean-François Jalkh</w:t>
            </w:r>
          </w:p>
        </w:tc>
      </w:tr>
    </w:tbl>
    <w:p w14:paraId="4E13C09F" w14:textId="77777777" w:rsidR="00F84986" w:rsidRPr="006F05B3" w:rsidRDefault="00F84986"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84986" w:rsidRPr="006F05B3" w14:paraId="5468E786" w14:textId="77777777" w:rsidTr="008920AC">
        <w:trPr>
          <w:cantSplit/>
        </w:trPr>
        <w:tc>
          <w:tcPr>
            <w:tcW w:w="1701" w:type="dxa"/>
            <w:shd w:val="pct10" w:color="000000" w:fill="FFFFFF"/>
            <w:vAlign w:val="center"/>
          </w:tcPr>
          <w:p w14:paraId="66D17551" w14:textId="67F9F9F3" w:rsidR="00F84986" w:rsidRPr="006F05B3" w:rsidRDefault="00F84986" w:rsidP="008920AC">
            <w:pPr>
              <w:spacing w:before="120" w:after="120"/>
              <w:jc w:val="center"/>
              <w:rPr>
                <w:b/>
                <w:sz w:val="20"/>
              </w:rPr>
            </w:pPr>
            <w:r w:rsidRPr="006F05B3">
              <w:rPr>
                <w:b/>
                <w:sz w:val="20"/>
              </w:rPr>
              <w:t>0</w:t>
            </w:r>
          </w:p>
        </w:tc>
        <w:tc>
          <w:tcPr>
            <w:tcW w:w="7371" w:type="dxa"/>
            <w:shd w:val="pct10" w:color="000000" w:fill="FFFFFF"/>
          </w:tcPr>
          <w:p w14:paraId="0C8E914D" w14:textId="77777777" w:rsidR="00F84986" w:rsidRPr="006F05B3" w:rsidRDefault="00F84986" w:rsidP="008920AC">
            <w:pPr>
              <w:spacing w:before="120" w:after="120"/>
              <w:jc w:val="center"/>
              <w:rPr>
                <w:sz w:val="28"/>
                <w:szCs w:val="28"/>
              </w:rPr>
            </w:pPr>
            <w:r w:rsidRPr="006F05B3">
              <w:rPr>
                <w:rFonts w:ascii="Arial" w:hAnsi="Arial"/>
                <w:b/>
                <w:sz w:val="28"/>
                <w:szCs w:val="28"/>
              </w:rPr>
              <w:t>0</w:t>
            </w:r>
          </w:p>
        </w:tc>
      </w:tr>
      <w:tr w:rsidR="00F84986" w:rsidRPr="006F05B3" w14:paraId="138C6FF1" w14:textId="77777777" w:rsidTr="008920AC">
        <w:trPr>
          <w:cantSplit/>
        </w:trPr>
        <w:tc>
          <w:tcPr>
            <w:tcW w:w="1701" w:type="dxa"/>
            <w:shd w:val="clear" w:color="auto" w:fill="FFFFFF"/>
          </w:tcPr>
          <w:p w14:paraId="5786F47E" w14:textId="35051155" w:rsidR="00F84986" w:rsidRPr="006F05B3" w:rsidRDefault="00F84986" w:rsidP="008920AC">
            <w:pPr>
              <w:spacing w:before="120" w:after="120"/>
              <w:rPr>
                <w:sz w:val="20"/>
              </w:rPr>
            </w:pPr>
          </w:p>
        </w:tc>
        <w:tc>
          <w:tcPr>
            <w:tcW w:w="7371" w:type="dxa"/>
            <w:shd w:val="clear" w:color="auto" w:fill="FFFFFF"/>
          </w:tcPr>
          <w:p w14:paraId="6F5E666E" w14:textId="13ABB5F9" w:rsidR="00F84986" w:rsidRPr="006F05B3" w:rsidRDefault="00F84986" w:rsidP="008920AC">
            <w:pPr>
              <w:spacing w:before="120" w:after="120"/>
              <w:rPr>
                <w:sz w:val="20"/>
              </w:rPr>
            </w:pPr>
          </w:p>
        </w:tc>
      </w:tr>
    </w:tbl>
    <w:p w14:paraId="0DAF2C46" w14:textId="77777777" w:rsidR="00F84986" w:rsidRPr="006F05B3" w:rsidRDefault="00F84986" w:rsidP="00147FBF">
      <w:pPr>
        <w:pStyle w:val="Normal12"/>
      </w:pPr>
    </w:p>
    <w:p w14:paraId="144223FE" w14:textId="55F193C4" w:rsidR="00F84986" w:rsidRPr="006F05B3" w:rsidRDefault="00F84986" w:rsidP="00B735E3">
      <w:r w:rsidRPr="006F05B3">
        <w:t>Легенда на използваните знаци:</w:t>
      </w:r>
    </w:p>
    <w:p w14:paraId="486B8158" w14:textId="4061C868" w:rsidR="00F84986" w:rsidRPr="006F05B3" w:rsidRDefault="00F84986" w:rsidP="00B735E3">
      <w:pPr>
        <w:pStyle w:val="NormalTabs"/>
      </w:pPr>
      <w:r w:rsidRPr="006F05B3">
        <w:t>+</w:t>
      </w:r>
      <w:r w:rsidRPr="006F05B3">
        <w:tab/>
        <w:t>:</w:t>
      </w:r>
      <w:r w:rsidRPr="006F05B3">
        <w:tab/>
        <w:t>„за“</w:t>
      </w:r>
    </w:p>
    <w:p w14:paraId="5F4DDE0A" w14:textId="242CEBBE" w:rsidR="00F84986" w:rsidRPr="006F05B3" w:rsidRDefault="00F84986" w:rsidP="00B735E3">
      <w:pPr>
        <w:pStyle w:val="NormalTabs"/>
      </w:pPr>
      <w:r w:rsidRPr="006F05B3">
        <w:t>-</w:t>
      </w:r>
      <w:r w:rsidRPr="006F05B3">
        <w:tab/>
        <w:t>:</w:t>
      </w:r>
      <w:r w:rsidRPr="006F05B3">
        <w:tab/>
        <w:t>„против“</w:t>
      </w:r>
    </w:p>
    <w:p w14:paraId="494C1400" w14:textId="7FFB2126" w:rsidR="00F84986" w:rsidRPr="006F05B3" w:rsidRDefault="00F84986" w:rsidP="00B735E3">
      <w:pPr>
        <w:pStyle w:val="NormalTabs"/>
      </w:pPr>
      <w:r w:rsidRPr="006F05B3">
        <w:t>0</w:t>
      </w:r>
      <w:r w:rsidRPr="006F05B3">
        <w:tab/>
        <w:t>:</w:t>
      </w:r>
      <w:r w:rsidRPr="006F05B3">
        <w:tab/>
        <w:t>„въздържал се“</w:t>
      </w:r>
    </w:p>
    <w:p w14:paraId="06A83333" w14:textId="77777777" w:rsidR="00F84986" w:rsidRPr="006F05B3" w:rsidRDefault="00F84986" w:rsidP="00AD5932"/>
    <w:bookmarkEnd w:id="18"/>
    <w:p w14:paraId="1B502ABC" w14:textId="4A86E285" w:rsidR="00841D8C" w:rsidRPr="006F05B3" w:rsidRDefault="00841D8C" w:rsidP="00F84986"/>
    <w:sectPr w:rsidR="00841D8C" w:rsidRPr="006F05B3" w:rsidSect="000A2807">
      <w:footnotePr>
        <w:numRestart w:val="eachPage"/>
      </w:footnotePr>
      <w:endnotePr>
        <w:numFmt w:val="decimal"/>
      </w:endnotePr>
      <w:pgSz w:w="11906" w:h="16838" w:code="9"/>
      <w:pgMar w:top="1134" w:right="1418" w:bottom="1418" w:left="1418"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BA4B9" w14:textId="77777777" w:rsidR="007A4FAF" w:rsidRPr="006F05B3" w:rsidRDefault="007A4FAF">
      <w:r w:rsidRPr="006F05B3">
        <w:separator/>
      </w:r>
    </w:p>
  </w:endnote>
  <w:endnote w:type="continuationSeparator" w:id="0">
    <w:p w14:paraId="40B685BA" w14:textId="77777777" w:rsidR="007A4FAF" w:rsidRPr="006F05B3" w:rsidRDefault="007A4FAF">
      <w:r w:rsidRPr="006F05B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4F74B" w14:textId="5A301BB1" w:rsidR="006F05B3" w:rsidRPr="006F05B3" w:rsidRDefault="006F05B3" w:rsidP="006F05B3">
    <w:pPr>
      <w:pStyle w:val="Footer"/>
    </w:pPr>
    <w:r w:rsidRPr="006F05B3">
      <w:t>PE</w:t>
    </w:r>
    <w:r w:rsidRPr="006F05B3">
      <w:rPr>
        <w:rStyle w:val="HideTWBExt"/>
        <w:noProof w:val="0"/>
      </w:rPr>
      <w:t>&lt;NoPE&gt;</w:t>
    </w:r>
    <w:r w:rsidRPr="006F05B3">
      <w:t>626.793</w:t>
    </w:r>
    <w:r w:rsidRPr="006F05B3">
      <w:rPr>
        <w:rStyle w:val="HideTWBExt"/>
        <w:noProof w:val="0"/>
      </w:rPr>
      <w:t>&lt;/NoPE&gt;&lt;Version&gt;</w:t>
    </w:r>
    <w:r w:rsidRPr="006F05B3">
      <w:t>v02-00</w:t>
    </w:r>
    <w:r w:rsidRPr="006F05B3">
      <w:rPr>
        <w:rStyle w:val="HideTWBExt"/>
        <w:noProof w:val="0"/>
      </w:rPr>
      <w:t>&lt;/Version&gt;</w:t>
    </w:r>
    <w:r w:rsidRPr="006F05B3">
      <w:tab/>
    </w:r>
    <w:r w:rsidRPr="006F05B3">
      <w:fldChar w:fldCharType="begin"/>
    </w:r>
    <w:r w:rsidRPr="006F05B3">
      <w:instrText xml:space="preserve"> PAGE  \* MERGEFORMAT </w:instrText>
    </w:r>
    <w:r w:rsidRPr="006F05B3">
      <w:fldChar w:fldCharType="separate"/>
    </w:r>
    <w:r w:rsidR="00942A33">
      <w:rPr>
        <w:noProof/>
      </w:rPr>
      <w:t>2</w:t>
    </w:r>
    <w:r w:rsidRPr="006F05B3">
      <w:fldChar w:fldCharType="end"/>
    </w:r>
    <w:r w:rsidRPr="006F05B3">
      <w:t>/</w:t>
    </w:r>
    <w:r w:rsidR="00825D4A">
      <w:rPr>
        <w:noProof/>
      </w:rPr>
      <w:fldChar w:fldCharType="begin"/>
    </w:r>
    <w:r w:rsidR="00825D4A">
      <w:rPr>
        <w:noProof/>
      </w:rPr>
      <w:instrText xml:space="preserve"> NUMPAGES  \* MERGEFORMAT </w:instrText>
    </w:r>
    <w:r w:rsidR="00825D4A">
      <w:rPr>
        <w:noProof/>
      </w:rPr>
      <w:fldChar w:fldCharType="separate"/>
    </w:r>
    <w:r w:rsidR="00942A33">
      <w:rPr>
        <w:noProof/>
      </w:rPr>
      <w:t>17</w:t>
    </w:r>
    <w:r w:rsidR="00825D4A">
      <w:rPr>
        <w:noProof/>
      </w:rPr>
      <w:fldChar w:fldCharType="end"/>
    </w:r>
    <w:r w:rsidRPr="006F05B3">
      <w:tab/>
    </w:r>
    <w:r w:rsidRPr="006F05B3">
      <w:rPr>
        <w:rStyle w:val="HideTWBExt"/>
        <w:noProof w:val="0"/>
      </w:rPr>
      <w:t>&lt;PathFdR&gt;</w:t>
    </w:r>
    <w:r w:rsidRPr="006F05B3">
      <w:t>RR\1178356BG.docx</w:t>
    </w:r>
    <w:r w:rsidRPr="006F05B3">
      <w:rPr>
        <w:rStyle w:val="HideTWBExt"/>
        <w:noProof w:val="0"/>
      </w:rPr>
      <w:t>&lt;/PathFdR&gt;</w:t>
    </w:r>
  </w:p>
  <w:p w14:paraId="5DFD81C7" w14:textId="01B84C98" w:rsidR="00390068" w:rsidRPr="006F05B3" w:rsidRDefault="006F05B3" w:rsidP="006F05B3">
    <w:pPr>
      <w:pStyle w:val="Footer2"/>
    </w:pPr>
    <w:r w:rsidRPr="006F05B3">
      <w:t>BG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88545" w14:textId="142FB00A" w:rsidR="006F05B3" w:rsidRPr="006F05B3" w:rsidRDefault="006F05B3" w:rsidP="006F05B3">
    <w:pPr>
      <w:pStyle w:val="Footer"/>
    </w:pPr>
    <w:r w:rsidRPr="006F05B3">
      <w:rPr>
        <w:rStyle w:val="HideTWBExt"/>
        <w:noProof w:val="0"/>
      </w:rPr>
      <w:t>&lt;PathFdR&gt;</w:t>
    </w:r>
    <w:r w:rsidRPr="006F05B3">
      <w:t>RR\1178356BG.docx</w:t>
    </w:r>
    <w:r w:rsidRPr="006F05B3">
      <w:rPr>
        <w:rStyle w:val="HideTWBExt"/>
        <w:noProof w:val="0"/>
      </w:rPr>
      <w:t>&lt;/PathFdR&gt;</w:t>
    </w:r>
    <w:r w:rsidRPr="006F05B3">
      <w:tab/>
    </w:r>
    <w:r w:rsidRPr="006F05B3">
      <w:fldChar w:fldCharType="begin"/>
    </w:r>
    <w:r w:rsidRPr="006F05B3">
      <w:instrText xml:space="preserve"> PAGE  \* MERGEFORMAT </w:instrText>
    </w:r>
    <w:r w:rsidRPr="006F05B3">
      <w:fldChar w:fldCharType="separate"/>
    </w:r>
    <w:r w:rsidR="00942A33">
      <w:rPr>
        <w:noProof/>
      </w:rPr>
      <w:t>17</w:t>
    </w:r>
    <w:r w:rsidRPr="006F05B3">
      <w:fldChar w:fldCharType="end"/>
    </w:r>
    <w:r w:rsidRPr="006F05B3">
      <w:t>/</w:t>
    </w:r>
    <w:r w:rsidR="00825D4A">
      <w:rPr>
        <w:noProof/>
      </w:rPr>
      <w:fldChar w:fldCharType="begin"/>
    </w:r>
    <w:r w:rsidR="00825D4A">
      <w:rPr>
        <w:noProof/>
      </w:rPr>
      <w:instrText xml:space="preserve"> NUMPAGES  \* MERGEFORMAT </w:instrText>
    </w:r>
    <w:r w:rsidR="00825D4A">
      <w:rPr>
        <w:noProof/>
      </w:rPr>
      <w:fldChar w:fldCharType="separate"/>
    </w:r>
    <w:r w:rsidR="00942A33">
      <w:rPr>
        <w:noProof/>
      </w:rPr>
      <w:t>17</w:t>
    </w:r>
    <w:r w:rsidR="00825D4A">
      <w:rPr>
        <w:noProof/>
      </w:rPr>
      <w:fldChar w:fldCharType="end"/>
    </w:r>
    <w:r w:rsidRPr="006F05B3">
      <w:tab/>
      <w:t>PE</w:t>
    </w:r>
    <w:r w:rsidRPr="006F05B3">
      <w:rPr>
        <w:rStyle w:val="HideTWBExt"/>
        <w:noProof w:val="0"/>
      </w:rPr>
      <w:t>&lt;NoPE&gt;</w:t>
    </w:r>
    <w:r w:rsidRPr="006F05B3">
      <w:t>626.793</w:t>
    </w:r>
    <w:r w:rsidRPr="006F05B3">
      <w:rPr>
        <w:rStyle w:val="HideTWBExt"/>
        <w:noProof w:val="0"/>
      </w:rPr>
      <w:t>&lt;/NoPE&gt;&lt;Version&gt;</w:t>
    </w:r>
    <w:r w:rsidRPr="006F05B3">
      <w:t>v02-00</w:t>
    </w:r>
    <w:r w:rsidRPr="006F05B3">
      <w:rPr>
        <w:rStyle w:val="HideTWBExt"/>
        <w:noProof w:val="0"/>
      </w:rPr>
      <w:t>&lt;/Version&gt;</w:t>
    </w:r>
  </w:p>
  <w:p w14:paraId="0DEC93B4" w14:textId="6AF776F0" w:rsidR="00390068" w:rsidRPr="006F05B3" w:rsidRDefault="006F05B3" w:rsidP="006F05B3">
    <w:pPr>
      <w:pStyle w:val="Footer2"/>
    </w:pPr>
    <w:r w:rsidRPr="006F05B3">
      <w:tab/>
      <w:t>BG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8B0E2" w14:textId="77777777" w:rsidR="006F05B3" w:rsidRPr="006F05B3" w:rsidRDefault="006F05B3" w:rsidP="006F05B3">
    <w:pPr>
      <w:pStyle w:val="Footer"/>
    </w:pPr>
    <w:r w:rsidRPr="006F05B3">
      <w:rPr>
        <w:rStyle w:val="HideTWBExt"/>
        <w:noProof w:val="0"/>
      </w:rPr>
      <w:t>&lt;PathFdR&gt;</w:t>
    </w:r>
    <w:r w:rsidRPr="006F05B3">
      <w:t>RR\1178356BG.docx</w:t>
    </w:r>
    <w:r w:rsidRPr="006F05B3">
      <w:rPr>
        <w:rStyle w:val="HideTWBExt"/>
        <w:noProof w:val="0"/>
      </w:rPr>
      <w:t>&lt;/PathFdR&gt;</w:t>
    </w:r>
    <w:r w:rsidRPr="006F05B3">
      <w:tab/>
    </w:r>
    <w:r w:rsidRPr="006F05B3">
      <w:tab/>
      <w:t>PE</w:t>
    </w:r>
    <w:r w:rsidRPr="006F05B3">
      <w:rPr>
        <w:rStyle w:val="HideTWBExt"/>
        <w:noProof w:val="0"/>
      </w:rPr>
      <w:t>&lt;NoPE&gt;</w:t>
    </w:r>
    <w:r w:rsidRPr="006F05B3">
      <w:t>626.793</w:t>
    </w:r>
    <w:r w:rsidRPr="006F05B3">
      <w:rPr>
        <w:rStyle w:val="HideTWBExt"/>
        <w:noProof w:val="0"/>
      </w:rPr>
      <w:t>&lt;/NoPE&gt;&lt;Version&gt;</w:t>
    </w:r>
    <w:r w:rsidRPr="006F05B3">
      <w:t>v02-00</w:t>
    </w:r>
    <w:r w:rsidRPr="006F05B3">
      <w:rPr>
        <w:rStyle w:val="HideTWBExt"/>
        <w:noProof w:val="0"/>
      </w:rPr>
      <w:t>&lt;/Version&gt;</w:t>
    </w:r>
  </w:p>
  <w:p w14:paraId="7D28C8BC" w14:textId="686AE297" w:rsidR="00390068" w:rsidRPr="006F05B3" w:rsidRDefault="006F05B3" w:rsidP="006F05B3">
    <w:pPr>
      <w:pStyle w:val="Footer2"/>
      <w:tabs>
        <w:tab w:val="center" w:pos="4535"/>
      </w:tabs>
    </w:pPr>
    <w:r w:rsidRPr="006F05B3">
      <w:t>BG</w:t>
    </w:r>
    <w:r w:rsidRPr="006F05B3">
      <w:tab/>
    </w:r>
    <w:r w:rsidRPr="006F05B3">
      <w:rPr>
        <w:b w:val="0"/>
        <w:i/>
        <w:color w:val="C0C0C0"/>
        <w:sz w:val="22"/>
      </w:rPr>
      <w:t>Единство в многообразието</w:t>
    </w:r>
    <w:r w:rsidRPr="006F05B3">
      <w:tab/>
      <w:t>BG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954C7" w14:textId="77777777" w:rsidR="007A4FAF" w:rsidRPr="006F05B3" w:rsidRDefault="007A4FAF">
      <w:r w:rsidRPr="006F05B3">
        <w:separator/>
      </w:r>
    </w:p>
  </w:footnote>
  <w:footnote w:type="continuationSeparator" w:id="0">
    <w:p w14:paraId="0850D33F" w14:textId="77777777" w:rsidR="007A4FAF" w:rsidRPr="006F05B3" w:rsidRDefault="007A4FAF">
      <w:r w:rsidRPr="006F05B3">
        <w:continuationSeparator/>
      </w:r>
    </w:p>
  </w:footnote>
  <w:footnote w:id="1">
    <w:p w14:paraId="1828F87E" w14:textId="6AF9F178" w:rsidR="00CA13F6" w:rsidRPr="006F05B3" w:rsidRDefault="00CA13F6" w:rsidP="00CA13F6">
      <w:pPr>
        <w:pStyle w:val="FootnoteText"/>
      </w:pPr>
      <w:r w:rsidRPr="006F05B3">
        <w:rPr>
          <w:rStyle w:val="FootnoteReference"/>
        </w:rPr>
        <w:footnoteRef/>
      </w:r>
      <w:r w:rsidRPr="006F05B3">
        <w:t xml:space="preserve"> ОВ C 434, 30.11.2018 г., стр. 103.</w:t>
      </w:r>
    </w:p>
  </w:footnote>
  <w:footnote w:id="2">
    <w:p w14:paraId="76D1A84D" w14:textId="11B17252" w:rsidR="00CA13F6" w:rsidRPr="006F05B3" w:rsidRDefault="00CA13F6" w:rsidP="00CA13F6">
      <w:pPr>
        <w:pStyle w:val="FootnoteText"/>
      </w:pPr>
      <w:r w:rsidRPr="006F05B3">
        <w:rPr>
          <w:rStyle w:val="FootnoteReference"/>
        </w:rPr>
        <w:footnoteRef/>
      </w:r>
      <w:r w:rsidRPr="006F05B3">
        <w:t xml:space="preserve"> ОВ C 434, 30.11.2018 г., стр. 103.</w:t>
      </w:r>
    </w:p>
  </w:footnote>
  <w:footnote w:id="3">
    <w:p w14:paraId="64328A75" w14:textId="77777777" w:rsidR="00CA13F6" w:rsidRPr="006F05B3" w:rsidRDefault="00CA13F6" w:rsidP="00CA13F6">
      <w:pPr>
        <w:pStyle w:val="FootnoteText"/>
      </w:pPr>
      <w:r w:rsidRPr="006F05B3">
        <w:rPr>
          <w:rStyle w:val="FootnoteReference"/>
        </w:rPr>
        <w:footnoteRef/>
      </w:r>
      <w:r w:rsidRPr="006F05B3">
        <w:t xml:space="preserve"> OВ L 298, 26.10.2012 г., стр. 1.</w:t>
      </w:r>
    </w:p>
  </w:footnote>
  <w:footnote w:id="4">
    <w:p w14:paraId="01F68758" w14:textId="77777777" w:rsidR="00CA13F6" w:rsidRPr="006F05B3" w:rsidRDefault="00CA13F6" w:rsidP="00CA13F6">
      <w:pPr>
        <w:pStyle w:val="FootnoteText"/>
      </w:pPr>
      <w:r w:rsidRPr="006F05B3">
        <w:rPr>
          <w:rStyle w:val="FootnoteReference"/>
        </w:rPr>
        <w:footnoteRef/>
      </w:r>
      <w:r w:rsidRPr="006F05B3">
        <w:t xml:space="preserve"> ОВ L 193, 30.7.2018 г., стр. 1.</w:t>
      </w:r>
    </w:p>
  </w:footnote>
  <w:footnote w:id="5">
    <w:p w14:paraId="69B2F077" w14:textId="77777777" w:rsidR="00CA13F6" w:rsidRPr="006F05B3" w:rsidRDefault="00CA13F6" w:rsidP="00CA13F6">
      <w:pPr>
        <w:pStyle w:val="FootnoteText"/>
      </w:pPr>
      <w:r w:rsidRPr="006F05B3">
        <w:rPr>
          <w:rStyle w:val="FootnoteReference"/>
        </w:rPr>
        <w:footnoteRef/>
      </w:r>
      <w:r w:rsidRPr="006F05B3">
        <w:t xml:space="preserve"> OВ L 126, 21.5.2009 г., стр. 13.</w:t>
      </w:r>
    </w:p>
  </w:footnote>
  <w:footnote w:id="6">
    <w:p w14:paraId="10BFF99A" w14:textId="77777777" w:rsidR="00CA13F6" w:rsidRPr="006F05B3" w:rsidRDefault="00CA13F6" w:rsidP="00CA13F6">
      <w:pPr>
        <w:pStyle w:val="FootnoteText"/>
      </w:pPr>
      <w:r w:rsidRPr="006F05B3">
        <w:rPr>
          <w:rStyle w:val="FootnoteReference"/>
        </w:rPr>
        <w:footnoteRef/>
      </w:r>
      <w:r w:rsidRPr="006F05B3">
        <w:t xml:space="preserve"> ОВ L 328, 7.12.2013 г., стр. 42.</w:t>
      </w:r>
    </w:p>
  </w:footnote>
  <w:footnote w:id="7">
    <w:p w14:paraId="2FD7306F" w14:textId="5F7B72A7" w:rsidR="00CA13F6" w:rsidRPr="006F05B3" w:rsidRDefault="00CA13F6" w:rsidP="00CA13F6">
      <w:pPr>
        <w:pStyle w:val="FootnoteText"/>
      </w:pPr>
      <w:r w:rsidRPr="006F05B3">
        <w:rPr>
          <w:rStyle w:val="FootnoteReference"/>
        </w:rPr>
        <w:footnoteRef/>
      </w:r>
      <w:r w:rsidRPr="006F05B3">
        <w:t xml:space="preserve"> ОВ C 434, 30.11.2018 г., стр. 103.</w:t>
      </w:r>
    </w:p>
  </w:footnote>
  <w:footnote w:id="8">
    <w:p w14:paraId="6D69E199" w14:textId="1DEA59B8" w:rsidR="00CA13F6" w:rsidRPr="006F05B3" w:rsidRDefault="00CA13F6" w:rsidP="00CA13F6">
      <w:pPr>
        <w:pStyle w:val="FootnoteText"/>
      </w:pPr>
      <w:r w:rsidRPr="006F05B3">
        <w:rPr>
          <w:rStyle w:val="FootnoteReference"/>
        </w:rPr>
        <w:footnoteRef/>
      </w:r>
      <w:r w:rsidRPr="006F05B3">
        <w:t xml:space="preserve"> ОВ C 434, 30.11.2018 г., стр. 103.</w:t>
      </w:r>
    </w:p>
  </w:footnote>
  <w:footnote w:id="9">
    <w:p w14:paraId="12008B2B" w14:textId="77777777" w:rsidR="00CA13F6" w:rsidRPr="006F05B3" w:rsidRDefault="00CA13F6" w:rsidP="00CA13F6">
      <w:pPr>
        <w:pStyle w:val="FootnoteText"/>
      </w:pPr>
      <w:r w:rsidRPr="006F05B3">
        <w:rPr>
          <w:rStyle w:val="FootnoteReference"/>
        </w:rPr>
        <w:footnoteRef/>
      </w:r>
      <w:r w:rsidRPr="006F05B3">
        <w:t xml:space="preserve"> OВ L 298, 26.10.2012 г., стр. 1.</w:t>
      </w:r>
    </w:p>
  </w:footnote>
  <w:footnote w:id="10">
    <w:p w14:paraId="39E7A958" w14:textId="77777777" w:rsidR="00CA13F6" w:rsidRPr="006F05B3" w:rsidRDefault="00CA13F6" w:rsidP="00CA13F6">
      <w:pPr>
        <w:pStyle w:val="FootnoteText"/>
      </w:pPr>
      <w:r w:rsidRPr="006F05B3">
        <w:rPr>
          <w:rStyle w:val="FootnoteReference"/>
        </w:rPr>
        <w:footnoteRef/>
      </w:r>
      <w:r w:rsidRPr="006F05B3">
        <w:t xml:space="preserve"> ОВ L 193, 30.7.2018 г., стр. 1.</w:t>
      </w:r>
    </w:p>
  </w:footnote>
  <w:footnote w:id="11">
    <w:p w14:paraId="07585BB4" w14:textId="77777777" w:rsidR="00CA13F6" w:rsidRPr="006F05B3" w:rsidRDefault="00CA13F6" w:rsidP="00CA13F6">
      <w:pPr>
        <w:pStyle w:val="FootnoteText"/>
      </w:pPr>
      <w:r w:rsidRPr="006F05B3">
        <w:rPr>
          <w:rStyle w:val="FootnoteReference"/>
        </w:rPr>
        <w:footnoteRef/>
      </w:r>
      <w:r w:rsidRPr="006F05B3">
        <w:t xml:space="preserve"> OВ L 126, 21.5.2009 г., стр. 13.</w:t>
      </w:r>
    </w:p>
  </w:footnote>
  <w:footnote w:id="12">
    <w:p w14:paraId="63C2CDD9" w14:textId="77777777" w:rsidR="00CA13F6" w:rsidRPr="006F05B3" w:rsidRDefault="00CA13F6" w:rsidP="00CA13F6">
      <w:pPr>
        <w:pStyle w:val="FootnoteText"/>
      </w:pPr>
      <w:r w:rsidRPr="006F05B3">
        <w:rPr>
          <w:rStyle w:val="FootnoteReference"/>
        </w:rPr>
        <w:footnoteRef/>
      </w:r>
      <w:r w:rsidRPr="006F05B3">
        <w:t xml:space="preserve"> ОВ L 328, 7.12.2013 г., стр. 42.</w:t>
      </w:r>
    </w:p>
  </w:footnote>
  <w:footnote w:id="13">
    <w:p w14:paraId="435FE648" w14:textId="41A426F6" w:rsidR="00CA13F6" w:rsidRPr="006F05B3" w:rsidRDefault="00CA13F6" w:rsidP="00CA13F6">
      <w:pPr>
        <w:pStyle w:val="FootnoteText"/>
      </w:pPr>
      <w:r w:rsidRPr="006F05B3">
        <w:rPr>
          <w:rStyle w:val="FootnoteReference"/>
        </w:rPr>
        <w:footnoteRef/>
      </w:r>
      <w:r w:rsidRPr="006F05B3">
        <w:t xml:space="preserve"> ОВ C 360, 24.10.2017 г., стр. 1</w:t>
      </w:r>
    </w:p>
  </w:footnote>
  <w:footnote w:id="14">
    <w:p w14:paraId="511239F0" w14:textId="77777777" w:rsidR="00C05680" w:rsidRPr="006F05B3" w:rsidRDefault="00C05680">
      <w:pPr>
        <w:pStyle w:val="FootnoteText"/>
      </w:pPr>
      <w:r w:rsidRPr="006F05B3">
        <w:rPr>
          <w:rStyle w:val="FootnoteReference"/>
        </w:rPr>
        <w:footnoteRef/>
      </w:r>
      <w:r w:rsidRPr="006F05B3">
        <w:t xml:space="preserve"> Приети текстове, P8_TA-PROV(2019)0000.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EEE9B" w14:textId="77777777" w:rsidR="00045EA2" w:rsidRDefault="00045E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5C3AB" w14:textId="77777777" w:rsidR="00045EA2" w:rsidRDefault="00045E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41D5B" w14:textId="77777777" w:rsidR="00045EA2" w:rsidRDefault="00045E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091318"/>
    <w:multiLevelType w:val="hybridMultilevel"/>
    <w:tmpl w:val="143224D2"/>
    <w:lvl w:ilvl="0" w:tplc="DEFAB94C">
      <w:start w:val="1"/>
      <w:numFmt w:val="upperLetter"/>
      <w:lvlText w:val="%1."/>
      <w:lvlJc w:val="left"/>
      <w:pPr>
        <w:tabs>
          <w:tab w:val="num" w:pos="360"/>
        </w:tabs>
        <w:ind w:left="360" w:hanging="360"/>
      </w:pPr>
      <w:rPr>
        <w:rFonts w:hint="default"/>
      </w:rPr>
    </w:lvl>
    <w:lvl w:ilvl="1" w:tplc="48BA97DC" w:tentative="1">
      <w:start w:val="1"/>
      <w:numFmt w:val="lowerLetter"/>
      <w:lvlText w:val="%2."/>
      <w:lvlJc w:val="left"/>
      <w:pPr>
        <w:tabs>
          <w:tab w:val="num" w:pos="1080"/>
        </w:tabs>
        <w:ind w:left="1080" w:hanging="360"/>
      </w:pPr>
    </w:lvl>
    <w:lvl w:ilvl="2" w:tplc="68166D56" w:tentative="1">
      <w:start w:val="1"/>
      <w:numFmt w:val="lowerRoman"/>
      <w:lvlText w:val="%3."/>
      <w:lvlJc w:val="right"/>
      <w:pPr>
        <w:tabs>
          <w:tab w:val="num" w:pos="1800"/>
        </w:tabs>
        <w:ind w:left="1800" w:hanging="180"/>
      </w:pPr>
    </w:lvl>
    <w:lvl w:ilvl="3" w:tplc="F8128364" w:tentative="1">
      <w:start w:val="1"/>
      <w:numFmt w:val="decimal"/>
      <w:lvlText w:val="%4."/>
      <w:lvlJc w:val="left"/>
      <w:pPr>
        <w:tabs>
          <w:tab w:val="num" w:pos="2520"/>
        </w:tabs>
        <w:ind w:left="2520" w:hanging="360"/>
      </w:pPr>
    </w:lvl>
    <w:lvl w:ilvl="4" w:tplc="0F80E368" w:tentative="1">
      <w:start w:val="1"/>
      <w:numFmt w:val="lowerLetter"/>
      <w:lvlText w:val="%5."/>
      <w:lvlJc w:val="left"/>
      <w:pPr>
        <w:tabs>
          <w:tab w:val="num" w:pos="3240"/>
        </w:tabs>
        <w:ind w:left="3240" w:hanging="360"/>
      </w:pPr>
    </w:lvl>
    <w:lvl w:ilvl="5" w:tplc="ADEA87C2" w:tentative="1">
      <w:start w:val="1"/>
      <w:numFmt w:val="lowerRoman"/>
      <w:lvlText w:val="%6."/>
      <w:lvlJc w:val="right"/>
      <w:pPr>
        <w:tabs>
          <w:tab w:val="num" w:pos="3960"/>
        </w:tabs>
        <w:ind w:left="3960" w:hanging="180"/>
      </w:pPr>
    </w:lvl>
    <w:lvl w:ilvl="6" w:tplc="BEA429C8" w:tentative="1">
      <w:start w:val="1"/>
      <w:numFmt w:val="decimal"/>
      <w:lvlText w:val="%7."/>
      <w:lvlJc w:val="left"/>
      <w:pPr>
        <w:tabs>
          <w:tab w:val="num" w:pos="4680"/>
        </w:tabs>
        <w:ind w:left="4680" w:hanging="360"/>
      </w:pPr>
    </w:lvl>
    <w:lvl w:ilvl="7" w:tplc="5A6C46D6" w:tentative="1">
      <w:start w:val="1"/>
      <w:numFmt w:val="lowerLetter"/>
      <w:lvlText w:val="%8."/>
      <w:lvlJc w:val="left"/>
      <w:pPr>
        <w:tabs>
          <w:tab w:val="num" w:pos="5400"/>
        </w:tabs>
        <w:ind w:left="5400" w:hanging="360"/>
      </w:pPr>
    </w:lvl>
    <w:lvl w:ilvl="8" w:tplc="05C01AA0" w:tentative="1">
      <w:start w:val="1"/>
      <w:numFmt w:val="lowerRoman"/>
      <w:lvlText w:val="%9."/>
      <w:lvlJc w:val="right"/>
      <w:pPr>
        <w:tabs>
          <w:tab w:val="num" w:pos="6120"/>
        </w:tabs>
        <w:ind w:left="6120" w:hanging="180"/>
      </w:pPr>
    </w:lvl>
  </w:abstractNum>
  <w:abstractNum w:abstractNumId="11" w15:restartNumberingAfterBreak="0">
    <w:nsid w:val="462D6E49"/>
    <w:multiLevelType w:val="hybridMultilevel"/>
    <w:tmpl w:val="78B8CEFC"/>
    <w:lvl w:ilvl="0" w:tplc="2F645BCE">
      <w:start w:val="1"/>
      <w:numFmt w:val="decimal"/>
      <w:lvlText w:val="%1."/>
      <w:lvlJc w:val="left"/>
      <w:pPr>
        <w:tabs>
          <w:tab w:val="num" w:pos="720"/>
        </w:tabs>
        <w:ind w:left="720" w:hanging="360"/>
      </w:pPr>
    </w:lvl>
    <w:lvl w:ilvl="1" w:tplc="3F90C978" w:tentative="1">
      <w:start w:val="1"/>
      <w:numFmt w:val="lowerLetter"/>
      <w:lvlText w:val="%2."/>
      <w:lvlJc w:val="left"/>
      <w:pPr>
        <w:tabs>
          <w:tab w:val="num" w:pos="1440"/>
        </w:tabs>
        <w:ind w:left="1440" w:hanging="360"/>
      </w:pPr>
    </w:lvl>
    <w:lvl w:ilvl="2" w:tplc="B2609BB0" w:tentative="1">
      <w:start w:val="1"/>
      <w:numFmt w:val="lowerRoman"/>
      <w:lvlText w:val="%3."/>
      <w:lvlJc w:val="right"/>
      <w:pPr>
        <w:tabs>
          <w:tab w:val="num" w:pos="2160"/>
        </w:tabs>
        <w:ind w:left="2160" w:hanging="180"/>
      </w:pPr>
    </w:lvl>
    <w:lvl w:ilvl="3" w:tplc="28F6C45C" w:tentative="1">
      <w:start w:val="1"/>
      <w:numFmt w:val="decimal"/>
      <w:lvlText w:val="%4."/>
      <w:lvlJc w:val="left"/>
      <w:pPr>
        <w:tabs>
          <w:tab w:val="num" w:pos="2880"/>
        </w:tabs>
        <w:ind w:left="2880" w:hanging="360"/>
      </w:pPr>
    </w:lvl>
    <w:lvl w:ilvl="4" w:tplc="8AF41B7E" w:tentative="1">
      <w:start w:val="1"/>
      <w:numFmt w:val="lowerLetter"/>
      <w:lvlText w:val="%5."/>
      <w:lvlJc w:val="left"/>
      <w:pPr>
        <w:tabs>
          <w:tab w:val="num" w:pos="3600"/>
        </w:tabs>
        <w:ind w:left="3600" w:hanging="360"/>
      </w:pPr>
    </w:lvl>
    <w:lvl w:ilvl="5" w:tplc="28AA6CF8" w:tentative="1">
      <w:start w:val="1"/>
      <w:numFmt w:val="lowerRoman"/>
      <w:lvlText w:val="%6."/>
      <w:lvlJc w:val="right"/>
      <w:pPr>
        <w:tabs>
          <w:tab w:val="num" w:pos="4320"/>
        </w:tabs>
        <w:ind w:left="4320" w:hanging="180"/>
      </w:pPr>
    </w:lvl>
    <w:lvl w:ilvl="6" w:tplc="C744346E" w:tentative="1">
      <w:start w:val="1"/>
      <w:numFmt w:val="decimal"/>
      <w:lvlText w:val="%7."/>
      <w:lvlJc w:val="left"/>
      <w:pPr>
        <w:tabs>
          <w:tab w:val="num" w:pos="5040"/>
        </w:tabs>
        <w:ind w:left="5040" w:hanging="360"/>
      </w:pPr>
    </w:lvl>
    <w:lvl w:ilvl="7" w:tplc="D0866368" w:tentative="1">
      <w:start w:val="1"/>
      <w:numFmt w:val="lowerLetter"/>
      <w:lvlText w:val="%8."/>
      <w:lvlJc w:val="left"/>
      <w:pPr>
        <w:tabs>
          <w:tab w:val="num" w:pos="5760"/>
        </w:tabs>
        <w:ind w:left="5760" w:hanging="360"/>
      </w:pPr>
    </w:lvl>
    <w:lvl w:ilvl="8" w:tplc="1C5E8CDE" w:tentative="1">
      <w:start w:val="1"/>
      <w:numFmt w:val="lowerRoman"/>
      <w:lvlText w:val="%9."/>
      <w:lvlJc w:val="right"/>
      <w:pPr>
        <w:tabs>
          <w:tab w:val="num" w:pos="6480"/>
        </w:tabs>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1KEY" w:val="ENVI"/>
    <w:docVar w:name="COMOPINMNU" w:val=" 2"/>
    <w:docVar w:name="CopyToNetwork" w:val="-1"/>
    <w:docVar w:name="DECISIONMNU" w:val=" 3"/>
    <w:docVar w:name="DOCDT" w:val="01/03/2019"/>
    <w:docVar w:name="FN1DT" w:val="..."/>
    <w:docVar w:name="FN2DT" w:val="..."/>
    <w:docVar w:name="LastAMInserted" w:val="2"/>
    <w:docVar w:name="LastEditedSection" w:val=" 1"/>
    <w:docVar w:name="NumberAMInserted" w:val="2"/>
    <w:docVar w:name="OBSERVATIONSMNU" w:val=" 1"/>
    <w:docVar w:name="OPIN1MNU" w:val=" 1"/>
    <w:docVar w:name="STOREDT" w:val="..."/>
    <w:docVar w:name="strDocTypeID" w:val="PR_DEC_Agencies"/>
    <w:docVar w:name="strSubDir" w:val="626"/>
    <w:docVar w:name="TITLEMNU" w:val=" 14"/>
    <w:docVar w:name="TXTBUDYEAR" w:val="2017"/>
    <w:docVar w:name="TXTFN1" w:val="…"/>
    <w:docVar w:name="TXTFN2" w:val="…"/>
    <w:docVar w:name="TXTLANGUE" w:val="BG"/>
    <w:docVar w:name="TXTLANGUEMIN" w:val="bg"/>
    <w:docVar w:name="TXTNRC" w:val="0000/2019"/>
    <w:docVar w:name="TXTNRCOUNC" w:val="00000/2019"/>
    <w:docVar w:name="TXTNRDEC" w:val="2018/2182"/>
    <w:docVar w:name="TXTNRPE" w:val="626.793"/>
    <w:docVar w:name="TXTNRTA" w:val="-PROV(2019)0000"/>
    <w:docVar w:name="TXTPEorAP" w:val="PE"/>
    <w:docVar w:name="TXTPG1" w:val="…"/>
    <w:docVar w:name="TXTPG2" w:val="…"/>
    <w:docVar w:name="TXTROUTE" w:val="RR\1178356BG.docx"/>
    <w:docVar w:name="TXTVERSION" w:val="02-00"/>
  </w:docVars>
  <w:rsids>
    <w:rsidRoot w:val="007A4FAF"/>
    <w:rsid w:val="00002C51"/>
    <w:rsid w:val="00011462"/>
    <w:rsid w:val="00021CE7"/>
    <w:rsid w:val="00023D41"/>
    <w:rsid w:val="00027A46"/>
    <w:rsid w:val="00041ED7"/>
    <w:rsid w:val="00045EA2"/>
    <w:rsid w:val="00073501"/>
    <w:rsid w:val="00090E0B"/>
    <w:rsid w:val="000A05D5"/>
    <w:rsid w:val="000A2807"/>
    <w:rsid w:val="000B47E5"/>
    <w:rsid w:val="000D45D6"/>
    <w:rsid w:val="00104CB9"/>
    <w:rsid w:val="00116CB4"/>
    <w:rsid w:val="00150EC1"/>
    <w:rsid w:val="001616EE"/>
    <w:rsid w:val="0017746B"/>
    <w:rsid w:val="00184898"/>
    <w:rsid w:val="0018680F"/>
    <w:rsid w:val="001B4494"/>
    <w:rsid w:val="001E1032"/>
    <w:rsid w:val="00202D84"/>
    <w:rsid w:val="00206CE7"/>
    <w:rsid w:val="00253648"/>
    <w:rsid w:val="00256BE3"/>
    <w:rsid w:val="00262B0F"/>
    <w:rsid w:val="00276092"/>
    <w:rsid w:val="002D6EA9"/>
    <w:rsid w:val="002F1535"/>
    <w:rsid w:val="00307EF9"/>
    <w:rsid w:val="0031254A"/>
    <w:rsid w:val="00373561"/>
    <w:rsid w:val="00381864"/>
    <w:rsid w:val="00390068"/>
    <w:rsid w:val="003D353C"/>
    <w:rsid w:val="003D64BE"/>
    <w:rsid w:val="003E25A9"/>
    <w:rsid w:val="003E735B"/>
    <w:rsid w:val="003F0E64"/>
    <w:rsid w:val="003F1F08"/>
    <w:rsid w:val="00413713"/>
    <w:rsid w:val="004365D9"/>
    <w:rsid w:val="004624F3"/>
    <w:rsid w:val="004651E1"/>
    <w:rsid w:val="004A34BF"/>
    <w:rsid w:val="004A480C"/>
    <w:rsid w:val="004C6C3F"/>
    <w:rsid w:val="004D13BA"/>
    <w:rsid w:val="004D29E9"/>
    <w:rsid w:val="005179F6"/>
    <w:rsid w:val="00550E6B"/>
    <w:rsid w:val="00555F71"/>
    <w:rsid w:val="00564BE3"/>
    <w:rsid w:val="00564D97"/>
    <w:rsid w:val="00564DB0"/>
    <w:rsid w:val="005A3D7F"/>
    <w:rsid w:val="005A6CAE"/>
    <w:rsid w:val="005B2950"/>
    <w:rsid w:val="005C689E"/>
    <w:rsid w:val="005D3E9F"/>
    <w:rsid w:val="005E7E89"/>
    <w:rsid w:val="0063324A"/>
    <w:rsid w:val="00643EBE"/>
    <w:rsid w:val="0066045F"/>
    <w:rsid w:val="00680ED2"/>
    <w:rsid w:val="006835EB"/>
    <w:rsid w:val="006B0ED0"/>
    <w:rsid w:val="006C7AD6"/>
    <w:rsid w:val="006D37D7"/>
    <w:rsid w:val="006D5743"/>
    <w:rsid w:val="006D5E36"/>
    <w:rsid w:val="006E391A"/>
    <w:rsid w:val="006F05B3"/>
    <w:rsid w:val="0074734C"/>
    <w:rsid w:val="007628D8"/>
    <w:rsid w:val="007A4AC9"/>
    <w:rsid w:val="007A4FAF"/>
    <w:rsid w:val="007C3B7E"/>
    <w:rsid w:val="007D1E61"/>
    <w:rsid w:val="007E2834"/>
    <w:rsid w:val="007F18BE"/>
    <w:rsid w:val="007F2039"/>
    <w:rsid w:val="0081446A"/>
    <w:rsid w:val="00825D4A"/>
    <w:rsid w:val="00841D8C"/>
    <w:rsid w:val="00855AD9"/>
    <w:rsid w:val="008704D7"/>
    <w:rsid w:val="00895F7F"/>
    <w:rsid w:val="008A23A3"/>
    <w:rsid w:val="008C1C54"/>
    <w:rsid w:val="008D2063"/>
    <w:rsid w:val="008E1837"/>
    <w:rsid w:val="008E537B"/>
    <w:rsid w:val="00907226"/>
    <w:rsid w:val="00915176"/>
    <w:rsid w:val="00916826"/>
    <w:rsid w:val="00942A33"/>
    <w:rsid w:val="00947D32"/>
    <w:rsid w:val="00953D69"/>
    <w:rsid w:val="009807D1"/>
    <w:rsid w:val="0098790E"/>
    <w:rsid w:val="009879A1"/>
    <w:rsid w:val="009934B2"/>
    <w:rsid w:val="009A1AE4"/>
    <w:rsid w:val="009B1647"/>
    <w:rsid w:val="009B566F"/>
    <w:rsid w:val="009D15CB"/>
    <w:rsid w:val="00A10187"/>
    <w:rsid w:val="00A273FA"/>
    <w:rsid w:val="00A342B7"/>
    <w:rsid w:val="00A35902"/>
    <w:rsid w:val="00A54899"/>
    <w:rsid w:val="00A84FF1"/>
    <w:rsid w:val="00A95064"/>
    <w:rsid w:val="00A97C1B"/>
    <w:rsid w:val="00AB4789"/>
    <w:rsid w:val="00AD2ECC"/>
    <w:rsid w:val="00AF130A"/>
    <w:rsid w:val="00AF544D"/>
    <w:rsid w:val="00B553CB"/>
    <w:rsid w:val="00B6540D"/>
    <w:rsid w:val="00B75AA6"/>
    <w:rsid w:val="00B844BC"/>
    <w:rsid w:val="00BA46FB"/>
    <w:rsid w:val="00BA76AB"/>
    <w:rsid w:val="00BB09B0"/>
    <w:rsid w:val="00BD13C4"/>
    <w:rsid w:val="00BD345E"/>
    <w:rsid w:val="00BE0DC4"/>
    <w:rsid w:val="00BF0771"/>
    <w:rsid w:val="00C05680"/>
    <w:rsid w:val="00C1531C"/>
    <w:rsid w:val="00C22B5D"/>
    <w:rsid w:val="00C46F6A"/>
    <w:rsid w:val="00C523E7"/>
    <w:rsid w:val="00C56953"/>
    <w:rsid w:val="00C570FD"/>
    <w:rsid w:val="00C607B5"/>
    <w:rsid w:val="00C6103D"/>
    <w:rsid w:val="00C63401"/>
    <w:rsid w:val="00C63F78"/>
    <w:rsid w:val="00CA13F6"/>
    <w:rsid w:val="00CB6B29"/>
    <w:rsid w:val="00CC0A06"/>
    <w:rsid w:val="00CF07EC"/>
    <w:rsid w:val="00D05CBA"/>
    <w:rsid w:val="00D20732"/>
    <w:rsid w:val="00D30840"/>
    <w:rsid w:val="00D46466"/>
    <w:rsid w:val="00D51D1D"/>
    <w:rsid w:val="00D57B79"/>
    <w:rsid w:val="00D74CC3"/>
    <w:rsid w:val="00DF7BA5"/>
    <w:rsid w:val="00E40FCD"/>
    <w:rsid w:val="00E44A07"/>
    <w:rsid w:val="00E50576"/>
    <w:rsid w:val="00EB31C4"/>
    <w:rsid w:val="00EC10F6"/>
    <w:rsid w:val="00F02E0E"/>
    <w:rsid w:val="00F0381D"/>
    <w:rsid w:val="00F21C7F"/>
    <w:rsid w:val="00F55DED"/>
    <w:rsid w:val="00F71101"/>
    <w:rsid w:val="00F84986"/>
    <w:rsid w:val="00F9531F"/>
    <w:rsid w:val="00F96ABA"/>
    <w:rsid w:val="00FD18F9"/>
    <w:rsid w:val="00FF5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5147871"/>
  <w15:chartTrackingRefBased/>
  <w15:docId w15:val="{C0BC92E1-0310-4963-9D9F-A01BF17D8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semiHidden/>
    <w:rsid w:val="00FD18F9"/>
    <w:pPr>
      <w:spacing w:after="0"/>
    </w:p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D46466"/>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E44A07"/>
    <w:pPr>
      <w:tabs>
        <w:tab w:val="left" w:pos="567"/>
      </w:tabs>
    </w:pPr>
  </w:style>
  <w:style w:type="paragraph" w:customStyle="1" w:styleId="RefProc">
    <w:name w:val="RefProc"/>
    <w:basedOn w:val="Normal"/>
    <w:rsid w:val="007D1E61"/>
    <w:pPr>
      <w:spacing w:before="240" w:after="240"/>
      <w:jc w:val="right"/>
    </w:pPr>
    <w:rPr>
      <w:rFonts w:ascii="Arial" w:hAnsi="Arial"/>
      <w:b/>
      <w:caps/>
    </w:rPr>
  </w:style>
  <w:style w:type="paragraph" w:customStyle="1" w:styleId="TypeDoc">
    <w:name w:val="TypeDoc"/>
    <w:basedOn w:val="Normal24"/>
    <w:pPr>
      <w:spacing w:before="480"/>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Cover24Tab">
    <w:name w:val="Cover24Tab"/>
    <w:basedOn w:val="Normal24"/>
    <w:pPr>
      <w:tabs>
        <w:tab w:val="left" w:pos="3686"/>
        <w:tab w:val="left" w:pos="3969"/>
      </w:tabs>
      <w:ind w:left="1418"/>
    </w:pPr>
    <w:rPr>
      <w:snapToGrid w:val="0"/>
      <w:lang w:eastAsia="en-US"/>
    </w:rPr>
  </w:style>
  <w:style w:type="paragraph" w:customStyle="1" w:styleId="Normal12a12bHanging">
    <w:name w:val="Normal12a12bHanging"/>
    <w:basedOn w:val="Normal12a12b"/>
    <w:rsid w:val="00FF5D7C"/>
    <w:pPr>
      <w:ind w:left="567" w:hanging="567"/>
    </w:pPr>
  </w:style>
  <w:style w:type="paragraph" w:customStyle="1" w:styleId="Normal24BoldCentre">
    <w:name w:val="Normal24BoldCentre"/>
    <w:basedOn w:val="Normal"/>
    <w:next w:val="Normal12Hanging"/>
    <w:pPr>
      <w:spacing w:after="480"/>
      <w:jc w:val="center"/>
    </w:pPr>
    <w:rPr>
      <w:b/>
      <w:noProof/>
    </w:rPr>
  </w:style>
  <w:style w:type="paragraph" w:styleId="TOC2">
    <w:name w:val="toc 2"/>
    <w:basedOn w:val="Normal"/>
    <w:next w:val="Normal"/>
    <w:semiHidden/>
    <w:pPr>
      <w:ind w:left="227"/>
    </w:pPr>
  </w:style>
  <w:style w:type="table" w:styleId="TableGrid">
    <w:name w:val="Table Grid"/>
    <w:basedOn w:val="TableNormal"/>
    <w:rsid w:val="00390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uiPriority w:val="39"/>
    <w:rsid w:val="00FD18F9"/>
    <w:pPr>
      <w:spacing w:after="240"/>
    </w:pPr>
  </w:style>
  <w:style w:type="paragraph" w:customStyle="1" w:styleId="ZCommittee">
    <w:name w:val="ZCommittee"/>
    <w:basedOn w:val="Normal"/>
    <w:next w:val="Normal"/>
    <w:rsid w:val="00390068"/>
    <w:pPr>
      <w:jc w:val="center"/>
    </w:pPr>
    <w:rPr>
      <w:rFonts w:ascii="Arial" w:hAnsi="Arial" w:cs="Arial"/>
      <w:i/>
      <w:sz w:val="22"/>
      <w:szCs w:val="22"/>
    </w:rPr>
  </w:style>
  <w:style w:type="paragraph" w:customStyle="1" w:styleId="LineTop">
    <w:name w:val="LineTop"/>
    <w:basedOn w:val="Normal"/>
    <w:next w:val="ZCommittee"/>
    <w:rsid w:val="00390068"/>
    <w:pPr>
      <w:pBdr>
        <w:top w:val="single" w:sz="4" w:space="1" w:color="auto"/>
      </w:pBdr>
      <w:jc w:val="center"/>
    </w:pPr>
    <w:rPr>
      <w:rFonts w:ascii="Arial" w:hAnsi="Arial"/>
      <w:sz w:val="16"/>
      <w:szCs w:val="16"/>
    </w:rPr>
  </w:style>
  <w:style w:type="paragraph" w:customStyle="1" w:styleId="LineBottom">
    <w:name w:val="LineBottom"/>
    <w:basedOn w:val="Normal"/>
    <w:next w:val="Normal"/>
    <w:rsid w:val="00390068"/>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D46466"/>
    <w:pPr>
      <w:spacing w:after="80"/>
    </w:pPr>
    <w:rPr>
      <w:rFonts w:ascii="Arial" w:hAnsi="Arial" w:cs="Arial"/>
      <w:sz w:val="20"/>
      <w:szCs w:val="22"/>
    </w:rPr>
  </w:style>
  <w:style w:type="paragraph" w:customStyle="1" w:styleId="EPLogo">
    <w:name w:val="EPLogo"/>
    <w:basedOn w:val="Normal"/>
    <w:qFormat/>
    <w:rsid w:val="00D46466"/>
    <w:pPr>
      <w:jc w:val="right"/>
    </w:pPr>
  </w:style>
  <w:style w:type="paragraph" w:styleId="FootnoteText">
    <w:name w:val="footnote text"/>
    <w:basedOn w:val="Normal"/>
    <w:link w:val="FootnoteTextChar"/>
    <w:rsid w:val="00C05680"/>
    <w:rPr>
      <w:sz w:val="20"/>
    </w:rPr>
  </w:style>
  <w:style w:type="character" w:customStyle="1" w:styleId="FootnoteTextChar">
    <w:name w:val="Footnote Text Char"/>
    <w:basedOn w:val="DefaultParagraphFont"/>
    <w:link w:val="FootnoteText"/>
    <w:rsid w:val="00C05680"/>
  </w:style>
  <w:style w:type="character" w:styleId="FootnoteReference">
    <w:name w:val="footnote reference"/>
    <w:basedOn w:val="DefaultParagraphFont"/>
    <w:rsid w:val="00C05680"/>
    <w:rPr>
      <w:vertAlign w:val="superscript"/>
    </w:rPr>
  </w:style>
  <w:style w:type="paragraph" w:customStyle="1" w:styleId="Visa">
    <w:name w:val="Visa"/>
    <w:basedOn w:val="Normal"/>
    <w:rsid w:val="00C05680"/>
    <w:pPr>
      <w:tabs>
        <w:tab w:val="left" w:pos="357"/>
      </w:tabs>
      <w:spacing w:after="240"/>
      <w:ind w:left="357" w:hanging="357"/>
    </w:pPr>
  </w:style>
  <w:style w:type="paragraph" w:customStyle="1" w:styleId="Default">
    <w:name w:val="Default"/>
    <w:rsid w:val="008C1C54"/>
    <w:pPr>
      <w:autoSpaceDE w:val="0"/>
      <w:autoSpaceDN w:val="0"/>
      <w:adjustRightInd w:val="0"/>
    </w:pPr>
    <w:rPr>
      <w:rFonts w:ascii="Calibri" w:eastAsia="Calibri" w:hAnsi="Calibri" w:cs="Calibri"/>
      <w:color w:val="000000"/>
      <w:sz w:val="24"/>
      <w:szCs w:val="24"/>
      <w:lang w:eastAsia="en-US"/>
    </w:rPr>
  </w:style>
  <w:style w:type="paragraph" w:styleId="BalloonText">
    <w:name w:val="Balloon Text"/>
    <w:basedOn w:val="Normal"/>
    <w:link w:val="BalloonTextChar"/>
    <w:rsid w:val="00262B0F"/>
    <w:rPr>
      <w:rFonts w:ascii="Segoe UI" w:hAnsi="Segoe UI" w:cs="Segoe UI"/>
      <w:sz w:val="18"/>
      <w:szCs w:val="18"/>
    </w:rPr>
  </w:style>
  <w:style w:type="character" w:customStyle="1" w:styleId="BalloonTextChar">
    <w:name w:val="Balloon Text Char"/>
    <w:basedOn w:val="DefaultParagraphFont"/>
    <w:link w:val="BalloonText"/>
    <w:rsid w:val="00262B0F"/>
    <w:rPr>
      <w:rFonts w:ascii="Segoe UI" w:hAnsi="Segoe UI" w:cs="Segoe UI"/>
      <w:sz w:val="18"/>
      <w:szCs w:val="18"/>
    </w:rPr>
  </w:style>
  <w:style w:type="character" w:styleId="CommentReference">
    <w:name w:val="annotation reference"/>
    <w:basedOn w:val="DefaultParagraphFont"/>
    <w:rsid w:val="00A342B7"/>
    <w:rPr>
      <w:sz w:val="16"/>
      <w:szCs w:val="16"/>
    </w:rPr>
  </w:style>
  <w:style w:type="paragraph" w:styleId="CommentText">
    <w:name w:val="annotation text"/>
    <w:basedOn w:val="Normal"/>
    <w:link w:val="CommentTextChar"/>
    <w:rsid w:val="00A342B7"/>
    <w:rPr>
      <w:sz w:val="20"/>
    </w:rPr>
  </w:style>
  <w:style w:type="character" w:customStyle="1" w:styleId="CommentTextChar">
    <w:name w:val="Comment Text Char"/>
    <w:basedOn w:val="DefaultParagraphFont"/>
    <w:link w:val="CommentText"/>
    <w:rsid w:val="00A342B7"/>
  </w:style>
  <w:style w:type="paragraph" w:styleId="CommentSubject">
    <w:name w:val="annotation subject"/>
    <w:basedOn w:val="CommentText"/>
    <w:next w:val="CommentText"/>
    <w:link w:val="CommentSubjectChar"/>
    <w:rsid w:val="00A342B7"/>
    <w:rPr>
      <w:b/>
      <w:bCs/>
    </w:rPr>
  </w:style>
  <w:style w:type="character" w:customStyle="1" w:styleId="CommentSubjectChar">
    <w:name w:val="Comment Subject Char"/>
    <w:basedOn w:val="CommentTextChar"/>
    <w:link w:val="CommentSubject"/>
    <w:rsid w:val="00A342B7"/>
    <w:rPr>
      <w:b/>
      <w:bCs/>
    </w:rPr>
  </w:style>
  <w:style w:type="character" w:customStyle="1" w:styleId="Normal12HangingChar">
    <w:name w:val="Normal12Hanging Char"/>
    <w:link w:val="Normal12Hanging"/>
    <w:rsid w:val="001616EE"/>
    <w:rPr>
      <w:sz w:val="24"/>
    </w:rPr>
  </w:style>
  <w:style w:type="paragraph" w:customStyle="1" w:styleId="PageHeadingNotTOC">
    <w:name w:val="PageHeadingNotTOC"/>
    <w:basedOn w:val="Normal12a12b"/>
    <w:rsid w:val="00F84986"/>
    <w:pPr>
      <w:keepNext/>
      <w:jc w:val="center"/>
    </w:pPr>
    <w:rPr>
      <w:rFonts w:ascii="Arial" w:hAnsi="Arial"/>
      <w:b/>
    </w:rPr>
  </w:style>
  <w:style w:type="paragraph" w:customStyle="1" w:styleId="NormalTabs">
    <w:name w:val="NormalTabs"/>
    <w:basedOn w:val="Normal"/>
    <w:qFormat/>
    <w:rsid w:val="00F84986"/>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59742">
      <w:bodyDiv w:val="1"/>
      <w:marLeft w:val="0"/>
      <w:marRight w:val="0"/>
      <w:marTop w:val="0"/>
      <w:marBottom w:val="0"/>
      <w:divBdr>
        <w:top w:val="none" w:sz="0" w:space="0" w:color="auto"/>
        <w:left w:val="none" w:sz="0" w:space="0" w:color="auto"/>
        <w:bottom w:val="none" w:sz="0" w:space="0" w:color="auto"/>
        <w:right w:val="none" w:sz="0" w:space="0" w:color="auto"/>
      </w:divBdr>
    </w:div>
    <w:div w:id="191260302">
      <w:bodyDiv w:val="1"/>
      <w:marLeft w:val="0"/>
      <w:marRight w:val="0"/>
      <w:marTop w:val="0"/>
      <w:marBottom w:val="0"/>
      <w:divBdr>
        <w:top w:val="none" w:sz="0" w:space="0" w:color="auto"/>
        <w:left w:val="none" w:sz="0" w:space="0" w:color="auto"/>
        <w:bottom w:val="none" w:sz="0" w:space="0" w:color="auto"/>
        <w:right w:val="none" w:sz="0" w:space="0" w:color="auto"/>
      </w:divBdr>
    </w:div>
    <w:div w:id="686061529">
      <w:bodyDiv w:val="1"/>
      <w:marLeft w:val="0"/>
      <w:marRight w:val="0"/>
      <w:marTop w:val="0"/>
      <w:marBottom w:val="0"/>
      <w:divBdr>
        <w:top w:val="none" w:sz="0" w:space="0" w:color="auto"/>
        <w:left w:val="none" w:sz="0" w:space="0" w:color="auto"/>
        <w:bottom w:val="none" w:sz="0" w:space="0" w:color="auto"/>
        <w:right w:val="none" w:sz="0" w:space="0" w:color="auto"/>
      </w:divBdr>
    </w:div>
    <w:div w:id="1157115037">
      <w:bodyDiv w:val="1"/>
      <w:marLeft w:val="0"/>
      <w:marRight w:val="0"/>
      <w:marTop w:val="0"/>
      <w:marBottom w:val="0"/>
      <w:divBdr>
        <w:top w:val="none" w:sz="0" w:space="0" w:color="auto"/>
        <w:left w:val="none" w:sz="0" w:space="0" w:color="auto"/>
        <w:bottom w:val="none" w:sz="0" w:space="0" w:color="auto"/>
        <w:right w:val="none" w:sz="0" w:space="0" w:color="auto"/>
      </w:divBdr>
    </w:div>
    <w:div w:id="1603340035">
      <w:bodyDiv w:val="1"/>
      <w:marLeft w:val="0"/>
      <w:marRight w:val="0"/>
      <w:marTop w:val="0"/>
      <w:marBottom w:val="0"/>
      <w:divBdr>
        <w:top w:val="none" w:sz="0" w:space="0" w:color="auto"/>
        <w:left w:val="none" w:sz="0" w:space="0" w:color="auto"/>
        <w:bottom w:val="none" w:sz="0" w:space="0" w:color="auto"/>
        <w:right w:val="none" w:sz="0" w:space="0" w:color="auto"/>
      </w:divBdr>
    </w:div>
    <w:div w:id="1773473712">
      <w:bodyDiv w:val="1"/>
      <w:marLeft w:val="0"/>
      <w:marRight w:val="0"/>
      <w:marTop w:val="0"/>
      <w:marBottom w:val="0"/>
      <w:divBdr>
        <w:top w:val="none" w:sz="0" w:space="0" w:color="auto"/>
        <w:left w:val="none" w:sz="0" w:space="0" w:color="auto"/>
        <w:bottom w:val="none" w:sz="0" w:space="0" w:color="auto"/>
        <w:right w:val="none" w:sz="0" w:space="0" w:color="auto"/>
      </w:divBdr>
    </w:div>
    <w:div w:id="1900676388">
      <w:bodyDiv w:val="1"/>
      <w:marLeft w:val="0"/>
      <w:marRight w:val="0"/>
      <w:marTop w:val="0"/>
      <w:marBottom w:val="0"/>
      <w:divBdr>
        <w:top w:val="none" w:sz="0" w:space="0" w:color="auto"/>
        <w:left w:val="none" w:sz="0" w:space="0" w:color="auto"/>
        <w:bottom w:val="none" w:sz="0" w:space="0" w:color="auto"/>
        <w:right w:val="none" w:sz="0" w:space="0" w:color="auto"/>
      </w:divBdr>
    </w:div>
    <w:div w:id="1939170846">
      <w:bodyDiv w:val="1"/>
      <w:marLeft w:val="0"/>
      <w:marRight w:val="0"/>
      <w:marTop w:val="0"/>
      <w:marBottom w:val="0"/>
      <w:divBdr>
        <w:top w:val="none" w:sz="0" w:space="0" w:color="auto"/>
        <w:left w:val="none" w:sz="0" w:space="0" w:color="auto"/>
        <w:bottom w:val="none" w:sz="0" w:space="0" w:color="auto"/>
        <w:right w:val="none" w:sz="0" w:space="0" w:color="auto"/>
      </w:divBdr>
    </w:div>
    <w:div w:id="20970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3583</Words>
  <Characters>20608</Characters>
  <Application>Microsoft Office Word</Application>
  <DocSecurity>0</DocSecurity>
  <Lines>502</Lines>
  <Paragraphs>241</Paragraphs>
  <ScaleCrop>false</ScaleCrop>
  <HeadingPairs>
    <vt:vector size="2" baseType="variant">
      <vt:variant>
        <vt:lpstr>Title</vt:lpstr>
      </vt:variant>
      <vt:variant>
        <vt:i4>1</vt:i4>
      </vt:variant>
    </vt:vector>
  </HeadingPairs>
  <TitlesOfParts>
    <vt:vector size="1" baseType="lpstr">
      <vt:lpstr>PR_Dec_Agencies</vt:lpstr>
    </vt:vector>
  </TitlesOfParts>
  <Company/>
  <LinksUpToDate>false</LinksUpToDate>
  <CharactersWithSpaces>23950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PR_Dec_Agencies</dc:title>
  <dc:subject/>
  <dc:creator>BROECKX Fanny</dc:creator>
  <cp:keywords/>
  <dc:description/>
  <cp:lastModifiedBy>CHRISTOVA Ivanka</cp:lastModifiedBy>
  <cp:revision>2</cp:revision>
  <cp:lastPrinted>2019-02-28T13:29:00Z</cp:lastPrinted>
  <dcterms:created xsi:type="dcterms:W3CDTF">2019-03-14T15:00:00Z</dcterms:created>
  <dcterms:modified xsi:type="dcterms:W3CDTF">2019-03-14T15:00:00Z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9.5.1 Build [20181101]</vt:lpwstr>
  </property>
  <property fmtid="{D5CDD505-2E9C-101B-9397-08002B2CF9AE}" pid="4" name="&lt;FdR&gt;">
    <vt:lpwstr>1178356</vt:lpwstr>
  </property>
  <property fmtid="{D5CDD505-2E9C-101B-9397-08002B2CF9AE}" pid="5" name="&lt;Type&gt;">
    <vt:lpwstr>RR</vt:lpwstr>
  </property>
  <property fmtid="{D5CDD505-2E9C-101B-9397-08002B2CF9AE}" pid="6" name="&lt;ModelCod&gt;">
    <vt:lpwstr>\\eiciBRUpr1\pdocep$\DocEP\DOCS\General\PR\PR_BUD\DEC\PR_DEC_Agencies.dot(07/06/2018 20:01:22)</vt:lpwstr>
  </property>
  <property fmtid="{D5CDD505-2E9C-101B-9397-08002B2CF9AE}" pid="7" name="&lt;ModelTra&gt;">
    <vt:lpwstr>\\eiciBRUpr1\pdocep$\DocEP\TRANSFIL\EN\PR_DEC_Agencies.EN(07/06/2018 19:59:36)</vt:lpwstr>
  </property>
  <property fmtid="{D5CDD505-2E9C-101B-9397-08002B2CF9AE}" pid="8" name="&lt;Model&gt;">
    <vt:lpwstr>PR_DEC_Agencies</vt:lpwstr>
  </property>
  <property fmtid="{D5CDD505-2E9C-101B-9397-08002B2CF9AE}" pid="9" name="FooterPath">
    <vt:lpwstr>RR\1178356BG.docx</vt:lpwstr>
  </property>
  <property fmtid="{D5CDD505-2E9C-101B-9397-08002B2CF9AE}" pid="10" name="PE number">
    <vt:lpwstr>626.793</vt:lpwstr>
  </property>
  <property fmtid="{D5CDD505-2E9C-101B-9397-08002B2CF9AE}" pid="11" name="SubscribeElise">
    <vt:lpwstr/>
  </property>
  <property fmtid="{D5CDD505-2E9C-101B-9397-08002B2CF9AE}" pid="12" name="SendToEpades">
    <vt:lpwstr/>
  </property>
  <property fmtid="{D5CDD505-2E9C-101B-9397-08002B2CF9AE}" pid="13" name="SDLStudio">
    <vt:lpwstr/>
  </property>
  <property fmtid="{D5CDD505-2E9C-101B-9397-08002B2CF9AE}" pid="14" name="&lt;Extension&gt;">
    <vt:lpwstr>BG</vt:lpwstr>
  </property>
  <property fmtid="{D5CDD505-2E9C-101B-9397-08002B2CF9AE}" pid="15" name="Bookout">
    <vt:lpwstr>OK - 2019/03/14 16:00</vt:lpwstr>
  </property>
</Properties>
</file>