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3605FB" w:rsidTr="00947D32">
        <w:trPr>
          <w:trHeight w:hRule="exact" w:val="1418"/>
        </w:trPr>
        <w:tc>
          <w:tcPr>
            <w:tcW w:w="6804" w:type="dxa"/>
            <w:shd w:val="clear" w:color="auto" w:fill="auto"/>
            <w:vAlign w:val="center"/>
          </w:tcPr>
          <w:p w:rsidR="00D46466" w:rsidRPr="003605FB" w:rsidRDefault="003605FB" w:rsidP="00947D32">
            <w:pPr>
              <w:pStyle w:val="EPName"/>
            </w:pPr>
            <w:r>
              <w:t>Eiropas Parlaments</w:t>
            </w:r>
          </w:p>
          <w:p w:rsidR="00D46466" w:rsidRPr="00C00212" w:rsidRDefault="00C00212" w:rsidP="00C00212">
            <w:pPr>
              <w:pStyle w:val="EPTerm"/>
              <w:rPr>
                <w:rStyle w:val="HideTWBExt"/>
                <w:noProof w:val="0"/>
                <w:vanish w:val="0"/>
                <w:color w:val="auto"/>
              </w:rPr>
            </w:pPr>
            <w:r>
              <w:t>2014-2019</w:t>
            </w:r>
          </w:p>
        </w:tc>
        <w:tc>
          <w:tcPr>
            <w:tcW w:w="2268" w:type="dxa"/>
            <w:shd w:val="clear" w:color="auto" w:fill="auto"/>
          </w:tcPr>
          <w:p w:rsidR="00D46466" w:rsidRPr="003605FB" w:rsidRDefault="00783DAA"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3605FB" w:rsidRDefault="00390068" w:rsidP="00390068">
      <w:pPr>
        <w:pStyle w:val="LineTop"/>
      </w:pPr>
    </w:p>
    <w:p w:rsidR="00390068" w:rsidRPr="003605FB" w:rsidRDefault="00F2050A" w:rsidP="00390068">
      <w:pPr>
        <w:pStyle w:val="ZCommittee"/>
      </w:pPr>
      <w:r>
        <w:t>Sesijas dokuments</w:t>
      </w:r>
    </w:p>
    <w:p w:rsidR="00390068" w:rsidRPr="003605FB" w:rsidRDefault="00390068" w:rsidP="00390068">
      <w:pPr>
        <w:pStyle w:val="LineBottom"/>
      </w:pPr>
    </w:p>
    <w:p w:rsidR="00C1531C" w:rsidRPr="003605FB" w:rsidRDefault="00F2050A">
      <w:pPr>
        <w:pStyle w:val="RefProc"/>
      </w:pPr>
      <w:r w:rsidRPr="00F2050A">
        <w:rPr>
          <w:rStyle w:val="HideTWBExt"/>
          <w:noProof w:val="0"/>
        </w:rPr>
        <w:t>&lt;NoDocSe&gt;</w:t>
      </w:r>
      <w:r w:rsidRPr="00F2050A">
        <w:t>A8-0132/2019</w:t>
      </w:r>
      <w:r w:rsidRPr="00F2050A">
        <w:rPr>
          <w:rStyle w:val="HideTWBExt"/>
          <w:noProof w:val="0"/>
        </w:rPr>
        <w:t>&lt;/NoDocSe&gt;</w:t>
      </w:r>
    </w:p>
    <w:p w:rsidR="00C1531C" w:rsidRPr="003605FB" w:rsidRDefault="00C1531C">
      <w:pPr>
        <w:pStyle w:val="ZDate"/>
      </w:pPr>
      <w:r>
        <w:rPr>
          <w:rStyle w:val="HideTWBExt"/>
          <w:noProof w:val="0"/>
        </w:rPr>
        <w:t>&lt;Date&gt;</w:t>
      </w:r>
      <w:r w:rsidR="00F2050A" w:rsidRPr="00F2050A">
        <w:rPr>
          <w:rStyle w:val="HideTWBInt"/>
        </w:rPr>
        <w:t>{01/03/2019}</w:t>
      </w:r>
      <w:r w:rsidR="00F2050A" w:rsidRPr="00F2050A">
        <w:t>1.3.2019</w:t>
      </w:r>
      <w:r>
        <w:rPr>
          <w:rStyle w:val="HideTWBExt"/>
          <w:noProof w:val="0"/>
        </w:rPr>
        <w:t>&lt;/Date&gt;</w:t>
      </w:r>
    </w:p>
    <w:p w:rsidR="00C1531C" w:rsidRPr="003605FB" w:rsidRDefault="00C1531C">
      <w:pPr>
        <w:pStyle w:val="TypeDoc"/>
      </w:pPr>
      <w:r>
        <w:rPr>
          <w:rStyle w:val="HideTWBExt"/>
          <w:b w:val="0"/>
          <w:noProof w:val="0"/>
        </w:rPr>
        <w:t>&lt;TitreType&gt;</w:t>
      </w:r>
      <w:r w:rsidR="00F2050A" w:rsidRPr="00F2050A">
        <w:t>ZIŅOJUMS</w:t>
      </w:r>
      <w:r>
        <w:rPr>
          <w:rStyle w:val="HideTWBExt"/>
          <w:b w:val="0"/>
          <w:noProof w:val="0"/>
        </w:rPr>
        <w:t>&lt;/TitreType&gt;</w:t>
      </w:r>
    </w:p>
    <w:p w:rsidR="00C1531C" w:rsidRPr="003605FB" w:rsidRDefault="00C1531C">
      <w:pPr>
        <w:pStyle w:val="CoverNormal"/>
      </w:pPr>
      <w:r>
        <w:rPr>
          <w:rStyle w:val="HideTWBExt"/>
          <w:noProof w:val="0"/>
        </w:rPr>
        <w:t>&lt;Titre&gt;</w:t>
      </w:r>
      <w:r>
        <w:t xml:space="preserve">par </w:t>
      </w:r>
      <w:r>
        <w:rPr>
          <w:i/>
        </w:rPr>
        <w:t>Euratom</w:t>
      </w:r>
      <w:r>
        <w:t xml:space="preserve"> Apgādes aģentūras (</w:t>
      </w:r>
      <w:r>
        <w:rPr>
          <w:i/>
        </w:rPr>
        <w:t>ESA</w:t>
      </w:r>
      <w:r>
        <w:t>) 2017. finanšu gada budžeta izpildes apstiprināšanu</w:t>
      </w:r>
      <w:r>
        <w:rPr>
          <w:rStyle w:val="HideTWBExt"/>
          <w:noProof w:val="0"/>
        </w:rPr>
        <w:t>&lt;/Titre&gt;</w:t>
      </w:r>
    </w:p>
    <w:p w:rsidR="00C1531C" w:rsidRPr="003605FB" w:rsidRDefault="005C689E">
      <w:pPr>
        <w:pStyle w:val="Cover24"/>
      </w:pPr>
      <w:r>
        <w:rPr>
          <w:rStyle w:val="HideTWBExt"/>
          <w:noProof w:val="0"/>
        </w:rPr>
        <w:t>&lt;DocRef&gt;</w:t>
      </w:r>
      <w:r>
        <w:t>(2018/2199(DEC))</w:t>
      </w:r>
      <w:r>
        <w:rPr>
          <w:rStyle w:val="HideTWBExt"/>
          <w:noProof w:val="0"/>
        </w:rPr>
        <w:t>&lt;/DocRef&gt;</w:t>
      </w:r>
    </w:p>
    <w:p w:rsidR="00C1531C" w:rsidRPr="003605FB" w:rsidRDefault="00C1531C">
      <w:pPr>
        <w:pStyle w:val="Cover24"/>
      </w:pPr>
      <w:r>
        <w:rPr>
          <w:rStyle w:val="HideTWBExt"/>
          <w:noProof w:val="0"/>
        </w:rPr>
        <w:t>&lt;Commission&gt;</w:t>
      </w:r>
      <w:r>
        <w:rPr>
          <w:rStyle w:val="HideTWBInt"/>
        </w:rPr>
        <w:t>{CONT}</w:t>
      </w:r>
      <w:r>
        <w:t>Budžeta kontroles komiteja</w:t>
      </w:r>
      <w:r>
        <w:rPr>
          <w:rStyle w:val="HideTWBExt"/>
          <w:noProof w:val="0"/>
        </w:rPr>
        <w:t>&lt;/Commission&gt;</w:t>
      </w:r>
    </w:p>
    <w:p w:rsidR="00C1531C" w:rsidRPr="003605FB" w:rsidRDefault="00C00212">
      <w:pPr>
        <w:pStyle w:val="Cover24"/>
      </w:pPr>
      <w:r>
        <w:t xml:space="preserve">Referents: </w:t>
      </w:r>
      <w:r>
        <w:rPr>
          <w:rStyle w:val="HideTWBExt"/>
          <w:noProof w:val="0"/>
        </w:rPr>
        <w:t>&lt;Depute&gt;</w:t>
      </w:r>
      <w:r>
        <w:rPr>
          <w:i/>
        </w:rPr>
        <w:t>Petri Sarvamaa</w:t>
      </w:r>
      <w:r>
        <w:rPr>
          <w:rStyle w:val="HideTWBExt"/>
          <w:noProof w:val="0"/>
        </w:rPr>
        <w:t>&lt;/Depute&gt;</w:t>
      </w:r>
    </w:p>
    <w:p w:rsidR="00C1531C" w:rsidRPr="003605FB" w:rsidRDefault="00C1531C" w:rsidP="00D46466">
      <w:pPr>
        <w:widowControl/>
        <w:tabs>
          <w:tab w:val="center" w:pos="4677"/>
        </w:tabs>
      </w:pPr>
      <w:r>
        <w:br w:type="page"/>
      </w:r>
    </w:p>
    <w:p w:rsidR="00C1531C" w:rsidRPr="003605FB" w:rsidRDefault="003605FB" w:rsidP="00D46466">
      <w:pPr>
        <w:widowControl/>
        <w:tabs>
          <w:tab w:val="center" w:pos="4677"/>
        </w:tabs>
      </w:pPr>
      <w:r>
        <w:t>PR_DEC_Agencies</w:t>
      </w:r>
    </w:p>
    <w:p w:rsidR="00C1531C" w:rsidRPr="003605FB" w:rsidRDefault="003605FB">
      <w:pPr>
        <w:pStyle w:val="TOCHeading"/>
      </w:pPr>
      <w:r>
        <w:t>SATURA RĀDĪTĀJS</w:t>
      </w:r>
    </w:p>
    <w:p w:rsidR="00E865DA" w:rsidRDefault="003605FB" w:rsidP="000B47E5">
      <w:pPr>
        <w:pStyle w:val="TOCPage"/>
        <w:rPr>
          <w:noProof/>
        </w:rPr>
      </w:pPr>
      <w:r>
        <w:t>Lpp.</w:t>
      </w:r>
      <w:r w:rsidR="00C1531C" w:rsidRPr="003605FB">
        <w:fldChar w:fldCharType="begin"/>
      </w:r>
      <w:r w:rsidR="00C1531C" w:rsidRPr="003605FB">
        <w:instrText xml:space="preserve"> TOC \t "PageHeading</w:instrText>
      </w:r>
      <w:r w:rsidR="00783DAA">
        <w:instrText>;</w:instrText>
      </w:r>
      <w:r w:rsidR="00FD18F9" w:rsidRPr="003605FB">
        <w:instrText>3</w:instrText>
      </w:r>
      <w:r w:rsidR="00C1531C" w:rsidRPr="003605FB">
        <w:instrText xml:space="preserve">" </w:instrText>
      </w:r>
      <w:r w:rsidR="00C1531C" w:rsidRPr="003605FB">
        <w:fldChar w:fldCharType="separate"/>
      </w:r>
    </w:p>
    <w:p w:rsidR="00E865DA" w:rsidRDefault="00E865DA">
      <w:pPr>
        <w:pStyle w:val="TOC3"/>
        <w:tabs>
          <w:tab w:val="right" w:leader="dot" w:pos="9060"/>
        </w:tabs>
        <w:rPr>
          <w:rFonts w:asciiTheme="minorHAnsi" w:eastAsiaTheme="minorEastAsia" w:hAnsiTheme="minorHAnsi" w:cstheme="minorBidi"/>
          <w:noProof/>
          <w:sz w:val="22"/>
          <w:szCs w:val="22"/>
          <w:lang w:val="en-GB"/>
        </w:rPr>
      </w:pPr>
      <w:r>
        <w:rPr>
          <w:noProof/>
        </w:rPr>
        <w:t>1. EIROPAS PARLAMENTA LĒMUMA PRIEKŠLIKUMS</w:t>
      </w:r>
      <w:r>
        <w:rPr>
          <w:noProof/>
        </w:rPr>
        <w:tab/>
      </w:r>
      <w:r>
        <w:rPr>
          <w:noProof/>
        </w:rPr>
        <w:fldChar w:fldCharType="begin"/>
      </w:r>
      <w:r>
        <w:rPr>
          <w:noProof/>
        </w:rPr>
        <w:instrText xml:space="preserve"> PAGEREF _Toc3902825 \h </w:instrText>
      </w:r>
      <w:r>
        <w:rPr>
          <w:noProof/>
        </w:rPr>
      </w:r>
      <w:r>
        <w:rPr>
          <w:noProof/>
        </w:rPr>
        <w:fldChar w:fldCharType="separate"/>
      </w:r>
      <w:r>
        <w:rPr>
          <w:noProof/>
        </w:rPr>
        <w:t>3</w:t>
      </w:r>
      <w:r>
        <w:rPr>
          <w:noProof/>
        </w:rPr>
        <w:fldChar w:fldCharType="end"/>
      </w:r>
    </w:p>
    <w:p w:rsidR="00E865DA" w:rsidRDefault="00E865DA">
      <w:pPr>
        <w:pStyle w:val="TOC3"/>
        <w:tabs>
          <w:tab w:val="right" w:leader="dot" w:pos="9060"/>
        </w:tabs>
        <w:rPr>
          <w:rFonts w:asciiTheme="minorHAnsi" w:eastAsiaTheme="minorEastAsia" w:hAnsiTheme="minorHAnsi" w:cstheme="minorBidi"/>
          <w:noProof/>
          <w:sz w:val="22"/>
          <w:szCs w:val="22"/>
          <w:lang w:val="en-GB"/>
        </w:rPr>
      </w:pPr>
      <w:r>
        <w:rPr>
          <w:noProof/>
        </w:rPr>
        <w:t>2. EIROPAS PARLAMENTA LĒMUMA PRIEKŠLIKUMS</w:t>
      </w:r>
      <w:r>
        <w:rPr>
          <w:noProof/>
        </w:rPr>
        <w:tab/>
      </w:r>
      <w:r>
        <w:rPr>
          <w:noProof/>
        </w:rPr>
        <w:fldChar w:fldCharType="begin"/>
      </w:r>
      <w:r>
        <w:rPr>
          <w:noProof/>
        </w:rPr>
        <w:instrText xml:space="preserve"> PAGEREF _Toc3902826 \h </w:instrText>
      </w:r>
      <w:r>
        <w:rPr>
          <w:noProof/>
        </w:rPr>
      </w:r>
      <w:r>
        <w:rPr>
          <w:noProof/>
        </w:rPr>
        <w:fldChar w:fldCharType="separate"/>
      </w:r>
      <w:r>
        <w:rPr>
          <w:noProof/>
        </w:rPr>
        <w:t>5</w:t>
      </w:r>
      <w:r>
        <w:rPr>
          <w:noProof/>
        </w:rPr>
        <w:fldChar w:fldCharType="end"/>
      </w:r>
    </w:p>
    <w:p w:rsidR="00E865DA" w:rsidRDefault="00E865DA">
      <w:pPr>
        <w:pStyle w:val="TOC3"/>
        <w:tabs>
          <w:tab w:val="right" w:leader="dot" w:pos="9060"/>
        </w:tabs>
        <w:rPr>
          <w:rFonts w:asciiTheme="minorHAnsi" w:eastAsiaTheme="minorEastAsia" w:hAnsiTheme="minorHAnsi" w:cstheme="minorBidi"/>
          <w:noProof/>
          <w:sz w:val="22"/>
          <w:szCs w:val="22"/>
          <w:lang w:val="en-GB"/>
        </w:rPr>
      </w:pPr>
      <w:r>
        <w:rPr>
          <w:noProof/>
        </w:rPr>
        <w:t>3. EIROPAS PARLAMENTA REZOLŪCIJAS PRIEKŠLIKUMS</w:t>
      </w:r>
      <w:r>
        <w:rPr>
          <w:noProof/>
        </w:rPr>
        <w:tab/>
      </w:r>
      <w:r>
        <w:rPr>
          <w:noProof/>
        </w:rPr>
        <w:fldChar w:fldCharType="begin"/>
      </w:r>
      <w:r>
        <w:rPr>
          <w:noProof/>
        </w:rPr>
        <w:instrText xml:space="preserve"> PAGEREF _Toc3902827 \h </w:instrText>
      </w:r>
      <w:r>
        <w:rPr>
          <w:noProof/>
        </w:rPr>
      </w:r>
      <w:r>
        <w:rPr>
          <w:noProof/>
        </w:rPr>
        <w:fldChar w:fldCharType="separate"/>
      </w:r>
      <w:r>
        <w:rPr>
          <w:noProof/>
        </w:rPr>
        <w:t>7</w:t>
      </w:r>
      <w:r>
        <w:rPr>
          <w:noProof/>
        </w:rPr>
        <w:fldChar w:fldCharType="end"/>
      </w:r>
    </w:p>
    <w:p w:rsidR="00E865DA" w:rsidRDefault="00E865DA">
      <w:pPr>
        <w:pStyle w:val="TOC3"/>
        <w:tabs>
          <w:tab w:val="right" w:leader="dot" w:pos="9060"/>
        </w:tabs>
        <w:rPr>
          <w:rFonts w:asciiTheme="minorHAnsi" w:eastAsiaTheme="minorEastAsia" w:hAnsiTheme="minorHAnsi" w:cstheme="minorBidi"/>
          <w:noProof/>
          <w:sz w:val="22"/>
          <w:szCs w:val="22"/>
          <w:lang w:val="en-GB"/>
        </w:rPr>
      </w:pPr>
      <w:r>
        <w:rPr>
          <w:noProof/>
        </w:rPr>
        <w:t>INFORMĀCIJA PAR PIEŅEMŠANU ATBILDĪGAJĀ KOMITEJĀ</w:t>
      </w:r>
      <w:r>
        <w:rPr>
          <w:noProof/>
        </w:rPr>
        <w:tab/>
      </w:r>
      <w:r>
        <w:rPr>
          <w:noProof/>
        </w:rPr>
        <w:fldChar w:fldCharType="begin"/>
      </w:r>
      <w:r>
        <w:rPr>
          <w:noProof/>
        </w:rPr>
        <w:instrText xml:space="preserve"> PAGEREF _Toc3902828 \h </w:instrText>
      </w:r>
      <w:r>
        <w:rPr>
          <w:noProof/>
        </w:rPr>
      </w:r>
      <w:r>
        <w:rPr>
          <w:noProof/>
        </w:rPr>
        <w:fldChar w:fldCharType="separate"/>
      </w:r>
      <w:r>
        <w:rPr>
          <w:noProof/>
        </w:rPr>
        <w:t>9</w:t>
      </w:r>
      <w:r>
        <w:rPr>
          <w:noProof/>
        </w:rPr>
        <w:fldChar w:fldCharType="end"/>
      </w:r>
    </w:p>
    <w:p w:rsidR="00E865DA" w:rsidRDefault="00E865DA">
      <w:pPr>
        <w:pStyle w:val="TOC3"/>
        <w:tabs>
          <w:tab w:val="right" w:leader="dot" w:pos="9060"/>
        </w:tabs>
        <w:rPr>
          <w:rFonts w:asciiTheme="minorHAnsi" w:eastAsiaTheme="minorEastAsia" w:hAnsiTheme="minorHAnsi" w:cstheme="minorBidi"/>
          <w:noProof/>
          <w:sz w:val="22"/>
          <w:szCs w:val="22"/>
          <w:lang w:val="en-GB"/>
        </w:rPr>
      </w:pPr>
      <w:r>
        <w:rPr>
          <w:noProof/>
        </w:rPr>
        <w:t>ATBILDĪGĀS KOMITEJAS GALĪGAIS BALSOJUMS PĒC SARAKSTA</w:t>
      </w:r>
      <w:r>
        <w:rPr>
          <w:noProof/>
        </w:rPr>
        <w:tab/>
      </w:r>
      <w:r>
        <w:rPr>
          <w:noProof/>
        </w:rPr>
        <w:fldChar w:fldCharType="begin"/>
      </w:r>
      <w:r>
        <w:rPr>
          <w:noProof/>
        </w:rPr>
        <w:instrText xml:space="preserve"> PAGEREF _Toc3902829 \h </w:instrText>
      </w:r>
      <w:r>
        <w:rPr>
          <w:noProof/>
        </w:rPr>
      </w:r>
      <w:r>
        <w:rPr>
          <w:noProof/>
        </w:rPr>
        <w:fldChar w:fldCharType="separate"/>
      </w:r>
      <w:r>
        <w:rPr>
          <w:noProof/>
        </w:rPr>
        <w:t>10</w:t>
      </w:r>
      <w:r>
        <w:rPr>
          <w:noProof/>
        </w:rPr>
        <w:fldChar w:fldCharType="end"/>
      </w:r>
    </w:p>
    <w:p w:rsidR="00C1531C" w:rsidRPr="003605FB" w:rsidRDefault="00C1531C">
      <w:pPr>
        <w:pStyle w:val="PageHeading"/>
      </w:pPr>
      <w:r w:rsidRPr="003605FB">
        <w:rPr>
          <w:rFonts w:ascii="Times New Roman" w:hAnsi="Times New Roman"/>
        </w:rPr>
        <w:fldChar w:fldCharType="end"/>
      </w:r>
    </w:p>
    <w:p w:rsidR="00C1531C" w:rsidRPr="003605FB" w:rsidRDefault="00C1531C" w:rsidP="004D13BA">
      <w:pPr>
        <w:pStyle w:val="PageHeading"/>
      </w:pPr>
      <w:r>
        <w:br w:type="page"/>
      </w:r>
      <w:bookmarkStart w:id="0" w:name="Decision1"/>
      <w:bookmarkStart w:id="1" w:name="_Toc26759888"/>
      <w:bookmarkStart w:id="2" w:name="_Toc86200285"/>
      <w:bookmarkStart w:id="3" w:name="_Toc3902825"/>
      <w:r>
        <w:lastRenderedPageBreak/>
        <w:t>1. EIROPAS PARLAMENTA LĒMUMA PRIEKŠLIKUMS</w:t>
      </w:r>
      <w:bookmarkEnd w:id="3"/>
    </w:p>
    <w:p w:rsidR="00C1531C" w:rsidRPr="003605FB" w:rsidRDefault="003605FB">
      <w:pPr>
        <w:pStyle w:val="NormalBold"/>
      </w:pPr>
      <w:bookmarkStart w:id="4" w:name="DecisionTitle1"/>
      <w:bookmarkEnd w:id="0"/>
      <w:r>
        <w:t xml:space="preserve">par </w:t>
      </w:r>
      <w:r>
        <w:rPr>
          <w:i/>
        </w:rPr>
        <w:t>Euratom</w:t>
      </w:r>
      <w:r>
        <w:t xml:space="preserve"> Apgādes aģentūras 2017. finanšu gada budžeta izpildes apstiprināšanu</w:t>
      </w:r>
    </w:p>
    <w:bookmarkEnd w:id="4"/>
    <w:p w:rsidR="00C1531C" w:rsidRPr="003605FB" w:rsidRDefault="003605FB">
      <w:pPr>
        <w:pStyle w:val="Normal12Bold"/>
      </w:pPr>
      <w:r>
        <w:t>(2018/2199(DEC))</w:t>
      </w:r>
    </w:p>
    <w:p w:rsidR="00C1531C" w:rsidRPr="003605FB" w:rsidRDefault="003605FB">
      <w:pPr>
        <w:pStyle w:val="Normal12"/>
      </w:pPr>
      <w:r>
        <w:rPr>
          <w:i/>
        </w:rPr>
        <w:t>Eiropas Parlaments</w:t>
      </w:r>
      <w:r>
        <w:t>,</w:t>
      </w:r>
    </w:p>
    <w:p w:rsidR="00C1531C" w:rsidRPr="003605FB" w:rsidRDefault="00C1531C">
      <w:pPr>
        <w:pStyle w:val="Normal12Hanging"/>
      </w:pPr>
      <w:r>
        <w:t>–</w:t>
      </w:r>
      <w:r>
        <w:tab/>
        <w:t xml:space="preserve">ņemot vērā </w:t>
      </w:r>
      <w:r>
        <w:rPr>
          <w:i/>
        </w:rPr>
        <w:t>Euratom</w:t>
      </w:r>
      <w:r>
        <w:t xml:space="preserve"> Apgādes aģentūras 2017. finanšu gada galīgos pārskatus,</w:t>
      </w:r>
    </w:p>
    <w:p w:rsidR="005A6CAE" w:rsidRPr="003605FB" w:rsidRDefault="005A6CAE" w:rsidP="005A6CAE">
      <w:pPr>
        <w:pStyle w:val="Normal12Hanging"/>
      </w:pPr>
      <w:r>
        <w:t>–</w:t>
      </w:r>
      <w:r>
        <w:tab/>
        <w:t xml:space="preserve">ņemot vērā Revīzijas palātas ziņojumu par </w:t>
      </w:r>
      <w:r>
        <w:rPr>
          <w:i/>
        </w:rPr>
        <w:t>Euratom</w:t>
      </w:r>
      <w:r>
        <w:t xml:space="preserve"> Apgādes aģentūras 2017. finanšu gada pārskatiem un Aģentūras atbildi</w:t>
      </w:r>
      <w:r w:rsidR="00C00212">
        <w:rPr>
          <w:rStyle w:val="FootnoteReference"/>
        </w:rPr>
        <w:footnoteReference w:id="1"/>
      </w:r>
      <w:r>
        <w:t>,</w:t>
      </w:r>
    </w:p>
    <w:p w:rsidR="009B566F" w:rsidRPr="003605FB" w:rsidRDefault="009B566F" w:rsidP="009B566F">
      <w:pPr>
        <w:pStyle w:val="Normal12Hanging"/>
      </w:pPr>
      <w:r>
        <w:t>–</w:t>
      </w:r>
      <w:r>
        <w:tab/>
        <w:t>ņemot vērā deklarāciju</w:t>
      </w:r>
      <w:r w:rsidR="00C00212">
        <w:rPr>
          <w:rStyle w:val="FootnoteReference"/>
        </w:rPr>
        <w:footnoteReference w:id="2"/>
      </w:r>
      <w:r>
        <w:t xml:space="preserve"> par pārskatu ticamību, kā arī par pakārtoto darījumu likumību un pareizību, kuru Revīzijas palāta sniegusi par 2017. finanšu gadu saskaņā ar Līguma par Eiropas Savienības darbību 287. pantu,</w:t>
      </w:r>
    </w:p>
    <w:p w:rsidR="005A6CAE" w:rsidRPr="003605FB" w:rsidRDefault="005A6CAE" w:rsidP="005A6CAE">
      <w:pPr>
        <w:pStyle w:val="Normal12Hanging"/>
      </w:pPr>
      <w:r>
        <w:t>–</w:t>
      </w:r>
      <w:r>
        <w:tab/>
        <w:t xml:space="preserve">ņemot vērā Padomes 2019. gada </w:t>
      </w:r>
      <w:r w:rsidR="0020611F">
        <w:t>12</w:t>
      </w:r>
      <w:r>
        <w:t>. februāra ieteikumu par apstiprinājumu, ko sniedz Aģentūrai par 2017. finanšu gada budžeta izpildi (</w:t>
      </w:r>
      <w:r w:rsidR="0020611F" w:rsidRPr="00070771">
        <w:t>05825/2019 – C8</w:t>
      </w:r>
      <w:r w:rsidR="0020611F" w:rsidRPr="00070771">
        <w:noBreakHyphen/>
        <w:t>0089/2019</w:t>
      </w:r>
      <w:r>
        <w:t>),</w:t>
      </w:r>
    </w:p>
    <w:p w:rsidR="005A6CAE" w:rsidRPr="003605FB" w:rsidRDefault="005A6CAE" w:rsidP="005A6CAE">
      <w:pPr>
        <w:pStyle w:val="Normal12Hanging"/>
      </w:pPr>
      <w:r>
        <w:t>–</w:t>
      </w:r>
      <w:r>
        <w:tab/>
        <w:t>ņemot vērā Līguma par Eiropas Savienības darbību 319. pantu,</w:t>
      </w:r>
    </w:p>
    <w:p w:rsidR="00381864" w:rsidRPr="003605FB" w:rsidRDefault="00381864" w:rsidP="00381864">
      <w:pPr>
        <w:pStyle w:val="Normal12Hanging"/>
      </w:pPr>
      <w:r>
        <w:t>–</w:t>
      </w:r>
      <w:r>
        <w:tab/>
        <w:t>ņemot vērā Eiropas Atomenerģijas kopienas dibināšanas līguma 106.a pantu,</w:t>
      </w:r>
    </w:p>
    <w:p w:rsidR="00CF07EC" w:rsidRPr="003605FB" w:rsidRDefault="00CF07EC" w:rsidP="00CF07EC">
      <w:pPr>
        <w:pStyle w:val="Normal12Hanging"/>
      </w:pPr>
      <w:r>
        <w:t>–</w:t>
      </w:r>
      <w:r>
        <w:tab/>
        <w:t xml:space="preserve">ņemot vērā Eiropas Parlamenta un Padomes 2012. gada 25. oktobra Regulu (ES, </w:t>
      </w:r>
      <w:r>
        <w:rPr>
          <w:i/>
        </w:rPr>
        <w:t>Euratom</w:t>
      </w:r>
      <w:r>
        <w:t xml:space="preserve">) Nr. 966/2012 par finanšu noteikumiem, ko piemēro Savienības vispārējam budžetam, un par Padomes Regulas (EK, </w:t>
      </w:r>
      <w:r>
        <w:rPr>
          <w:i/>
        </w:rPr>
        <w:t>Euratom</w:t>
      </w:r>
      <w:r>
        <w:t>) Nr. 1605/2002 atcelšanu</w:t>
      </w:r>
      <w:r w:rsidR="00C00212">
        <w:rPr>
          <w:rStyle w:val="FootnoteReference"/>
        </w:rPr>
        <w:footnoteReference w:id="3"/>
      </w:r>
      <w:r>
        <w:t xml:space="preserve"> un jo īpaši tās 1. panta 2. punktu,</w:t>
      </w:r>
    </w:p>
    <w:p w:rsidR="00C0769E" w:rsidRPr="003605FB" w:rsidRDefault="00C0769E" w:rsidP="00C0769E">
      <w:pPr>
        <w:pStyle w:val="Normal12Hanging"/>
      </w:pPr>
      <w:r>
        <w:t>–</w:t>
      </w:r>
      <w:r>
        <w:tab/>
        <w:t xml:space="preserve">ņemot vērā Eiropas Parlamenta un Padomes 2018. gada 18. jūlija Regulu (ES, </w:t>
      </w:r>
      <w:r>
        <w:rPr>
          <w:i/>
        </w:rPr>
        <w:t>Euratom</w:t>
      </w:r>
      <w: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r>
        <w:rPr>
          <w:i/>
        </w:rPr>
        <w:t>Euratom</w:t>
      </w:r>
      <w:r>
        <w:t>) Nr. 966/2012</w:t>
      </w:r>
      <w:r w:rsidR="00C00212">
        <w:rPr>
          <w:rStyle w:val="FootnoteReference"/>
        </w:rPr>
        <w:footnoteReference w:id="4"/>
      </w:r>
      <w:r>
        <w:t>, un jo īpaši tās 68. pantu,</w:t>
      </w:r>
    </w:p>
    <w:p w:rsidR="005A6CAE" w:rsidRPr="003605FB" w:rsidRDefault="005A6CAE" w:rsidP="0017746B">
      <w:pPr>
        <w:pStyle w:val="Normal12Hanging"/>
      </w:pPr>
      <w:r>
        <w:t>–</w:t>
      </w:r>
      <w:r>
        <w:tab/>
        <w:t xml:space="preserve">ņemot vērā Padomes 2008. gada 12. februāra Lēmumu Nr. 2008/114/EK, </w:t>
      </w:r>
      <w:r>
        <w:rPr>
          <w:i/>
        </w:rPr>
        <w:t>Euratom</w:t>
      </w:r>
      <w:r>
        <w:t xml:space="preserve">, ar ko nosaka </w:t>
      </w:r>
      <w:r>
        <w:rPr>
          <w:i/>
        </w:rPr>
        <w:t>Euratom</w:t>
      </w:r>
      <w:r>
        <w:t xml:space="preserve"> Apgādes aģentūras statūtus</w:t>
      </w:r>
      <w:r w:rsidR="00C00212">
        <w:rPr>
          <w:rStyle w:val="FootnoteReference"/>
        </w:rPr>
        <w:footnoteReference w:id="5"/>
      </w:r>
      <w:r>
        <w:t>, un jo īpaši tā 8. pantu,</w:t>
      </w:r>
    </w:p>
    <w:p w:rsidR="005A6CAE" w:rsidRPr="003605FB" w:rsidRDefault="005A6CAE" w:rsidP="005A6CAE">
      <w:pPr>
        <w:pStyle w:val="Normal12Hanging"/>
      </w:pPr>
      <w:r>
        <w:t>–</w:t>
      </w:r>
      <w:r>
        <w:tab/>
        <w:t>ņemot vērā Reglamenta 94. pantu un IV pielikumu,</w:t>
      </w:r>
    </w:p>
    <w:p w:rsidR="005A6CAE" w:rsidRPr="003605FB" w:rsidRDefault="005A6CAE" w:rsidP="005A6CAE">
      <w:pPr>
        <w:pStyle w:val="Normal12Hanging"/>
      </w:pPr>
      <w:r>
        <w:t>–</w:t>
      </w:r>
      <w:r>
        <w:tab/>
        <w:t>ņemot vērā Budžeta kontroles komitejas ziņojumu (</w:t>
      </w:r>
      <w:r w:rsidR="00F2050A">
        <w:t>A8-0132/2019</w:t>
      </w:r>
      <w:r>
        <w:t>),</w:t>
      </w:r>
    </w:p>
    <w:p w:rsidR="00C1531C" w:rsidRPr="003605FB" w:rsidRDefault="00C1531C">
      <w:pPr>
        <w:pStyle w:val="Normal12Hanging"/>
      </w:pPr>
      <w:r>
        <w:t>1.</w:t>
      </w:r>
      <w:r>
        <w:tab/>
        <w:t xml:space="preserve">sniedz </w:t>
      </w:r>
      <w:r>
        <w:rPr>
          <w:i/>
        </w:rPr>
        <w:t>Euratom</w:t>
      </w:r>
      <w:r>
        <w:t xml:space="preserve"> Apgādes aģentūras ģenerāldirektoram apstiprinājumu par Aģentūras 2017. finanšu gada budžeta izpildi;</w:t>
      </w:r>
    </w:p>
    <w:p w:rsidR="00C1531C" w:rsidRPr="003605FB" w:rsidRDefault="00C1531C">
      <w:pPr>
        <w:pStyle w:val="Normal12Hanging"/>
      </w:pPr>
      <w:r>
        <w:lastRenderedPageBreak/>
        <w:t>2.</w:t>
      </w:r>
      <w:r>
        <w:tab/>
        <w:t>izklāsta savus konstatējumus turpmāk tekstā iekļautajā rezolūcijā;</w:t>
      </w:r>
    </w:p>
    <w:p w:rsidR="00C1531C" w:rsidRPr="003605FB" w:rsidRDefault="00C1531C">
      <w:pPr>
        <w:pStyle w:val="Normal12Hanging"/>
      </w:pPr>
      <w:r>
        <w:t>3.</w:t>
      </w:r>
      <w:r>
        <w:tab/>
        <w:t xml:space="preserve">uzdod priekšsēdētājam šo lēmumu un rezolūciju, kas ir tā neatņemama daļa, nosūtīt </w:t>
      </w:r>
      <w:r>
        <w:rPr>
          <w:i/>
        </w:rPr>
        <w:t>Euratom</w:t>
      </w:r>
      <w:r>
        <w:t xml:space="preserve"> Apgādes aģentūras ģenerāldirektoram, Padomei, Komisijai un Revīzijas palātai un nodrošināt to publicēšanu </w:t>
      </w:r>
      <w:r>
        <w:rPr>
          <w:i/>
        </w:rPr>
        <w:t>Eiropas Savienības Oficiālajā Vēstnesī</w:t>
      </w:r>
      <w:r>
        <w:t xml:space="preserve"> (L sērijā).</w:t>
      </w:r>
    </w:p>
    <w:p w:rsidR="00C1531C" w:rsidRPr="003605FB" w:rsidRDefault="00C1531C" w:rsidP="004D13BA">
      <w:pPr>
        <w:pStyle w:val="PageHeading"/>
      </w:pPr>
      <w:r>
        <w:br w:type="page"/>
      </w:r>
      <w:bookmarkStart w:id="5" w:name="Decision2"/>
      <w:bookmarkStart w:id="6" w:name="_Toc3902826"/>
      <w:r>
        <w:lastRenderedPageBreak/>
        <w:t>2. EIROPAS PARLAMENTA LĒMUMA PRIEKŠLIKUMS</w:t>
      </w:r>
      <w:bookmarkEnd w:id="6"/>
    </w:p>
    <w:p w:rsidR="00C1531C" w:rsidRPr="003605FB" w:rsidRDefault="003605FB">
      <w:pPr>
        <w:pStyle w:val="NormalBold"/>
      </w:pPr>
      <w:bookmarkStart w:id="7" w:name="DecisionTitle2"/>
      <w:bookmarkEnd w:id="5"/>
      <w:r>
        <w:t xml:space="preserve">par </w:t>
      </w:r>
      <w:r>
        <w:rPr>
          <w:i/>
        </w:rPr>
        <w:t>Euratom</w:t>
      </w:r>
      <w:r>
        <w:t xml:space="preserve"> Apgādes aģentūras 2017. finanšu gada pārskatu apstiprināšanu</w:t>
      </w:r>
    </w:p>
    <w:bookmarkEnd w:id="7"/>
    <w:p w:rsidR="00C1531C" w:rsidRPr="003605FB" w:rsidRDefault="003605FB">
      <w:pPr>
        <w:pStyle w:val="Normal12Bold"/>
      </w:pPr>
      <w:r>
        <w:t>(2018/2199(DEC))</w:t>
      </w:r>
    </w:p>
    <w:p w:rsidR="00C1531C" w:rsidRPr="003605FB" w:rsidRDefault="003605FB">
      <w:pPr>
        <w:pStyle w:val="Normal12"/>
      </w:pPr>
      <w:r>
        <w:rPr>
          <w:i/>
        </w:rPr>
        <w:t>Eiropas Parlaments</w:t>
      </w:r>
      <w:r>
        <w:t>,</w:t>
      </w:r>
    </w:p>
    <w:p w:rsidR="009A1AE4" w:rsidRPr="003605FB" w:rsidRDefault="009A1AE4" w:rsidP="009A1AE4">
      <w:pPr>
        <w:pStyle w:val="Normal12Hanging"/>
      </w:pPr>
      <w:r>
        <w:t>–</w:t>
      </w:r>
      <w:r>
        <w:tab/>
        <w:t xml:space="preserve">ņemot vērā </w:t>
      </w:r>
      <w:r>
        <w:rPr>
          <w:i/>
        </w:rPr>
        <w:t>Euratom</w:t>
      </w:r>
      <w:r>
        <w:t xml:space="preserve"> Apgādes aģentūras 2017. finanšu gada galīgos pārskatus,</w:t>
      </w:r>
    </w:p>
    <w:p w:rsidR="009A1AE4" w:rsidRPr="003605FB" w:rsidRDefault="009A1AE4" w:rsidP="009A1AE4">
      <w:pPr>
        <w:pStyle w:val="Normal12Hanging"/>
      </w:pPr>
      <w:r>
        <w:t>–</w:t>
      </w:r>
      <w:r>
        <w:tab/>
        <w:t xml:space="preserve">ņemot vērā Revīzijas palātas ziņojumu par </w:t>
      </w:r>
      <w:r>
        <w:rPr>
          <w:i/>
        </w:rPr>
        <w:t>Euratom</w:t>
      </w:r>
      <w:r>
        <w:t xml:space="preserve"> Apgādes aģentūras 2017. finanšu gada pārskatiem un Aģentūras atbildi</w:t>
      </w:r>
      <w:r w:rsidR="00C00212">
        <w:rPr>
          <w:rStyle w:val="FootnoteReference"/>
        </w:rPr>
        <w:footnoteReference w:id="6"/>
      </w:r>
      <w:r>
        <w:t>,</w:t>
      </w:r>
    </w:p>
    <w:p w:rsidR="009A1AE4" w:rsidRPr="003605FB" w:rsidRDefault="009A1AE4" w:rsidP="009A1AE4">
      <w:pPr>
        <w:pStyle w:val="Normal12Hanging"/>
      </w:pPr>
      <w:r>
        <w:t>–</w:t>
      </w:r>
      <w:r>
        <w:tab/>
        <w:t>ņemot vērā deklarāciju</w:t>
      </w:r>
      <w:r w:rsidR="00C00212">
        <w:rPr>
          <w:rStyle w:val="FootnoteReference"/>
        </w:rPr>
        <w:footnoteReference w:id="7"/>
      </w:r>
      <w:r>
        <w:t xml:space="preserve"> par pārskatu ticamību, kā arī par pakārtoto darījumu likumību un pareizību, kuru Revīzijas palāta sniegusi par 2017. finanšu gadu saskaņā ar Līguma par Eiropas Savienības darbību 287. pantu,</w:t>
      </w:r>
    </w:p>
    <w:p w:rsidR="009A1AE4" w:rsidRPr="003605FB" w:rsidRDefault="009A1AE4" w:rsidP="009A1AE4">
      <w:pPr>
        <w:pStyle w:val="Normal12Hanging"/>
      </w:pPr>
      <w:r>
        <w:t>–</w:t>
      </w:r>
      <w:r>
        <w:tab/>
        <w:t xml:space="preserve">ņemot vērā Padomes 2018. gada </w:t>
      </w:r>
      <w:r w:rsidR="0020611F">
        <w:t>12</w:t>
      </w:r>
      <w:r>
        <w:t>. februāra ieteikumu par apstiprinājumu, ko sniedz Aģentūrai par 2017. finanšu gada budžeta izpildi (</w:t>
      </w:r>
      <w:r w:rsidR="0020611F" w:rsidRPr="00070771">
        <w:t>05825/2019 – C8</w:t>
      </w:r>
      <w:r w:rsidR="0020611F" w:rsidRPr="00070771">
        <w:noBreakHyphen/>
        <w:t>0089/2019</w:t>
      </w:r>
      <w:r>
        <w:t>),</w:t>
      </w:r>
    </w:p>
    <w:p w:rsidR="009A1AE4" w:rsidRPr="003605FB" w:rsidRDefault="009A1AE4" w:rsidP="009A1AE4">
      <w:pPr>
        <w:pStyle w:val="Normal12Hanging"/>
      </w:pPr>
      <w:r>
        <w:t>–</w:t>
      </w:r>
      <w:r>
        <w:tab/>
        <w:t>ņemot vērā Līguma par Eiropas Savienības darbību 319. pantu,</w:t>
      </w:r>
    </w:p>
    <w:p w:rsidR="009A1AE4" w:rsidRPr="003605FB" w:rsidRDefault="009A1AE4" w:rsidP="009A1AE4">
      <w:pPr>
        <w:pStyle w:val="Normal12Hanging"/>
      </w:pPr>
      <w:r>
        <w:t>–</w:t>
      </w:r>
      <w:r>
        <w:tab/>
        <w:t>ņemot vērā Eiropas Atomenerģijas kopienas dibināšanas līguma 106.a pantu,</w:t>
      </w:r>
    </w:p>
    <w:p w:rsidR="009A1AE4" w:rsidRPr="003605FB" w:rsidRDefault="009A1AE4" w:rsidP="009A1AE4">
      <w:pPr>
        <w:pStyle w:val="Normal12Hanging"/>
      </w:pPr>
      <w:r>
        <w:t>–</w:t>
      </w:r>
      <w:r>
        <w:tab/>
        <w:t xml:space="preserve">ņemot vērā Eiropas Parlamenta un Padomes 2012. gada 25. oktobra Regulu (ES, </w:t>
      </w:r>
      <w:r>
        <w:rPr>
          <w:i/>
        </w:rPr>
        <w:t>Euratom</w:t>
      </w:r>
      <w:r>
        <w:t xml:space="preserve">) Nr. 966/2012 par finanšu noteikumiem, ko piemēro Savienības vispārējam budžetam, un par Padomes Regulas (EK, </w:t>
      </w:r>
      <w:r>
        <w:rPr>
          <w:i/>
        </w:rPr>
        <w:t>Euratom</w:t>
      </w:r>
      <w:r>
        <w:t>) Nr. 1605/2002 atcelšanu</w:t>
      </w:r>
      <w:r w:rsidR="00C00212">
        <w:rPr>
          <w:rStyle w:val="FootnoteReference"/>
        </w:rPr>
        <w:footnoteReference w:id="8"/>
      </w:r>
      <w:r>
        <w:t xml:space="preserve"> un jo īpaši tās 1. panta 2. punktu,</w:t>
      </w:r>
    </w:p>
    <w:p w:rsidR="00FE62F7" w:rsidRPr="003605FB" w:rsidRDefault="00FE62F7" w:rsidP="00FE62F7">
      <w:pPr>
        <w:pStyle w:val="Normal12Hanging"/>
      </w:pPr>
      <w:r>
        <w:t>–</w:t>
      </w:r>
      <w:r>
        <w:tab/>
        <w:t xml:space="preserve">ņemot vērā Eiropas Parlamenta un Padomes 2018. gada 18. jūlija Regulu (ES, </w:t>
      </w:r>
      <w:r>
        <w:rPr>
          <w:i/>
        </w:rPr>
        <w:t>Euratom</w:t>
      </w:r>
      <w: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r>
        <w:rPr>
          <w:i/>
        </w:rPr>
        <w:t>Euratom</w:t>
      </w:r>
      <w:r>
        <w:t>) Nr. 966/2012</w:t>
      </w:r>
      <w:r w:rsidR="00C00212">
        <w:rPr>
          <w:rStyle w:val="FootnoteReference"/>
        </w:rPr>
        <w:footnoteReference w:id="9"/>
      </w:r>
      <w:r>
        <w:t>, un jo īpaši tās 68. pantu,</w:t>
      </w:r>
    </w:p>
    <w:p w:rsidR="009A1AE4" w:rsidRPr="003605FB" w:rsidRDefault="009A1AE4" w:rsidP="009A1AE4">
      <w:pPr>
        <w:pStyle w:val="Normal12Hanging"/>
      </w:pPr>
      <w:r>
        <w:t>–</w:t>
      </w:r>
      <w:r>
        <w:tab/>
        <w:t xml:space="preserve">ņemot vērā Padomes 2008. gada 12. februāra Lēmumu Nr. 2008/114/EK, </w:t>
      </w:r>
      <w:r>
        <w:rPr>
          <w:i/>
        </w:rPr>
        <w:t>Euratom</w:t>
      </w:r>
      <w:r>
        <w:t xml:space="preserve">, ar ko nosaka </w:t>
      </w:r>
      <w:r>
        <w:rPr>
          <w:i/>
        </w:rPr>
        <w:t>Euratom</w:t>
      </w:r>
      <w:r>
        <w:t xml:space="preserve"> Apgādes aģentūras statūtus</w:t>
      </w:r>
      <w:r w:rsidR="00C00212">
        <w:rPr>
          <w:rStyle w:val="FootnoteReference"/>
        </w:rPr>
        <w:footnoteReference w:id="10"/>
      </w:r>
      <w:r>
        <w:t>, un jo īpaši tā 8. pantu,</w:t>
      </w:r>
    </w:p>
    <w:p w:rsidR="009A1AE4" w:rsidRPr="003605FB" w:rsidRDefault="009A1AE4" w:rsidP="009A1AE4">
      <w:pPr>
        <w:pStyle w:val="Normal12Hanging"/>
      </w:pPr>
      <w:r>
        <w:t>–</w:t>
      </w:r>
      <w:r>
        <w:tab/>
        <w:t>ņemot vērā Reglamenta 94. pantu un IV pielikumu,</w:t>
      </w:r>
    </w:p>
    <w:p w:rsidR="009A1AE4" w:rsidRPr="003605FB" w:rsidRDefault="009A1AE4" w:rsidP="009A1AE4">
      <w:pPr>
        <w:pStyle w:val="Normal12Hanging"/>
      </w:pPr>
      <w:r>
        <w:t>–</w:t>
      </w:r>
      <w:r>
        <w:tab/>
        <w:t>ņemot vērā Budžeta kontroles komitejas ziņojumu (</w:t>
      </w:r>
      <w:r w:rsidR="00F2050A">
        <w:t>A8-0132/2019</w:t>
      </w:r>
      <w:r>
        <w:t>),</w:t>
      </w:r>
    </w:p>
    <w:p w:rsidR="00C1531C" w:rsidRPr="003605FB" w:rsidRDefault="00EB31C4" w:rsidP="008A23A3">
      <w:pPr>
        <w:pStyle w:val="Normal12Hanging"/>
      </w:pPr>
      <w:r>
        <w:t>1.</w:t>
      </w:r>
      <w:r>
        <w:tab/>
        <w:t xml:space="preserve">apstiprina </w:t>
      </w:r>
      <w:r>
        <w:rPr>
          <w:i/>
        </w:rPr>
        <w:t>Euratom</w:t>
      </w:r>
      <w:r>
        <w:t xml:space="preserve"> Apgādes aģentūras 2017. finanšu gada pārskatus;</w:t>
      </w:r>
    </w:p>
    <w:p w:rsidR="00C1531C" w:rsidRPr="003605FB" w:rsidRDefault="00EB31C4">
      <w:pPr>
        <w:pStyle w:val="Normal12Hanging"/>
      </w:pPr>
      <w:r>
        <w:t>2.</w:t>
      </w:r>
      <w:r>
        <w:tab/>
        <w:t xml:space="preserve">uzdod priekšsēdētājam šo lēmumu nosūtīt </w:t>
      </w:r>
      <w:r>
        <w:rPr>
          <w:i/>
        </w:rPr>
        <w:t>Euratom</w:t>
      </w:r>
      <w:r>
        <w:t xml:space="preserve"> Apgādes aģentūras </w:t>
      </w:r>
      <w:r>
        <w:lastRenderedPageBreak/>
        <w:t xml:space="preserve">ģenerāldirektoram, Padomei, Komisijai un Revīzijas palātai un nodrošināt tā publicēšanu </w:t>
      </w:r>
      <w:r>
        <w:rPr>
          <w:i/>
        </w:rPr>
        <w:t>Eiropas Savienības Oficiālajā Vēstnesī</w:t>
      </w:r>
      <w:r>
        <w:t xml:space="preserve"> (L sērijā).</w:t>
      </w:r>
    </w:p>
    <w:p w:rsidR="00C1531C" w:rsidRPr="003605FB" w:rsidRDefault="00C1531C" w:rsidP="004D13BA">
      <w:pPr>
        <w:pStyle w:val="PageHeading"/>
      </w:pPr>
      <w:r>
        <w:br w:type="page"/>
      </w:r>
      <w:bookmarkStart w:id="8" w:name="Resolution"/>
      <w:bookmarkStart w:id="9" w:name="_Toc3902827"/>
      <w:bookmarkEnd w:id="1"/>
      <w:bookmarkEnd w:id="2"/>
      <w:r>
        <w:t>3. EIROPAS PARLAMENTA REZOLŪCIJAS PRIEKŠLIKUMS</w:t>
      </w:r>
      <w:bookmarkEnd w:id="9"/>
    </w:p>
    <w:p w:rsidR="00C1531C" w:rsidRPr="003605FB" w:rsidRDefault="003605FB">
      <w:pPr>
        <w:pStyle w:val="NormalBold"/>
      </w:pPr>
      <w:bookmarkStart w:id="10" w:name="ResolutionTitle"/>
      <w:bookmarkEnd w:id="8"/>
      <w:r>
        <w:t xml:space="preserve">ar konstatējumiem, kas ir neatņemama daļa no lēmuma par </w:t>
      </w:r>
      <w:r>
        <w:rPr>
          <w:i/>
        </w:rPr>
        <w:t>Euratom</w:t>
      </w:r>
      <w:r>
        <w:t xml:space="preserve"> Apgādes aģentūras 2017. finanšu gada budžeta izpildes apstiprināšanu</w:t>
      </w:r>
    </w:p>
    <w:bookmarkEnd w:id="10"/>
    <w:p w:rsidR="00C1531C" w:rsidRPr="003605FB" w:rsidRDefault="003605FB">
      <w:pPr>
        <w:pStyle w:val="Normal12Bold"/>
      </w:pPr>
      <w:r>
        <w:t>(2018/2199(DEC))</w:t>
      </w:r>
    </w:p>
    <w:p w:rsidR="00C1531C" w:rsidRPr="003605FB" w:rsidRDefault="003605FB">
      <w:pPr>
        <w:pStyle w:val="Normal12"/>
      </w:pPr>
      <w:r>
        <w:rPr>
          <w:i/>
        </w:rPr>
        <w:t>Eiropas Parlaments</w:t>
      </w:r>
      <w:r>
        <w:t>,</w:t>
      </w:r>
    </w:p>
    <w:p w:rsidR="00A35902" w:rsidRPr="003605FB" w:rsidRDefault="00A35902" w:rsidP="00A35902">
      <w:pPr>
        <w:pStyle w:val="Normal12Hanging"/>
      </w:pPr>
      <w:r>
        <w:t>–</w:t>
      </w:r>
      <w:r>
        <w:tab/>
        <w:t xml:space="preserve">ņemot vērā lēmumu par </w:t>
      </w:r>
      <w:r>
        <w:rPr>
          <w:i/>
        </w:rPr>
        <w:t>Euratom</w:t>
      </w:r>
      <w:r>
        <w:t xml:space="preserve"> Apgādes aģentūras 2017. finanšu gada budžeta izpildes apstiprināšanu,</w:t>
      </w:r>
    </w:p>
    <w:p w:rsidR="00A35902" w:rsidRPr="003605FB" w:rsidRDefault="00A35902" w:rsidP="00A35902">
      <w:pPr>
        <w:pStyle w:val="Normal12Hanging"/>
      </w:pPr>
      <w:r>
        <w:t>–</w:t>
      </w:r>
      <w:r>
        <w:tab/>
        <w:t>ņemot vērā Reglamenta 94. pantu un IV pielikumu,</w:t>
      </w:r>
    </w:p>
    <w:p w:rsidR="00A35902" w:rsidRPr="003605FB" w:rsidRDefault="00A35902" w:rsidP="00A35902">
      <w:pPr>
        <w:pStyle w:val="Normal12Hanging"/>
      </w:pPr>
      <w:r>
        <w:t>–</w:t>
      </w:r>
      <w:r>
        <w:tab/>
        <w:t>ņemot vērā Budžeta kontroles komitejas ziņojumu (</w:t>
      </w:r>
      <w:r w:rsidR="00F2050A">
        <w:t>A8-0132/2019</w:t>
      </w:r>
      <w:r>
        <w:t>),</w:t>
      </w:r>
    </w:p>
    <w:p w:rsidR="006B3087" w:rsidRPr="009738E8" w:rsidRDefault="006B3087" w:rsidP="006B3087">
      <w:pPr>
        <w:spacing w:after="240"/>
        <w:ind w:left="567" w:hanging="567"/>
      </w:pPr>
      <w:r>
        <w:t>A.</w:t>
      </w:r>
      <w:r>
        <w:tab/>
        <w:t xml:space="preserve">tā kā saskaņā ar </w:t>
      </w:r>
      <w:r>
        <w:rPr>
          <w:i/>
        </w:rPr>
        <w:t>Euratom</w:t>
      </w:r>
      <w:r>
        <w:t xml:space="preserve"> Apgādes aģentūras (“Aģentūra”) ieņēmumu un izdevumu finanšu pārskatiem tās 2017. finanšu gada galīgais budžets bija 123 000 EUR, t. i., nedaudz — par 1,6 % — mazāks nekā 2016. gadā; tā kā Aģentūras budžetu pilnībā finansē no Savienības budžeta;</w:t>
      </w:r>
    </w:p>
    <w:p w:rsidR="006B3087" w:rsidRPr="009738E8" w:rsidRDefault="006B3087" w:rsidP="006B3087">
      <w:pPr>
        <w:spacing w:after="240"/>
        <w:ind w:left="567" w:hanging="567"/>
      </w:pPr>
      <w:r>
        <w:t>B.</w:t>
      </w:r>
      <w:r>
        <w:tab/>
        <w:t>tā kā Revīzijas palātas ziņojumā par Aģentūras 2017. finanšu gada pārskatiem (“Revīzijas palātas ziņojums”) ir norādīts, ka tā ir guvusi pamatotu pārliecību par to, ka Aģentūras gada pārskati ir ticami un ka pakārtotie darījumi ir likumīgi un pareizi,</w:t>
      </w:r>
    </w:p>
    <w:p w:rsidR="006B3087" w:rsidRPr="009738E8" w:rsidRDefault="006B3087" w:rsidP="006B3087">
      <w:pPr>
        <w:spacing w:after="240"/>
        <w:ind w:left="567" w:hanging="567"/>
        <w:rPr>
          <w:b/>
          <w:i/>
        </w:rPr>
      </w:pPr>
      <w:r>
        <w:rPr>
          <w:b/>
          <w:i/>
        </w:rPr>
        <w:t>Budžeta un finanšu pārvaldība</w:t>
      </w:r>
    </w:p>
    <w:p w:rsidR="006B3087" w:rsidRPr="009738E8" w:rsidRDefault="006B3087" w:rsidP="006B3087">
      <w:pPr>
        <w:spacing w:after="240"/>
        <w:ind w:left="567" w:hanging="567"/>
      </w:pPr>
      <w:r>
        <w:t>1.</w:t>
      </w:r>
      <w:r>
        <w:tab/>
        <w:t>ar gandarījumu atzīmē, ka 2017. finanšu gadā īstenotās budžeta uzraudzības rezultātā saistību apropriāciju izpildes līmenis bija 98,88 %, t. i.</w:t>
      </w:r>
      <w:r w:rsidR="00C43DF1">
        <w:t>, par 4,54 % lielāks nekā 2016. </w:t>
      </w:r>
      <w:r>
        <w:t>gadā; tomēr ar bažām atzīmē arī to, ka maksājumu apropriāciju izpildes līmenis bija 74,64 %, t. i., par 11,48 % zemāks nekā 2016. gadā;</w:t>
      </w:r>
    </w:p>
    <w:p w:rsidR="006B3087" w:rsidRPr="009738E8" w:rsidRDefault="006B3087" w:rsidP="006B3087">
      <w:pPr>
        <w:spacing w:after="240"/>
        <w:ind w:left="567" w:hanging="567"/>
        <w:rPr>
          <w:b/>
          <w:i/>
        </w:rPr>
      </w:pPr>
      <w:r>
        <w:rPr>
          <w:b/>
          <w:i/>
        </w:rPr>
        <w:t>Pārnesto apropriāciju atcelšana</w:t>
      </w:r>
    </w:p>
    <w:p w:rsidR="006B3087" w:rsidRPr="009738E8" w:rsidRDefault="006B3087" w:rsidP="006B3087">
      <w:pPr>
        <w:spacing w:after="240"/>
        <w:ind w:left="567" w:hanging="567"/>
      </w:pPr>
      <w:r>
        <w:t>2.</w:t>
      </w:r>
      <w:r>
        <w:tab/>
        <w:t>atzinīgi vērtē to, ka tika atcelti 148,09 EUR no apropriācijām, kuras tika pārnestas no 2016. gada uz 2017. gadu, jeb 1,44 % no kopējā pārnesto apropriāciju apmēra, un tas ir par 2,07 % mazāk nekā 2016. gadā;</w:t>
      </w:r>
    </w:p>
    <w:p w:rsidR="006B3087" w:rsidRPr="009738E8" w:rsidRDefault="006B3087" w:rsidP="006B3087">
      <w:pPr>
        <w:spacing w:after="240"/>
        <w:ind w:left="567" w:hanging="567"/>
        <w:rPr>
          <w:b/>
          <w:i/>
        </w:rPr>
      </w:pPr>
      <w:r>
        <w:rPr>
          <w:b/>
          <w:i/>
        </w:rPr>
        <w:t>Sniegums</w:t>
      </w:r>
    </w:p>
    <w:p w:rsidR="006B3087" w:rsidRPr="009738E8" w:rsidRDefault="006B3087" w:rsidP="006B3087">
      <w:pPr>
        <w:spacing w:after="240"/>
        <w:ind w:left="567" w:hanging="567"/>
      </w:pPr>
      <w:r>
        <w:t>3.</w:t>
      </w:r>
      <w:r>
        <w:tab/>
        <w:t>norāda, ka Aģentūra ir informējusi, ka 2017. gadā tā ir apstrādājusi 320 darījumu, tostarp līgumus, grozījumus un paziņojumus, un turpināja īstenot atbildību par Savienības kopējo kodolenerģijas piegādes politiku atbilstīgi tās tiesību aktos noteiktajam pilnvarojumam, lai nodrošinātu kodolmateriālu piegādes drošību; ņem vērā Aģentūras pastāvīgos centienus dažādot piegādes avotus;</w:t>
      </w:r>
    </w:p>
    <w:p w:rsidR="006B3087" w:rsidRPr="009738E8" w:rsidRDefault="006B3087" w:rsidP="006B3087">
      <w:pPr>
        <w:spacing w:after="240"/>
        <w:ind w:left="567" w:hanging="567"/>
        <w:rPr>
          <w:b/>
          <w:i/>
          <w:szCs w:val="24"/>
        </w:rPr>
      </w:pPr>
      <w:r>
        <w:rPr>
          <w:b/>
          <w:i/>
          <w:szCs w:val="24"/>
        </w:rPr>
        <w:t>Personāla politika</w:t>
      </w:r>
    </w:p>
    <w:p w:rsidR="006B3087" w:rsidRPr="009738E8" w:rsidRDefault="00783DAA" w:rsidP="006B3087">
      <w:pPr>
        <w:spacing w:after="240"/>
        <w:ind w:left="567" w:hanging="567"/>
      </w:pPr>
      <w:r>
        <w:t>4.</w:t>
      </w:r>
      <w:r>
        <w:tab/>
        <w:t>atzīmē, ka Aģentūrā no 25</w:t>
      </w:r>
      <w:r w:rsidR="006B3087">
        <w:t> vietām, kas atļautas saskaņā ar štatu sarakstu, 2017. gada beigās tāpat kā 2016. gadā strādāja 17 darbinieki, kuri visi bija Komisijas ierēdņi;</w:t>
      </w:r>
    </w:p>
    <w:p w:rsidR="006B3087" w:rsidRPr="009738E8" w:rsidRDefault="006B3087" w:rsidP="006B3087">
      <w:pPr>
        <w:spacing w:after="240"/>
        <w:ind w:left="567" w:hanging="567"/>
        <w:rPr>
          <w:b/>
          <w:i/>
        </w:rPr>
      </w:pPr>
      <w:r>
        <w:rPr>
          <w:b/>
          <w:i/>
        </w:rPr>
        <w:t>Citi komentāri</w:t>
      </w:r>
    </w:p>
    <w:p w:rsidR="006B3087" w:rsidRPr="009738E8" w:rsidRDefault="006B3087" w:rsidP="006B3087">
      <w:pPr>
        <w:spacing w:after="240"/>
        <w:ind w:left="567" w:hanging="567"/>
      </w:pPr>
      <w:r>
        <w:t>5.</w:t>
      </w:r>
      <w:r>
        <w:tab/>
        <w:t xml:space="preserve">norāda, ka Apvienotā Karaliste ir darījusi zināmu savu nodomu izstāties no Savienības, tostarp </w:t>
      </w:r>
      <w:r>
        <w:rPr>
          <w:i/>
        </w:rPr>
        <w:t>Euratom</w:t>
      </w:r>
      <w:r>
        <w:t>; norāda, ka no izstāšanās datuma Apvienotā Karaliste būs pilnībā atbildīga par to, lai tiktu izpildītas starptautiskās saistības, kas izriet no tās dalības Starpta</w:t>
      </w:r>
      <w:r w:rsidR="00E865DA">
        <w:t>utiskajā Atomenerģijas aģentūrā</w:t>
      </w:r>
      <w:bookmarkStart w:id="11" w:name="_GoBack"/>
      <w:bookmarkEnd w:id="11"/>
      <w:r>
        <w:t xml:space="preserve"> un no dažādiem starptautiskiem līgumiem un konvencijām, kurās tā ir līgumslēdzēja puse; jo īpaši norāda, ka Apvienotajai Karalistei ir jāizveido pašai savs kodoldrošības režīms un jārisina sarunas par divpusējiem nolīgumiem par sadarbību kodolenerģijas jomā ar dažādām valstīm, uz kurām tagad attiecas </w:t>
      </w:r>
      <w:r>
        <w:rPr>
          <w:i/>
        </w:rPr>
        <w:t>Euratom</w:t>
      </w:r>
      <w:r>
        <w:t xml:space="preserve"> nolīgumi; aicina Aģentūru apzināt situāciju un sekot līdzi tai, un ziņot budžeta izpildes apstiprinātājiestādei par attīstību šajā jomā;</w:t>
      </w:r>
    </w:p>
    <w:p w:rsidR="006B3087" w:rsidRPr="009738E8" w:rsidRDefault="006B3087" w:rsidP="006B3087">
      <w:pPr>
        <w:pStyle w:val="Normal12Centre"/>
      </w:pPr>
      <w:r>
        <w:t>o</w:t>
      </w:r>
    </w:p>
    <w:p w:rsidR="006B3087" w:rsidRPr="009738E8" w:rsidRDefault="006B3087" w:rsidP="006B3087">
      <w:pPr>
        <w:pStyle w:val="Normal12Centre"/>
      </w:pPr>
      <w:r>
        <w:t>o</w:t>
      </w:r>
      <w:r>
        <w:tab/>
        <w:t>o</w:t>
      </w:r>
    </w:p>
    <w:p w:rsidR="006B3087" w:rsidRPr="00F2050A" w:rsidRDefault="006B3087" w:rsidP="00F2050A">
      <w:pPr>
        <w:pStyle w:val="Normal12Hanging"/>
      </w:pPr>
      <w:r>
        <w:t>6.</w:t>
      </w:r>
      <w:r>
        <w:tab/>
        <w:t>attiecībā uz pārējiem konstatējumiem, kas pievienoti lēmumam par budžeta izpildes apstiprināšanu un kas ir horizontāla rakstura konstatējumi, atsaucas uz 2019. gada ... rezolūciju par aģentūru darbību, finanšu pārvaldību un kontroli</w:t>
      </w:r>
      <w:r w:rsidRPr="009738E8">
        <w:rPr>
          <w:rStyle w:val="FootnoteReference"/>
        </w:rPr>
        <w:footnoteReference w:id="11"/>
      </w:r>
      <w:r>
        <w:t>.</w:t>
      </w:r>
    </w:p>
    <w:p w:rsidR="00F2050A" w:rsidRDefault="00F2050A" w:rsidP="00F2050A">
      <w:pPr>
        <w:pStyle w:val="PageHeading"/>
      </w:pPr>
      <w:r w:rsidRPr="00F2050A">
        <w:br w:type="page"/>
      </w:r>
      <w:bookmarkStart w:id="12" w:name="ProcPageRR"/>
      <w:bookmarkStart w:id="13" w:name="_Toc3902828"/>
      <w:r>
        <w:t>INFORMĀCIJA PAR PIEŅEMŠANU</w:t>
      </w:r>
      <w:r>
        <w:br/>
        <w:t>ATBILDĪGAJĀ KOMITEJĀ</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2050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050A" w:rsidRDefault="00F2050A">
            <w:pPr>
              <w:autoSpaceDE w:val="0"/>
              <w:autoSpaceDN w:val="0"/>
              <w:adjustRightInd w:val="0"/>
              <w:rPr>
                <w:color w:val="000000"/>
                <w:sz w:val="20"/>
              </w:rPr>
            </w:pPr>
            <w:r>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050A" w:rsidRDefault="00F2050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050A" w:rsidRDefault="00F2050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rFonts w:ascii="sans-serif" w:hAnsi="sans-serif" w:cs="sans-serif"/>
                <w:color w:val="000000"/>
                <w:szCs w:val="24"/>
              </w:rPr>
            </w:pPr>
          </w:p>
        </w:tc>
      </w:tr>
      <w:tr w:rsidR="00F2050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050A" w:rsidRDefault="00F2050A">
            <w:pPr>
              <w:autoSpaceDE w:val="0"/>
              <w:autoSpaceDN w:val="0"/>
              <w:adjustRightInd w:val="0"/>
              <w:rPr>
                <w:color w:val="000000"/>
                <w:sz w:val="20"/>
              </w:rPr>
            </w:pPr>
            <w:r>
              <w:rPr>
                <w:color w:val="000000"/>
                <w:sz w:val="20"/>
              </w:rPr>
              <w:t>+:</w:t>
            </w:r>
          </w:p>
          <w:p w:rsidR="00F2050A" w:rsidRDefault="00F2050A">
            <w:pPr>
              <w:autoSpaceDE w:val="0"/>
              <w:autoSpaceDN w:val="0"/>
              <w:adjustRightInd w:val="0"/>
              <w:rPr>
                <w:color w:val="000000"/>
                <w:sz w:val="20"/>
              </w:rPr>
            </w:pPr>
            <w:r>
              <w:rPr>
                <w:color w:val="000000"/>
                <w:sz w:val="20"/>
              </w:rPr>
              <w:t>–:</w:t>
            </w:r>
          </w:p>
          <w:p w:rsidR="00F2050A" w:rsidRDefault="00F2050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color w:val="000000"/>
                <w:sz w:val="20"/>
              </w:rPr>
            </w:pPr>
            <w:r>
              <w:rPr>
                <w:color w:val="000000"/>
                <w:sz w:val="20"/>
              </w:rPr>
              <w:t>21</w:t>
            </w:r>
          </w:p>
          <w:p w:rsidR="00F2050A" w:rsidRDefault="00F2050A">
            <w:pPr>
              <w:autoSpaceDE w:val="0"/>
              <w:autoSpaceDN w:val="0"/>
              <w:adjustRightInd w:val="0"/>
              <w:rPr>
                <w:color w:val="000000"/>
                <w:sz w:val="20"/>
              </w:rPr>
            </w:pPr>
            <w:r>
              <w:rPr>
                <w:color w:val="000000"/>
                <w:sz w:val="20"/>
              </w:rPr>
              <w:t>0</w:t>
            </w:r>
          </w:p>
          <w:p w:rsidR="00F2050A" w:rsidRDefault="00F2050A">
            <w:pPr>
              <w:autoSpaceDE w:val="0"/>
              <w:autoSpaceDN w:val="0"/>
              <w:adjustRightInd w:val="0"/>
              <w:rPr>
                <w:color w:val="000000"/>
                <w:sz w:val="20"/>
              </w:rPr>
            </w:pPr>
            <w:r>
              <w:rPr>
                <w:color w:val="000000"/>
                <w:sz w:val="20"/>
              </w:rPr>
              <w:t>0</w:t>
            </w:r>
          </w:p>
        </w:tc>
      </w:tr>
      <w:tr w:rsidR="00F2050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color w:val="000000"/>
                <w:sz w:val="20"/>
              </w:rPr>
            </w:pPr>
            <w:r>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F2050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color w:val="000000"/>
                <w:sz w:val="20"/>
              </w:rPr>
            </w:pPr>
            <w:r>
              <w:rPr>
                <w:color w:val="000000"/>
                <w:sz w:val="20"/>
              </w:rPr>
              <w:t>Karin Kadenbach</w:t>
            </w:r>
          </w:p>
        </w:tc>
      </w:tr>
      <w:tr w:rsidR="00F2050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050A" w:rsidRDefault="00F2050A">
            <w:pPr>
              <w:autoSpaceDE w:val="0"/>
              <w:autoSpaceDN w:val="0"/>
              <w:adjustRightInd w:val="0"/>
              <w:rPr>
                <w:color w:val="000000"/>
                <w:sz w:val="20"/>
              </w:rPr>
            </w:pPr>
            <w:r>
              <w:rPr>
                <w:color w:val="000000"/>
                <w:sz w:val="20"/>
              </w:rPr>
              <w:t>Petra Kammerevert</w:t>
            </w:r>
          </w:p>
        </w:tc>
      </w:tr>
    </w:tbl>
    <w:p w:rsidR="00F2050A" w:rsidRPr="0020611F" w:rsidRDefault="00F2050A" w:rsidP="0020611F"/>
    <w:bookmarkEnd w:id="12"/>
    <w:p w:rsidR="0020611F" w:rsidRDefault="0020611F" w:rsidP="0020611F">
      <w:pPr>
        <w:sectPr w:rsidR="0020611F" w:rsidSect="0020611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20611F" w:rsidRPr="0099178F" w:rsidRDefault="0020611F" w:rsidP="00AD5932">
      <w:pPr>
        <w:pStyle w:val="PageHeading"/>
        <w:rPr>
          <w:szCs w:val="24"/>
        </w:rPr>
      </w:pPr>
      <w:bookmarkStart w:id="14" w:name="RollCallPageRR"/>
      <w:bookmarkStart w:id="15" w:name="_Toc3902829"/>
      <w:r>
        <w:rPr>
          <w:szCs w:val="24"/>
        </w:rPr>
        <w:t>ATBILDĪGĀS KOMITEJAS</w:t>
      </w:r>
      <w:r>
        <w:rPr>
          <w:szCs w:val="24"/>
        </w:rPr>
        <w:br/>
        <w:t>GALĪGAIS BALSOJUMS PĒC SARAKSTA</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611F" w:rsidRPr="00070771" w:rsidTr="00FF16C5">
        <w:trPr>
          <w:cantSplit/>
        </w:trPr>
        <w:tc>
          <w:tcPr>
            <w:tcW w:w="1701" w:type="dxa"/>
            <w:shd w:val="pct10" w:color="000000" w:fill="FFFFFF"/>
            <w:vAlign w:val="center"/>
          </w:tcPr>
          <w:p w:rsidR="0020611F" w:rsidRPr="00070771" w:rsidRDefault="0020611F" w:rsidP="00FF16C5">
            <w:pPr>
              <w:spacing w:before="120" w:after="120"/>
              <w:jc w:val="center"/>
              <w:rPr>
                <w:b/>
                <w:sz w:val="20"/>
              </w:rPr>
            </w:pPr>
            <w:r w:rsidRPr="00070771">
              <w:rPr>
                <w:b/>
                <w:sz w:val="20"/>
              </w:rPr>
              <w:t>21</w:t>
            </w:r>
          </w:p>
        </w:tc>
        <w:tc>
          <w:tcPr>
            <w:tcW w:w="7371" w:type="dxa"/>
            <w:shd w:val="pct10" w:color="000000" w:fill="FFFFFF"/>
          </w:tcPr>
          <w:p w:rsidR="0020611F" w:rsidRPr="00070771" w:rsidRDefault="0020611F" w:rsidP="00FF16C5">
            <w:pPr>
              <w:spacing w:before="120" w:after="120"/>
              <w:jc w:val="center"/>
              <w:rPr>
                <w:rFonts w:ascii="Arial" w:hAnsi="Arial" w:cs="Arial"/>
                <w:b/>
                <w:sz w:val="28"/>
                <w:szCs w:val="28"/>
              </w:rPr>
            </w:pPr>
            <w:r w:rsidRPr="00070771">
              <w:rPr>
                <w:rFonts w:ascii="Arial" w:hAnsi="Arial" w:cs="Arial"/>
                <w:b/>
                <w:sz w:val="28"/>
                <w:szCs w:val="28"/>
              </w:rPr>
              <w:t>+</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ALDE</w:t>
            </w:r>
          </w:p>
        </w:tc>
        <w:tc>
          <w:tcPr>
            <w:tcW w:w="7371" w:type="dxa"/>
            <w:shd w:val="clear" w:color="auto" w:fill="FFFFFF"/>
          </w:tcPr>
          <w:p w:rsidR="0020611F" w:rsidRPr="00070771" w:rsidRDefault="0020611F" w:rsidP="00FF16C5">
            <w:pPr>
              <w:spacing w:before="120" w:after="120"/>
              <w:rPr>
                <w:sz w:val="20"/>
              </w:rPr>
            </w:pPr>
            <w:r w:rsidRPr="00070771">
              <w:rPr>
                <w:sz w:val="20"/>
              </w:rPr>
              <w:t>Nedzhmi Ali, Martina Dlabajová, Wolf Klinz</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ECR</w:t>
            </w:r>
          </w:p>
        </w:tc>
        <w:tc>
          <w:tcPr>
            <w:tcW w:w="7371" w:type="dxa"/>
            <w:shd w:val="clear" w:color="auto" w:fill="FFFFFF"/>
          </w:tcPr>
          <w:p w:rsidR="0020611F" w:rsidRPr="00070771" w:rsidRDefault="0020611F" w:rsidP="00FF16C5">
            <w:pPr>
              <w:spacing w:before="120" w:after="120"/>
              <w:rPr>
                <w:sz w:val="20"/>
              </w:rPr>
            </w:pPr>
            <w:r w:rsidRPr="00070771">
              <w:rPr>
                <w:sz w:val="20"/>
              </w:rPr>
              <w:t>Monica Macovei</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EFDD</w:t>
            </w:r>
          </w:p>
        </w:tc>
        <w:tc>
          <w:tcPr>
            <w:tcW w:w="7371" w:type="dxa"/>
            <w:shd w:val="clear" w:color="auto" w:fill="FFFFFF"/>
          </w:tcPr>
          <w:p w:rsidR="0020611F" w:rsidRPr="00070771" w:rsidRDefault="0020611F" w:rsidP="00FF16C5">
            <w:pPr>
              <w:spacing w:before="120" w:after="120"/>
              <w:rPr>
                <w:sz w:val="20"/>
              </w:rPr>
            </w:pPr>
            <w:r w:rsidRPr="00070771">
              <w:rPr>
                <w:sz w:val="20"/>
              </w:rPr>
              <w:t>Marco Valli</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ENF</w:t>
            </w:r>
          </w:p>
        </w:tc>
        <w:tc>
          <w:tcPr>
            <w:tcW w:w="7371" w:type="dxa"/>
            <w:shd w:val="clear" w:color="auto" w:fill="FFFFFF"/>
          </w:tcPr>
          <w:p w:rsidR="0020611F" w:rsidRPr="00070771" w:rsidRDefault="0020611F" w:rsidP="00FF16C5">
            <w:pPr>
              <w:spacing w:before="120" w:after="120"/>
              <w:rPr>
                <w:sz w:val="20"/>
              </w:rPr>
            </w:pPr>
            <w:r w:rsidRPr="00070771">
              <w:rPr>
                <w:sz w:val="20"/>
              </w:rPr>
              <w:t>Jean-François Jalkh</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GUE/NGL</w:t>
            </w:r>
          </w:p>
        </w:tc>
        <w:tc>
          <w:tcPr>
            <w:tcW w:w="7371" w:type="dxa"/>
            <w:shd w:val="clear" w:color="auto" w:fill="FFFFFF"/>
          </w:tcPr>
          <w:p w:rsidR="0020611F" w:rsidRPr="00070771" w:rsidRDefault="0020611F" w:rsidP="00FF16C5">
            <w:pPr>
              <w:spacing w:before="120" w:after="120"/>
              <w:rPr>
                <w:sz w:val="20"/>
              </w:rPr>
            </w:pPr>
            <w:r w:rsidRPr="00070771">
              <w:rPr>
                <w:sz w:val="20"/>
              </w:rPr>
              <w:t>Dennis de Jong</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PPE</w:t>
            </w:r>
          </w:p>
        </w:tc>
        <w:tc>
          <w:tcPr>
            <w:tcW w:w="7371" w:type="dxa"/>
            <w:shd w:val="clear" w:color="auto" w:fill="FFFFFF"/>
          </w:tcPr>
          <w:p w:rsidR="0020611F" w:rsidRPr="00070771" w:rsidRDefault="0020611F" w:rsidP="00FF16C5">
            <w:pPr>
              <w:spacing w:before="120" w:after="120"/>
              <w:rPr>
                <w:sz w:val="20"/>
              </w:rPr>
            </w:pPr>
            <w:r w:rsidRPr="00070771">
              <w:rPr>
                <w:sz w:val="20"/>
              </w:rPr>
              <w:t>Tamás Deutsch, Ingeborg Gräßle, José Ignacio Salafranca Sánchez-Neyra, Petri Sarvamaa, Claudia Schmidt, Tomáš Zdechovský, Joachim Zeller</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S&amp;D</w:t>
            </w:r>
          </w:p>
        </w:tc>
        <w:tc>
          <w:tcPr>
            <w:tcW w:w="7371" w:type="dxa"/>
            <w:shd w:val="clear" w:color="auto" w:fill="FFFFFF"/>
          </w:tcPr>
          <w:p w:rsidR="0020611F" w:rsidRPr="00070771" w:rsidRDefault="0020611F" w:rsidP="00FF16C5">
            <w:pPr>
              <w:spacing w:before="120" w:after="120"/>
              <w:rPr>
                <w:sz w:val="20"/>
              </w:rPr>
            </w:pPr>
            <w:r w:rsidRPr="00070771">
              <w:rPr>
                <w:sz w:val="20"/>
              </w:rPr>
              <w:t>Inés Ayala Sender, Zigmantas Balčytis, Karin Kadenbach, Petra Kammerevert, Georgi Pirinski, Derek Vaughan</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r w:rsidRPr="00070771">
              <w:rPr>
                <w:sz w:val="20"/>
              </w:rPr>
              <w:t>VERTS/ALE</w:t>
            </w:r>
          </w:p>
        </w:tc>
        <w:tc>
          <w:tcPr>
            <w:tcW w:w="7371" w:type="dxa"/>
            <w:shd w:val="clear" w:color="auto" w:fill="FFFFFF"/>
          </w:tcPr>
          <w:p w:rsidR="0020611F" w:rsidRPr="00070771" w:rsidRDefault="0020611F" w:rsidP="00FF16C5">
            <w:pPr>
              <w:spacing w:before="120" w:after="120"/>
              <w:rPr>
                <w:sz w:val="20"/>
              </w:rPr>
            </w:pPr>
            <w:r w:rsidRPr="00070771">
              <w:rPr>
                <w:sz w:val="20"/>
              </w:rPr>
              <w:t>Bart Staes</w:t>
            </w:r>
          </w:p>
        </w:tc>
      </w:tr>
    </w:tbl>
    <w:p w:rsidR="0020611F" w:rsidRPr="00070771" w:rsidRDefault="0020611F" w:rsidP="0020611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611F" w:rsidRPr="00070771" w:rsidTr="00FF16C5">
        <w:trPr>
          <w:cantSplit/>
        </w:trPr>
        <w:tc>
          <w:tcPr>
            <w:tcW w:w="1701" w:type="dxa"/>
            <w:shd w:val="pct10" w:color="000000" w:fill="FFFFFF"/>
            <w:vAlign w:val="center"/>
          </w:tcPr>
          <w:p w:rsidR="0020611F" w:rsidRPr="00070771" w:rsidRDefault="0020611F" w:rsidP="00FF16C5">
            <w:pPr>
              <w:spacing w:before="120" w:after="120"/>
              <w:jc w:val="center"/>
              <w:rPr>
                <w:b/>
                <w:sz w:val="20"/>
              </w:rPr>
            </w:pPr>
            <w:r w:rsidRPr="00070771">
              <w:rPr>
                <w:b/>
                <w:sz w:val="20"/>
              </w:rPr>
              <w:t>0</w:t>
            </w:r>
          </w:p>
        </w:tc>
        <w:tc>
          <w:tcPr>
            <w:tcW w:w="7371" w:type="dxa"/>
            <w:shd w:val="pct10" w:color="000000" w:fill="FFFFFF"/>
          </w:tcPr>
          <w:p w:rsidR="0020611F" w:rsidRPr="00070771" w:rsidRDefault="0020611F" w:rsidP="00FF16C5">
            <w:pPr>
              <w:spacing w:before="120" w:after="120"/>
              <w:jc w:val="center"/>
              <w:rPr>
                <w:sz w:val="28"/>
                <w:szCs w:val="28"/>
              </w:rPr>
            </w:pPr>
            <w:r w:rsidRPr="00070771">
              <w:rPr>
                <w:rFonts w:ascii="Arial" w:hAnsi="Arial" w:cs="Arial"/>
                <w:b/>
                <w:sz w:val="28"/>
                <w:szCs w:val="28"/>
              </w:rPr>
              <w:t>-</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p>
        </w:tc>
        <w:tc>
          <w:tcPr>
            <w:tcW w:w="7371" w:type="dxa"/>
            <w:shd w:val="clear" w:color="auto" w:fill="FFFFFF"/>
          </w:tcPr>
          <w:p w:rsidR="0020611F" w:rsidRPr="00070771" w:rsidRDefault="0020611F" w:rsidP="00FF16C5">
            <w:pPr>
              <w:spacing w:before="120" w:after="120"/>
              <w:rPr>
                <w:sz w:val="20"/>
              </w:rPr>
            </w:pPr>
          </w:p>
        </w:tc>
      </w:tr>
    </w:tbl>
    <w:p w:rsidR="0020611F" w:rsidRPr="00070771" w:rsidRDefault="0020611F" w:rsidP="0020611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0611F" w:rsidRPr="00070771" w:rsidTr="00FF16C5">
        <w:trPr>
          <w:cantSplit/>
        </w:trPr>
        <w:tc>
          <w:tcPr>
            <w:tcW w:w="1701" w:type="dxa"/>
            <w:shd w:val="pct10" w:color="000000" w:fill="FFFFFF"/>
            <w:vAlign w:val="center"/>
          </w:tcPr>
          <w:p w:rsidR="0020611F" w:rsidRPr="00070771" w:rsidRDefault="0020611F" w:rsidP="00FF16C5">
            <w:pPr>
              <w:spacing w:before="120" w:after="120"/>
              <w:jc w:val="center"/>
              <w:rPr>
                <w:b/>
                <w:sz w:val="20"/>
              </w:rPr>
            </w:pPr>
            <w:r w:rsidRPr="00070771">
              <w:rPr>
                <w:b/>
                <w:sz w:val="20"/>
              </w:rPr>
              <w:t>0</w:t>
            </w:r>
          </w:p>
        </w:tc>
        <w:tc>
          <w:tcPr>
            <w:tcW w:w="7371" w:type="dxa"/>
            <w:shd w:val="pct10" w:color="000000" w:fill="FFFFFF"/>
          </w:tcPr>
          <w:p w:rsidR="0020611F" w:rsidRPr="00070771" w:rsidRDefault="0020611F" w:rsidP="00FF16C5">
            <w:pPr>
              <w:spacing w:before="120" w:after="120"/>
              <w:jc w:val="center"/>
              <w:rPr>
                <w:sz w:val="28"/>
                <w:szCs w:val="28"/>
              </w:rPr>
            </w:pPr>
            <w:r w:rsidRPr="00070771">
              <w:rPr>
                <w:rFonts w:ascii="Arial" w:hAnsi="Arial" w:cs="Arial"/>
                <w:b/>
                <w:sz w:val="28"/>
                <w:szCs w:val="28"/>
              </w:rPr>
              <w:t>0</w:t>
            </w:r>
          </w:p>
        </w:tc>
      </w:tr>
      <w:tr w:rsidR="0020611F" w:rsidRPr="00070771" w:rsidTr="00FF16C5">
        <w:trPr>
          <w:cantSplit/>
        </w:trPr>
        <w:tc>
          <w:tcPr>
            <w:tcW w:w="1701" w:type="dxa"/>
            <w:shd w:val="clear" w:color="auto" w:fill="FFFFFF"/>
          </w:tcPr>
          <w:p w:rsidR="0020611F" w:rsidRPr="00070771" w:rsidRDefault="0020611F" w:rsidP="00FF16C5">
            <w:pPr>
              <w:spacing w:before="120" w:after="120"/>
              <w:rPr>
                <w:sz w:val="20"/>
              </w:rPr>
            </w:pPr>
          </w:p>
        </w:tc>
        <w:tc>
          <w:tcPr>
            <w:tcW w:w="7371" w:type="dxa"/>
            <w:shd w:val="clear" w:color="auto" w:fill="FFFFFF"/>
          </w:tcPr>
          <w:p w:rsidR="0020611F" w:rsidRPr="00070771" w:rsidRDefault="0020611F" w:rsidP="00FF16C5">
            <w:pPr>
              <w:spacing w:before="120" w:after="120"/>
              <w:rPr>
                <w:sz w:val="20"/>
              </w:rPr>
            </w:pPr>
          </w:p>
        </w:tc>
      </w:tr>
    </w:tbl>
    <w:p w:rsidR="0020611F" w:rsidRPr="00070771" w:rsidRDefault="0020611F" w:rsidP="0020611F">
      <w:pPr>
        <w:pStyle w:val="Normal12"/>
      </w:pPr>
    </w:p>
    <w:p w:rsidR="0020611F" w:rsidRDefault="0020611F" w:rsidP="00B735E3">
      <w:r>
        <w:t>Izmantoto apzīmējumu skaidrojums:</w:t>
      </w:r>
    </w:p>
    <w:p w:rsidR="0020611F" w:rsidRDefault="0020611F" w:rsidP="00B735E3">
      <w:pPr>
        <w:pStyle w:val="NormalTabs"/>
      </w:pPr>
      <w:r>
        <w:t>+</w:t>
      </w:r>
      <w:r>
        <w:tab/>
        <w:t>:</w:t>
      </w:r>
      <w:r>
        <w:tab/>
        <w:t>par</w:t>
      </w:r>
    </w:p>
    <w:p w:rsidR="0020611F" w:rsidRDefault="0020611F" w:rsidP="00B735E3">
      <w:pPr>
        <w:pStyle w:val="NormalTabs"/>
      </w:pPr>
      <w:r>
        <w:t>-</w:t>
      </w:r>
      <w:r>
        <w:tab/>
        <w:t>:</w:t>
      </w:r>
      <w:r>
        <w:tab/>
        <w:t>pret</w:t>
      </w:r>
    </w:p>
    <w:p w:rsidR="0020611F" w:rsidRDefault="0020611F" w:rsidP="00B735E3">
      <w:pPr>
        <w:pStyle w:val="NormalTabs"/>
      </w:pPr>
      <w:r>
        <w:t>0</w:t>
      </w:r>
      <w:r>
        <w:tab/>
        <w:t>:</w:t>
      </w:r>
      <w:r>
        <w:tab/>
        <w:t>atturas</w:t>
      </w:r>
    </w:p>
    <w:p w:rsidR="0020611F" w:rsidRDefault="0020611F" w:rsidP="00AD5932"/>
    <w:bookmarkEnd w:id="14"/>
    <w:p w:rsidR="00841D8C" w:rsidRPr="0020611F" w:rsidRDefault="00841D8C" w:rsidP="0020611F"/>
    <w:sectPr w:rsidR="00841D8C" w:rsidRPr="0020611F" w:rsidSect="0020611F">
      <w:footerReference w:type="default" r:id="rId14"/>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FB" w:rsidRPr="003605FB" w:rsidRDefault="003605FB">
      <w:r w:rsidRPr="003605FB">
        <w:separator/>
      </w:r>
    </w:p>
  </w:endnote>
  <w:endnote w:type="continuationSeparator" w:id="0">
    <w:p w:rsidR="003605FB" w:rsidRPr="003605FB" w:rsidRDefault="003605FB">
      <w:r w:rsidRPr="003605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A" w:rsidRDefault="00F2050A" w:rsidP="00F2050A">
    <w:pPr>
      <w:pStyle w:val="Footer"/>
    </w:pPr>
    <w:r>
      <w:t>PE</w:t>
    </w:r>
    <w:r w:rsidRPr="00F2050A">
      <w:rPr>
        <w:rStyle w:val="HideTWBExt"/>
      </w:rPr>
      <w:t>&lt;NoPE&gt;</w:t>
    </w:r>
    <w:r>
      <w:t>626.808</w:t>
    </w:r>
    <w:r w:rsidRPr="00F2050A">
      <w:rPr>
        <w:rStyle w:val="HideTWBExt"/>
      </w:rPr>
      <w:t>&lt;/NoPE&gt;&lt;Version&gt;</w:t>
    </w:r>
    <w:r>
      <w:t>v02-00</w:t>
    </w:r>
    <w:r w:rsidRPr="00F2050A">
      <w:rPr>
        <w:rStyle w:val="HideTWBExt"/>
      </w:rPr>
      <w:t>&lt;/Version&gt;</w:t>
    </w:r>
    <w:r>
      <w:tab/>
    </w:r>
    <w:r>
      <w:fldChar w:fldCharType="begin"/>
    </w:r>
    <w:r>
      <w:instrText xml:space="preserve"> PAGE  \* MERGEFORMAT </w:instrText>
    </w:r>
    <w:r>
      <w:fldChar w:fldCharType="separate"/>
    </w:r>
    <w:r w:rsidR="00E865DA">
      <w:rPr>
        <w:noProof/>
      </w:rPr>
      <w:t>10</w:t>
    </w:r>
    <w:r>
      <w:fldChar w:fldCharType="end"/>
    </w:r>
    <w:r>
      <w:t>/</w:t>
    </w:r>
    <w:r w:rsidR="008E0722">
      <w:rPr>
        <w:noProof/>
      </w:rPr>
      <w:fldChar w:fldCharType="begin"/>
    </w:r>
    <w:r w:rsidR="008E0722">
      <w:rPr>
        <w:noProof/>
      </w:rPr>
      <w:instrText xml:space="preserve"> NUMPAGES  \* MERGEFORMAT </w:instrText>
    </w:r>
    <w:r w:rsidR="008E0722">
      <w:rPr>
        <w:noProof/>
      </w:rPr>
      <w:fldChar w:fldCharType="separate"/>
    </w:r>
    <w:r w:rsidR="00E865DA">
      <w:rPr>
        <w:noProof/>
      </w:rPr>
      <w:t>10</w:t>
    </w:r>
    <w:r w:rsidR="008E0722">
      <w:rPr>
        <w:noProof/>
      </w:rPr>
      <w:fldChar w:fldCharType="end"/>
    </w:r>
    <w:r>
      <w:tab/>
    </w:r>
    <w:r w:rsidRPr="00F2050A">
      <w:rPr>
        <w:rStyle w:val="HideTWBExt"/>
      </w:rPr>
      <w:t>&lt;PathFdR&gt;</w:t>
    </w:r>
    <w:r>
      <w:t>RR\1178378LV.docx</w:t>
    </w:r>
    <w:r w:rsidRPr="00F2050A">
      <w:rPr>
        <w:rStyle w:val="HideTWBExt"/>
      </w:rPr>
      <w:t>&lt;/PathFdR&gt;</w:t>
    </w:r>
  </w:p>
  <w:p w:rsidR="00390068" w:rsidRPr="003605FB" w:rsidRDefault="00F2050A" w:rsidP="00F2050A">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A" w:rsidRDefault="00F2050A" w:rsidP="00F2050A">
    <w:pPr>
      <w:pStyle w:val="Footer"/>
    </w:pPr>
    <w:r w:rsidRPr="00F2050A">
      <w:rPr>
        <w:rStyle w:val="HideTWBExt"/>
      </w:rPr>
      <w:t>&lt;PathFdR&gt;</w:t>
    </w:r>
    <w:r>
      <w:t>RR\1178378LV.docx</w:t>
    </w:r>
    <w:r w:rsidRPr="00F2050A">
      <w:rPr>
        <w:rStyle w:val="HideTWBExt"/>
      </w:rPr>
      <w:t>&lt;/PathFdR&gt;</w:t>
    </w:r>
    <w:r>
      <w:tab/>
    </w:r>
    <w:r>
      <w:fldChar w:fldCharType="begin"/>
    </w:r>
    <w:r>
      <w:instrText xml:space="preserve"> PAGE  \* MERGEFORMAT </w:instrText>
    </w:r>
    <w:r>
      <w:fldChar w:fldCharType="separate"/>
    </w:r>
    <w:r w:rsidR="00E865DA">
      <w:rPr>
        <w:noProof/>
      </w:rPr>
      <w:t>9</w:t>
    </w:r>
    <w:r>
      <w:fldChar w:fldCharType="end"/>
    </w:r>
    <w:r>
      <w:t>/</w:t>
    </w:r>
    <w:r w:rsidR="008E0722">
      <w:rPr>
        <w:noProof/>
      </w:rPr>
      <w:fldChar w:fldCharType="begin"/>
    </w:r>
    <w:r w:rsidR="008E0722">
      <w:rPr>
        <w:noProof/>
      </w:rPr>
      <w:instrText xml:space="preserve"> NUMPAGES  \* MERGEFORMAT </w:instrText>
    </w:r>
    <w:r w:rsidR="008E0722">
      <w:rPr>
        <w:noProof/>
      </w:rPr>
      <w:fldChar w:fldCharType="separate"/>
    </w:r>
    <w:r w:rsidR="00E865DA">
      <w:rPr>
        <w:noProof/>
      </w:rPr>
      <w:t>10</w:t>
    </w:r>
    <w:r w:rsidR="008E0722">
      <w:rPr>
        <w:noProof/>
      </w:rPr>
      <w:fldChar w:fldCharType="end"/>
    </w:r>
    <w:r>
      <w:tab/>
      <w:t>PE</w:t>
    </w:r>
    <w:r w:rsidRPr="00F2050A">
      <w:rPr>
        <w:rStyle w:val="HideTWBExt"/>
      </w:rPr>
      <w:t>&lt;NoPE&gt;</w:t>
    </w:r>
    <w:r>
      <w:t>626.808</w:t>
    </w:r>
    <w:r w:rsidRPr="00F2050A">
      <w:rPr>
        <w:rStyle w:val="HideTWBExt"/>
      </w:rPr>
      <w:t>&lt;/NoPE&gt;&lt;Version&gt;</w:t>
    </w:r>
    <w:r>
      <w:t>v02-00</w:t>
    </w:r>
    <w:r w:rsidRPr="00F2050A">
      <w:rPr>
        <w:rStyle w:val="HideTWBExt"/>
      </w:rPr>
      <w:t>&lt;/Version&gt;</w:t>
    </w:r>
  </w:p>
  <w:p w:rsidR="00390068" w:rsidRPr="003605FB" w:rsidRDefault="00F2050A" w:rsidP="00F2050A">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0A" w:rsidRDefault="00F2050A" w:rsidP="00F2050A">
    <w:pPr>
      <w:pStyle w:val="Footer"/>
    </w:pPr>
    <w:r w:rsidRPr="00F2050A">
      <w:rPr>
        <w:rStyle w:val="HideTWBExt"/>
      </w:rPr>
      <w:t>&lt;PathFdR&gt;</w:t>
    </w:r>
    <w:r>
      <w:t>RR\1178378LV.docx</w:t>
    </w:r>
    <w:r w:rsidRPr="00F2050A">
      <w:rPr>
        <w:rStyle w:val="HideTWBExt"/>
      </w:rPr>
      <w:t>&lt;/PathFdR&gt;</w:t>
    </w:r>
    <w:r>
      <w:tab/>
    </w:r>
    <w:r>
      <w:tab/>
      <w:t>PE</w:t>
    </w:r>
    <w:r w:rsidRPr="00F2050A">
      <w:rPr>
        <w:rStyle w:val="HideTWBExt"/>
      </w:rPr>
      <w:t>&lt;NoPE&gt;</w:t>
    </w:r>
    <w:r>
      <w:t>626.808</w:t>
    </w:r>
    <w:r w:rsidRPr="00F2050A">
      <w:rPr>
        <w:rStyle w:val="HideTWBExt"/>
      </w:rPr>
      <w:t>&lt;/NoPE&gt;&lt;Version&gt;</w:t>
    </w:r>
    <w:r>
      <w:t>v02-00</w:t>
    </w:r>
    <w:r w:rsidRPr="00F2050A">
      <w:rPr>
        <w:rStyle w:val="HideTWBExt"/>
      </w:rPr>
      <w:t>&lt;/Version&gt;</w:t>
    </w:r>
  </w:p>
  <w:p w:rsidR="00390068" w:rsidRPr="003605FB" w:rsidRDefault="00F2050A" w:rsidP="00F2050A">
    <w:pPr>
      <w:pStyle w:val="Footer2"/>
      <w:tabs>
        <w:tab w:val="center" w:pos="4535"/>
      </w:tabs>
    </w:pPr>
    <w:r>
      <w:t>LV</w:t>
    </w:r>
    <w:r>
      <w:tab/>
    </w:r>
    <w:r w:rsidRPr="00F2050A">
      <w:rPr>
        <w:b w:val="0"/>
        <w:i/>
        <w:color w:val="C0C0C0"/>
        <w:sz w:val="22"/>
      </w:rPr>
      <w:t>Vienoti daudzveidībā</w:t>
    </w:r>
    <w:r>
      <w:tab/>
      <w:t>LV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87" w:rsidRDefault="00FE1179">
    <w:pPr>
      <w:pStyle w:val="Footer"/>
    </w:pPr>
    <w:bookmarkStart w:id="16" w:name="InsideFooter"/>
    <w:r>
      <w:rPr>
        <w:rStyle w:val="HideTWBExt"/>
      </w:rPr>
      <w:t>&lt;PathFdR&gt;</w:t>
    </w:r>
    <w:r>
      <w:t>[ZPATH]</w:t>
    </w:r>
    <w:r>
      <w:rPr>
        <w:rStyle w:val="HideTWBExt"/>
      </w:rPr>
      <w:t>&lt;/PathFdR&gt;</w:t>
    </w:r>
    <w:bookmarkEnd w:id="16"/>
    <w:r>
      <w:tab/>
    </w:r>
    <w:r>
      <w:tab/>
    </w:r>
    <w:bookmarkStart w:id="17" w:name="OutsideFooter"/>
    <w:r>
      <w:t>PE</w:t>
    </w:r>
    <w:r>
      <w:rPr>
        <w:rStyle w:val="HideTWBExt"/>
      </w:rPr>
      <w:t>&lt;NoPE&gt;</w:t>
    </w:r>
    <w:r>
      <w:t>[ZNRPE]</w:t>
    </w:r>
    <w:r>
      <w:rPr>
        <w:rStyle w:val="HideTWBExt"/>
      </w:rPr>
      <w:t>&lt;/NoPE&gt;&lt;Version&gt;</w:t>
    </w:r>
    <w:r>
      <w:t>[ZNRV]</w:t>
    </w:r>
    <w:r>
      <w:rPr>
        <w:rStyle w:val="HideTWBExt"/>
      </w:rPr>
      <w:t>&lt;/Version&gt;</w:t>
    </w:r>
    <w:bookmarkEnd w:id="17"/>
  </w:p>
  <w:p w:rsidR="00283187" w:rsidRDefault="00E865DA" w:rsidP="00525B3A">
    <w:pPr>
      <w:pStyle w:val="Footer2"/>
      <w:tabs>
        <w:tab w:val="center" w:pos="4536"/>
      </w:tabs>
    </w:pPr>
    <w:r>
      <w:fldChar w:fldCharType="begin"/>
    </w:r>
    <w:r>
      <w:instrText xml:space="preserve"> DOCPROPERTY "&lt;Extension&gt;" </w:instrText>
    </w:r>
    <w:r>
      <w:fldChar w:fldCharType="separate"/>
    </w:r>
    <w:r>
      <w:t>LV</w:t>
    </w:r>
    <w:r>
      <w:fldChar w:fldCharType="end"/>
    </w:r>
    <w:r w:rsidR="00FE1179" w:rsidRPr="00A44DDA">
      <w:rPr>
        <w:color w:val="C0C0C0"/>
      </w:rPr>
      <w:tab/>
    </w:r>
    <w:r w:rsidR="00FE1179" w:rsidRPr="00A44DDA">
      <w:rPr>
        <w:b w:val="0"/>
        <w:i/>
        <w:color w:val="C0C0C0"/>
        <w:sz w:val="22"/>
        <w:szCs w:val="22"/>
      </w:rPr>
      <w:t>#(STD@_Motto#</w:t>
    </w:r>
    <w:r w:rsidR="00FE1179" w:rsidRPr="00A44DDA">
      <w:rPr>
        <w:color w:val="C0C0C0"/>
      </w:rPr>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FB" w:rsidRPr="003605FB" w:rsidRDefault="003605FB">
      <w:r w:rsidRPr="003605FB">
        <w:separator/>
      </w:r>
    </w:p>
  </w:footnote>
  <w:footnote w:type="continuationSeparator" w:id="0">
    <w:p w:rsidR="003605FB" w:rsidRPr="003605FB" w:rsidRDefault="003605FB">
      <w:r w:rsidRPr="003605FB">
        <w:continuationSeparator/>
      </w:r>
    </w:p>
  </w:footnote>
  <w:footnote w:id="1">
    <w:p w:rsidR="00C00212" w:rsidRDefault="00C00212">
      <w:pPr>
        <w:pStyle w:val="FootnoteText"/>
      </w:pPr>
      <w:r>
        <w:rPr>
          <w:rStyle w:val="FootnoteReference"/>
        </w:rPr>
        <w:footnoteRef/>
      </w:r>
      <w:r>
        <w:t xml:space="preserve"> </w:t>
      </w:r>
      <w:r w:rsidR="0020611F" w:rsidRPr="001A1F39">
        <w:rPr>
          <w:lang w:val="pl-PL"/>
        </w:rPr>
        <w:t>OJ C 434, 30.11.2018</w:t>
      </w:r>
      <w:r w:rsidR="0020611F">
        <w:rPr>
          <w:lang w:val="pl-PL"/>
        </w:rPr>
        <w:t>.</w:t>
      </w:r>
      <w:r w:rsidR="0020611F" w:rsidRPr="001A1F39">
        <w:rPr>
          <w:lang w:val="pl-PL"/>
        </w:rPr>
        <w:t>, 188.</w:t>
      </w:r>
      <w:r w:rsidR="0020611F">
        <w:rPr>
          <w:lang w:val="pl-PL"/>
        </w:rPr>
        <w:t xml:space="preserve"> lpp</w:t>
      </w:r>
      <w:r>
        <w:t>.</w:t>
      </w:r>
    </w:p>
  </w:footnote>
  <w:footnote w:id="2">
    <w:p w:rsidR="00C00212" w:rsidRDefault="00C00212">
      <w:pPr>
        <w:pStyle w:val="FootnoteText"/>
      </w:pPr>
      <w:r>
        <w:rPr>
          <w:rStyle w:val="FootnoteReference"/>
        </w:rPr>
        <w:footnoteRef/>
      </w:r>
      <w:r>
        <w:t xml:space="preserve"> </w:t>
      </w:r>
      <w:r w:rsidR="0020611F" w:rsidRPr="001A1F39">
        <w:rPr>
          <w:lang w:val="pl-PL"/>
        </w:rPr>
        <w:t>OJ C 434, 30.11.2018</w:t>
      </w:r>
      <w:r w:rsidR="0020611F">
        <w:rPr>
          <w:lang w:val="pl-PL"/>
        </w:rPr>
        <w:t>.</w:t>
      </w:r>
      <w:r w:rsidR="0020611F" w:rsidRPr="001A1F39">
        <w:rPr>
          <w:lang w:val="pl-PL"/>
        </w:rPr>
        <w:t>, 188.</w:t>
      </w:r>
      <w:r w:rsidR="0020611F">
        <w:rPr>
          <w:lang w:val="pl-PL"/>
        </w:rPr>
        <w:t xml:space="preserve"> lpp</w:t>
      </w:r>
      <w:r w:rsidR="0020611F">
        <w:t>.</w:t>
      </w:r>
    </w:p>
  </w:footnote>
  <w:footnote w:id="3">
    <w:p w:rsidR="00C00212" w:rsidRDefault="00C00212">
      <w:pPr>
        <w:pStyle w:val="FootnoteText"/>
      </w:pPr>
      <w:r>
        <w:rPr>
          <w:rStyle w:val="FootnoteReference"/>
        </w:rPr>
        <w:footnoteRef/>
      </w:r>
      <w:r>
        <w:t xml:space="preserve"> OV L 298, 26.10.2012., 1. lpp.</w:t>
      </w:r>
    </w:p>
  </w:footnote>
  <w:footnote w:id="4">
    <w:p w:rsidR="00C00212" w:rsidRDefault="00C00212">
      <w:pPr>
        <w:pStyle w:val="FootnoteText"/>
      </w:pPr>
      <w:r>
        <w:rPr>
          <w:rStyle w:val="FootnoteReference"/>
        </w:rPr>
        <w:footnoteRef/>
      </w:r>
      <w:r>
        <w:t xml:space="preserve"> OV L 193, 30.7.2018., 1. lpp.</w:t>
      </w:r>
    </w:p>
  </w:footnote>
  <w:footnote w:id="5">
    <w:p w:rsidR="00C00212" w:rsidRDefault="00C00212">
      <w:pPr>
        <w:pStyle w:val="FootnoteText"/>
      </w:pPr>
      <w:r>
        <w:rPr>
          <w:rStyle w:val="FootnoteReference"/>
        </w:rPr>
        <w:footnoteRef/>
      </w:r>
      <w:r>
        <w:t xml:space="preserve"> OV L 41, 15.2.2008., 15. lpp.</w:t>
      </w:r>
    </w:p>
  </w:footnote>
  <w:footnote w:id="6">
    <w:p w:rsidR="00C00212" w:rsidRDefault="00C00212">
      <w:pPr>
        <w:pStyle w:val="FootnoteText"/>
      </w:pPr>
      <w:r>
        <w:rPr>
          <w:rStyle w:val="FootnoteReference"/>
        </w:rPr>
        <w:footnoteRef/>
      </w:r>
      <w:r>
        <w:t xml:space="preserve"> </w:t>
      </w:r>
      <w:r w:rsidR="0020611F" w:rsidRPr="0020611F">
        <w:t>OJ C 434, 30.11.2018., 188.</w:t>
      </w:r>
      <w:r w:rsidR="0020611F">
        <w:t xml:space="preserve"> </w:t>
      </w:r>
      <w:r w:rsidR="0020611F" w:rsidRPr="0020611F">
        <w:t>lpp</w:t>
      </w:r>
      <w:r w:rsidR="0020611F">
        <w:t>.</w:t>
      </w:r>
    </w:p>
  </w:footnote>
  <w:footnote w:id="7">
    <w:p w:rsidR="00C00212" w:rsidRDefault="00C00212">
      <w:pPr>
        <w:pStyle w:val="FootnoteText"/>
      </w:pPr>
      <w:r>
        <w:rPr>
          <w:rStyle w:val="FootnoteReference"/>
        </w:rPr>
        <w:footnoteRef/>
      </w:r>
      <w:r>
        <w:t xml:space="preserve"> </w:t>
      </w:r>
      <w:r w:rsidR="0020611F" w:rsidRPr="0020611F">
        <w:t>OJ C 434, 30.11.2018., 188.</w:t>
      </w:r>
      <w:r w:rsidR="0020611F">
        <w:t xml:space="preserve"> </w:t>
      </w:r>
      <w:r w:rsidR="0020611F" w:rsidRPr="0020611F">
        <w:t>lpp</w:t>
      </w:r>
      <w:r w:rsidR="0020611F">
        <w:t>.</w:t>
      </w:r>
    </w:p>
  </w:footnote>
  <w:footnote w:id="8">
    <w:p w:rsidR="00C00212" w:rsidRDefault="00C00212">
      <w:pPr>
        <w:pStyle w:val="FootnoteText"/>
      </w:pPr>
      <w:r>
        <w:rPr>
          <w:rStyle w:val="FootnoteReference"/>
        </w:rPr>
        <w:footnoteRef/>
      </w:r>
      <w:r>
        <w:t xml:space="preserve"> OV L 298, 26.10.2012., 1. lpp.</w:t>
      </w:r>
    </w:p>
  </w:footnote>
  <w:footnote w:id="9">
    <w:p w:rsidR="00C00212" w:rsidRDefault="00C00212">
      <w:pPr>
        <w:pStyle w:val="FootnoteText"/>
      </w:pPr>
      <w:r>
        <w:rPr>
          <w:rStyle w:val="FootnoteReference"/>
        </w:rPr>
        <w:footnoteRef/>
      </w:r>
      <w:r>
        <w:t xml:space="preserve"> OV L 193, 30.7.2018., 1. lpp.</w:t>
      </w:r>
    </w:p>
  </w:footnote>
  <w:footnote w:id="10">
    <w:p w:rsidR="00C00212" w:rsidRDefault="00C00212">
      <w:pPr>
        <w:pStyle w:val="FootnoteText"/>
      </w:pPr>
      <w:r>
        <w:rPr>
          <w:rStyle w:val="FootnoteReference"/>
        </w:rPr>
        <w:footnoteRef/>
      </w:r>
      <w:r>
        <w:t xml:space="preserve"> OV L 41, 15.2.2008., 15. lpp.</w:t>
      </w:r>
    </w:p>
  </w:footnote>
  <w:footnote w:id="11">
    <w:p w:rsidR="006B3087" w:rsidRDefault="006B3087" w:rsidP="006B3087">
      <w:pPr>
        <w:pStyle w:val="FootnoteText"/>
      </w:pPr>
      <w:r>
        <w:rPr>
          <w:rStyle w:val="FootnoteReference"/>
        </w:rPr>
        <w:footnoteRef/>
      </w:r>
      <w:r>
        <w:t xml:space="preserve"> Šajā dienā pieņemtie teksti,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1F" w:rsidRDefault="00206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1F" w:rsidRDefault="00206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1F" w:rsidRDefault="00206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906030CE">
      <w:start w:val="1"/>
      <w:numFmt w:val="upperLetter"/>
      <w:lvlText w:val="%1."/>
      <w:lvlJc w:val="left"/>
      <w:pPr>
        <w:tabs>
          <w:tab w:val="num" w:pos="360"/>
        </w:tabs>
        <w:ind w:left="360" w:hanging="360"/>
      </w:pPr>
      <w:rPr>
        <w:rFonts w:hint="default"/>
      </w:rPr>
    </w:lvl>
    <w:lvl w:ilvl="1" w:tplc="BB8C697C" w:tentative="1">
      <w:start w:val="1"/>
      <w:numFmt w:val="lowerLetter"/>
      <w:lvlText w:val="%2."/>
      <w:lvlJc w:val="left"/>
      <w:pPr>
        <w:tabs>
          <w:tab w:val="num" w:pos="1080"/>
        </w:tabs>
        <w:ind w:left="1080" w:hanging="360"/>
      </w:pPr>
    </w:lvl>
    <w:lvl w:ilvl="2" w:tplc="29CE4E3C" w:tentative="1">
      <w:start w:val="1"/>
      <w:numFmt w:val="lowerRoman"/>
      <w:lvlText w:val="%3."/>
      <w:lvlJc w:val="right"/>
      <w:pPr>
        <w:tabs>
          <w:tab w:val="num" w:pos="1800"/>
        </w:tabs>
        <w:ind w:left="1800" w:hanging="180"/>
      </w:pPr>
    </w:lvl>
    <w:lvl w:ilvl="3" w:tplc="DFE60244" w:tentative="1">
      <w:start w:val="1"/>
      <w:numFmt w:val="decimal"/>
      <w:lvlText w:val="%4."/>
      <w:lvlJc w:val="left"/>
      <w:pPr>
        <w:tabs>
          <w:tab w:val="num" w:pos="2520"/>
        </w:tabs>
        <w:ind w:left="2520" w:hanging="360"/>
      </w:pPr>
    </w:lvl>
    <w:lvl w:ilvl="4" w:tplc="226262AC" w:tentative="1">
      <w:start w:val="1"/>
      <w:numFmt w:val="lowerLetter"/>
      <w:lvlText w:val="%5."/>
      <w:lvlJc w:val="left"/>
      <w:pPr>
        <w:tabs>
          <w:tab w:val="num" w:pos="3240"/>
        </w:tabs>
        <w:ind w:left="3240" w:hanging="360"/>
      </w:pPr>
    </w:lvl>
    <w:lvl w:ilvl="5" w:tplc="CA604C80" w:tentative="1">
      <w:start w:val="1"/>
      <w:numFmt w:val="lowerRoman"/>
      <w:lvlText w:val="%6."/>
      <w:lvlJc w:val="right"/>
      <w:pPr>
        <w:tabs>
          <w:tab w:val="num" w:pos="3960"/>
        </w:tabs>
        <w:ind w:left="3960" w:hanging="180"/>
      </w:pPr>
    </w:lvl>
    <w:lvl w:ilvl="6" w:tplc="37B8EE12" w:tentative="1">
      <w:start w:val="1"/>
      <w:numFmt w:val="decimal"/>
      <w:lvlText w:val="%7."/>
      <w:lvlJc w:val="left"/>
      <w:pPr>
        <w:tabs>
          <w:tab w:val="num" w:pos="4680"/>
        </w:tabs>
        <w:ind w:left="4680" w:hanging="360"/>
      </w:pPr>
    </w:lvl>
    <w:lvl w:ilvl="7" w:tplc="B656B00A" w:tentative="1">
      <w:start w:val="1"/>
      <w:numFmt w:val="lowerLetter"/>
      <w:lvlText w:val="%8."/>
      <w:lvlJc w:val="left"/>
      <w:pPr>
        <w:tabs>
          <w:tab w:val="num" w:pos="5400"/>
        </w:tabs>
        <w:ind w:left="5400" w:hanging="360"/>
      </w:pPr>
    </w:lvl>
    <w:lvl w:ilvl="8" w:tplc="DD6AD180"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976A3B42">
      <w:start w:val="1"/>
      <w:numFmt w:val="decimal"/>
      <w:lvlText w:val="%1."/>
      <w:lvlJc w:val="left"/>
      <w:pPr>
        <w:tabs>
          <w:tab w:val="num" w:pos="720"/>
        </w:tabs>
        <w:ind w:left="720" w:hanging="360"/>
      </w:pPr>
    </w:lvl>
    <w:lvl w:ilvl="1" w:tplc="BC06AA8A" w:tentative="1">
      <w:start w:val="1"/>
      <w:numFmt w:val="lowerLetter"/>
      <w:lvlText w:val="%2."/>
      <w:lvlJc w:val="left"/>
      <w:pPr>
        <w:tabs>
          <w:tab w:val="num" w:pos="1440"/>
        </w:tabs>
        <w:ind w:left="1440" w:hanging="360"/>
      </w:pPr>
    </w:lvl>
    <w:lvl w:ilvl="2" w:tplc="F56279B0" w:tentative="1">
      <w:start w:val="1"/>
      <w:numFmt w:val="lowerRoman"/>
      <w:lvlText w:val="%3."/>
      <w:lvlJc w:val="right"/>
      <w:pPr>
        <w:tabs>
          <w:tab w:val="num" w:pos="2160"/>
        </w:tabs>
        <w:ind w:left="2160" w:hanging="180"/>
      </w:pPr>
    </w:lvl>
    <w:lvl w:ilvl="3" w:tplc="E12AC86C" w:tentative="1">
      <w:start w:val="1"/>
      <w:numFmt w:val="decimal"/>
      <w:lvlText w:val="%4."/>
      <w:lvlJc w:val="left"/>
      <w:pPr>
        <w:tabs>
          <w:tab w:val="num" w:pos="2880"/>
        </w:tabs>
        <w:ind w:left="2880" w:hanging="360"/>
      </w:pPr>
    </w:lvl>
    <w:lvl w:ilvl="4" w:tplc="8ABCDAF2" w:tentative="1">
      <w:start w:val="1"/>
      <w:numFmt w:val="lowerLetter"/>
      <w:lvlText w:val="%5."/>
      <w:lvlJc w:val="left"/>
      <w:pPr>
        <w:tabs>
          <w:tab w:val="num" w:pos="3600"/>
        </w:tabs>
        <w:ind w:left="3600" w:hanging="360"/>
      </w:pPr>
    </w:lvl>
    <w:lvl w:ilvl="5" w:tplc="2F96F970" w:tentative="1">
      <w:start w:val="1"/>
      <w:numFmt w:val="lowerRoman"/>
      <w:lvlText w:val="%6."/>
      <w:lvlJc w:val="right"/>
      <w:pPr>
        <w:tabs>
          <w:tab w:val="num" w:pos="4320"/>
        </w:tabs>
        <w:ind w:left="4320" w:hanging="180"/>
      </w:pPr>
    </w:lvl>
    <w:lvl w:ilvl="6" w:tplc="F37ECC9A" w:tentative="1">
      <w:start w:val="1"/>
      <w:numFmt w:val="decimal"/>
      <w:lvlText w:val="%7."/>
      <w:lvlJc w:val="left"/>
      <w:pPr>
        <w:tabs>
          <w:tab w:val="num" w:pos="5040"/>
        </w:tabs>
        <w:ind w:left="5040" w:hanging="360"/>
      </w:pPr>
    </w:lvl>
    <w:lvl w:ilvl="7" w:tplc="AB1610C6" w:tentative="1">
      <w:start w:val="1"/>
      <w:numFmt w:val="lowerLetter"/>
      <w:lvlText w:val="%8."/>
      <w:lvlJc w:val="left"/>
      <w:pPr>
        <w:tabs>
          <w:tab w:val="num" w:pos="5760"/>
        </w:tabs>
        <w:ind w:left="5760" w:hanging="360"/>
      </w:pPr>
    </w:lvl>
    <w:lvl w:ilvl="8" w:tplc="FD323264"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CISIONMNU" w:val=" 1"/>
    <w:docVar w:name="FN1DT" w:val="..."/>
    <w:docVar w:name="FN2DT" w:val="..."/>
    <w:docVar w:name="LastEditedSection" w:val=" 1"/>
    <w:docVar w:name="strDocTypeID" w:val="PR_DEC_Agencies"/>
    <w:docVar w:name="strSubDir" w:val="1178"/>
    <w:docVar w:name="TITLEMNU" w:val=" 31"/>
    <w:docVar w:name="TXTBUDYEAR" w:val="2017"/>
    <w:docVar w:name="TXTFN1" w:val="..."/>
    <w:docVar w:name="TXTFN2" w:val="..."/>
    <w:docVar w:name="TXTLANGUE" w:val="LV"/>
    <w:docVar w:name="TXTLANGUEMIN" w:val="lv"/>
    <w:docVar w:name="TXTNRC" w:val="0000/2019"/>
    <w:docVar w:name="TXTNRCOUNC" w:val="00000/2019"/>
    <w:docVar w:name="TXTNRDEC" w:val="2018/2199"/>
    <w:docVar w:name="TXTNRPE" w:val="626.808"/>
    <w:docVar w:name="TXTPEorAP" w:val="PE"/>
    <w:docVar w:name="TXTPG2" w:val="..."/>
    <w:docVar w:name="TXTROUTE" w:val="RR\1178378LV.docx"/>
    <w:docVar w:name="TXTVERSION" w:val="02-00"/>
  </w:docVars>
  <w:rsids>
    <w:rsidRoot w:val="003605FB"/>
    <w:rsid w:val="00002C51"/>
    <w:rsid w:val="00090E0B"/>
    <w:rsid w:val="000A05D5"/>
    <w:rsid w:val="000B18C0"/>
    <w:rsid w:val="000B47E5"/>
    <w:rsid w:val="000F69DF"/>
    <w:rsid w:val="00104CB9"/>
    <w:rsid w:val="00116CB4"/>
    <w:rsid w:val="00150EC1"/>
    <w:rsid w:val="0017746B"/>
    <w:rsid w:val="001B4494"/>
    <w:rsid w:val="001E1032"/>
    <w:rsid w:val="00202D84"/>
    <w:rsid w:val="0020611F"/>
    <w:rsid w:val="00224915"/>
    <w:rsid w:val="00253648"/>
    <w:rsid w:val="00256BE3"/>
    <w:rsid w:val="00276092"/>
    <w:rsid w:val="002D0F66"/>
    <w:rsid w:val="002D6EA9"/>
    <w:rsid w:val="0031254A"/>
    <w:rsid w:val="003605FB"/>
    <w:rsid w:val="00381864"/>
    <w:rsid w:val="00390068"/>
    <w:rsid w:val="003D353C"/>
    <w:rsid w:val="003E25A9"/>
    <w:rsid w:val="003E735B"/>
    <w:rsid w:val="003F0E64"/>
    <w:rsid w:val="00413713"/>
    <w:rsid w:val="004651E1"/>
    <w:rsid w:val="0047088B"/>
    <w:rsid w:val="004A34BF"/>
    <w:rsid w:val="004A480C"/>
    <w:rsid w:val="004C6C3F"/>
    <w:rsid w:val="004D13BA"/>
    <w:rsid w:val="004F17D3"/>
    <w:rsid w:val="00550E6B"/>
    <w:rsid w:val="00564DB0"/>
    <w:rsid w:val="005A3D7F"/>
    <w:rsid w:val="005A6CAE"/>
    <w:rsid w:val="005B2950"/>
    <w:rsid w:val="005C689E"/>
    <w:rsid w:val="005D3E9F"/>
    <w:rsid w:val="005E7E89"/>
    <w:rsid w:val="0063324A"/>
    <w:rsid w:val="00643EBE"/>
    <w:rsid w:val="0066045F"/>
    <w:rsid w:val="006835EB"/>
    <w:rsid w:val="006B0ED0"/>
    <w:rsid w:val="006B3087"/>
    <w:rsid w:val="006D37D7"/>
    <w:rsid w:val="006D5743"/>
    <w:rsid w:val="0074734C"/>
    <w:rsid w:val="00783DAA"/>
    <w:rsid w:val="007A4AC9"/>
    <w:rsid w:val="007C3B7E"/>
    <w:rsid w:val="007D1E61"/>
    <w:rsid w:val="007E2834"/>
    <w:rsid w:val="0081446A"/>
    <w:rsid w:val="00841D8C"/>
    <w:rsid w:val="00895705"/>
    <w:rsid w:val="00895F7F"/>
    <w:rsid w:val="008A23A3"/>
    <w:rsid w:val="008D2063"/>
    <w:rsid w:val="008E0722"/>
    <w:rsid w:val="00916826"/>
    <w:rsid w:val="00947D32"/>
    <w:rsid w:val="009807D1"/>
    <w:rsid w:val="009A1AE4"/>
    <w:rsid w:val="009B566F"/>
    <w:rsid w:val="00A273FA"/>
    <w:rsid w:val="00A35902"/>
    <w:rsid w:val="00A84FF1"/>
    <w:rsid w:val="00A95064"/>
    <w:rsid w:val="00AB4789"/>
    <w:rsid w:val="00AD2ECC"/>
    <w:rsid w:val="00B553CB"/>
    <w:rsid w:val="00B6540D"/>
    <w:rsid w:val="00B75AA6"/>
    <w:rsid w:val="00B844BC"/>
    <w:rsid w:val="00BA0C52"/>
    <w:rsid w:val="00BA46FB"/>
    <w:rsid w:val="00BB09B0"/>
    <w:rsid w:val="00BD13C4"/>
    <w:rsid w:val="00BE0DC4"/>
    <w:rsid w:val="00BF0771"/>
    <w:rsid w:val="00C00212"/>
    <w:rsid w:val="00C0769E"/>
    <w:rsid w:val="00C1531C"/>
    <w:rsid w:val="00C43DF1"/>
    <w:rsid w:val="00C46F6A"/>
    <w:rsid w:val="00C56953"/>
    <w:rsid w:val="00C607B5"/>
    <w:rsid w:val="00C63401"/>
    <w:rsid w:val="00CB6B29"/>
    <w:rsid w:val="00CF07EC"/>
    <w:rsid w:val="00D05CBA"/>
    <w:rsid w:val="00D43705"/>
    <w:rsid w:val="00D46466"/>
    <w:rsid w:val="00D74CC3"/>
    <w:rsid w:val="00DF7BA5"/>
    <w:rsid w:val="00E44A07"/>
    <w:rsid w:val="00E50576"/>
    <w:rsid w:val="00E8604D"/>
    <w:rsid w:val="00E865DA"/>
    <w:rsid w:val="00EB31C4"/>
    <w:rsid w:val="00F02E0E"/>
    <w:rsid w:val="00F0381D"/>
    <w:rsid w:val="00F2050A"/>
    <w:rsid w:val="00F21C7F"/>
    <w:rsid w:val="00F71101"/>
    <w:rsid w:val="00F9531F"/>
    <w:rsid w:val="00FD18F9"/>
    <w:rsid w:val="00FE1179"/>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6BE16E"/>
  <w15:chartTrackingRefBased/>
  <w15:docId w15:val="{4623F608-06CE-4595-9510-6F56AD0F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C00212"/>
    <w:rPr>
      <w:sz w:val="20"/>
    </w:rPr>
  </w:style>
  <w:style w:type="character" w:customStyle="1" w:styleId="FootnoteTextChar">
    <w:name w:val="Footnote Text Char"/>
    <w:basedOn w:val="DefaultParagraphFont"/>
    <w:link w:val="FootnoteText"/>
    <w:rsid w:val="00C00212"/>
    <w:rPr>
      <w:lang w:val="lv-LV"/>
    </w:rPr>
  </w:style>
  <w:style w:type="character" w:styleId="FootnoteReference">
    <w:name w:val="footnote reference"/>
    <w:basedOn w:val="DefaultParagraphFont"/>
    <w:rsid w:val="00C00212"/>
    <w:rPr>
      <w:vertAlign w:val="superscript"/>
    </w:rPr>
  </w:style>
  <w:style w:type="paragraph" w:customStyle="1" w:styleId="NormalTabs">
    <w:name w:val="NormalTabs"/>
    <w:basedOn w:val="Normal"/>
    <w:qFormat/>
    <w:rsid w:val="0020611F"/>
    <w:pPr>
      <w:tabs>
        <w:tab w:val="center" w:pos="284"/>
        <w:tab w:val="left" w:pos="426"/>
      </w:tabs>
    </w:pPr>
    <w:rPr>
      <w:snapToGrid w:val="0"/>
      <w:lang w:val="en-US" w:eastAsia="en-US"/>
    </w:rPr>
  </w:style>
  <w:style w:type="paragraph" w:styleId="BalloonText">
    <w:name w:val="Balloon Text"/>
    <w:basedOn w:val="Normal"/>
    <w:link w:val="BalloonTextChar"/>
    <w:rsid w:val="00783DAA"/>
    <w:rPr>
      <w:rFonts w:ascii="Segoe UI" w:hAnsi="Segoe UI" w:cs="Segoe UI"/>
      <w:sz w:val="18"/>
      <w:szCs w:val="18"/>
    </w:rPr>
  </w:style>
  <w:style w:type="character" w:customStyle="1" w:styleId="BalloonTextChar">
    <w:name w:val="Balloon Text Char"/>
    <w:basedOn w:val="DefaultParagraphFont"/>
    <w:link w:val="BalloonText"/>
    <w:rsid w:val="0078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KRASTINA-DAMIANAKI Liga</dc:creator>
  <cp:keywords/>
  <dc:description/>
  <cp:lastModifiedBy>BALDINA Agnese</cp:lastModifiedBy>
  <cp:revision>2</cp:revision>
  <cp:lastPrinted>2019-03-19T14:35:00Z</cp:lastPrinted>
  <dcterms:created xsi:type="dcterms:W3CDTF">2019-03-19T14:46:00Z</dcterms:created>
  <dcterms:modified xsi:type="dcterms:W3CDTF">2019-03-19T14:46:00Z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1178378</vt:lpwstr>
  </property>
  <property fmtid="{D5CDD505-2E9C-101B-9397-08002B2CF9AE}" pid="5" name="&lt;Type&gt;">
    <vt:lpwstr>RR</vt:lpwstr>
  </property>
  <property fmtid="{D5CDD505-2E9C-101B-9397-08002B2CF9AE}" pid="6" name="&lt;ModelCod&gt;">
    <vt:lpwstr>\\eiciLUXpr1\pdocep$\DocEP\DOCS\General\PR\PR_BUD\DEC\PR_DEC_Agencies.dot(07/11/2018 19:42:54)</vt:lpwstr>
  </property>
  <property fmtid="{D5CDD505-2E9C-101B-9397-08002B2CF9AE}" pid="7" name="&lt;ModelTra&gt;">
    <vt:lpwstr>\\eiciLUXpr1\pdocep$\DocEP\TRANSFIL\LV\PR_DEC_Agencies.LV(07/01/2019 08:51:00)</vt:lpwstr>
  </property>
  <property fmtid="{D5CDD505-2E9C-101B-9397-08002B2CF9AE}" pid="8" name="&lt;Model&gt;">
    <vt:lpwstr>PR_DEC_Agencies</vt:lpwstr>
  </property>
  <property fmtid="{D5CDD505-2E9C-101B-9397-08002B2CF9AE}" pid="9" name="FooterPath">
    <vt:lpwstr>RR\1178378LV.docx</vt:lpwstr>
  </property>
  <property fmtid="{D5CDD505-2E9C-101B-9397-08002B2CF9AE}" pid="10" name="PE number">
    <vt:lpwstr>626.808</vt:lpwstr>
  </property>
  <property fmtid="{D5CDD505-2E9C-101B-9397-08002B2CF9AE}" pid="11" name="Bookout">
    <vt:lpwstr>OK - 2019/03/19 15:46</vt:lpwstr>
  </property>
  <property fmtid="{D5CDD505-2E9C-101B-9397-08002B2CF9AE}" pid="12" name="SDLStudio">
    <vt:lpwstr/>
  </property>
  <property fmtid="{D5CDD505-2E9C-101B-9397-08002B2CF9AE}" pid="13" name="&lt;Extension&gt;">
    <vt:lpwstr>LV</vt:lpwstr>
  </property>
  <property fmtid="{D5CDD505-2E9C-101B-9397-08002B2CF9AE}" pid="14" name="SubscribeElise">
    <vt:lpwstr/>
  </property>
</Properties>
</file>