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46466" w:rsidRPr="00CB4482" w:rsidTr="00947D3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46466" w:rsidRPr="00CB4482" w:rsidRDefault="00CB4482" w:rsidP="00947D32">
            <w:pPr>
              <w:pStyle w:val="EPName"/>
            </w:pPr>
            <w:r>
              <w:t>Parlament Ewropew</w:t>
            </w:r>
          </w:p>
          <w:p w:rsidR="00D46466" w:rsidRPr="00EA1BB7" w:rsidRDefault="00EA1BB7" w:rsidP="00EA1BB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D46466" w:rsidRPr="00CB4482" w:rsidRDefault="00BB3E27" w:rsidP="00947D3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8" o:title="EP logo RGB_Mute"/>
                </v:shape>
              </w:pict>
            </w:r>
          </w:p>
        </w:tc>
      </w:tr>
    </w:tbl>
    <w:p w:rsidR="00390068" w:rsidRPr="00CB4482" w:rsidRDefault="00390068" w:rsidP="00390068">
      <w:pPr>
        <w:pStyle w:val="LineTop"/>
      </w:pPr>
    </w:p>
    <w:p w:rsidR="00390068" w:rsidRPr="00CB4482" w:rsidRDefault="00E951C8" w:rsidP="00390068">
      <w:pPr>
        <w:pStyle w:val="ZCommittee"/>
      </w:pPr>
      <w:r>
        <w:t>Dokument ta' sessjoni</w:t>
      </w:r>
    </w:p>
    <w:p w:rsidR="00390068" w:rsidRPr="00CB4482" w:rsidRDefault="00390068" w:rsidP="00390068">
      <w:pPr>
        <w:pStyle w:val="LineBottom"/>
      </w:pPr>
    </w:p>
    <w:p w:rsidR="00C1531C" w:rsidRPr="00CB4482" w:rsidRDefault="00E951C8">
      <w:pPr>
        <w:pStyle w:val="RefProc"/>
      </w:pPr>
      <w:r>
        <w:rPr>
          <w:rStyle w:val="HideTWBExt"/>
        </w:rPr>
        <w:t>&lt;NoDocSe&gt;</w:t>
      </w:r>
      <w:r>
        <w:t>A8-0138/2019</w:t>
      </w:r>
      <w:r>
        <w:rPr>
          <w:rStyle w:val="HideTWBExt"/>
        </w:rPr>
        <w:t>&lt;/NoDocSe&gt;</w:t>
      </w:r>
    </w:p>
    <w:p w:rsidR="00C1531C" w:rsidRPr="00CB4482" w:rsidRDefault="00C1531C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{01/03/2019}</w:t>
      </w:r>
      <w:r>
        <w:t>1.3.2019</w:t>
      </w:r>
      <w:r>
        <w:rPr>
          <w:rStyle w:val="HideTWBExt"/>
        </w:rPr>
        <w:t>&lt;/Date&gt;</w:t>
      </w:r>
    </w:p>
    <w:p w:rsidR="00C1531C" w:rsidRPr="00CB4482" w:rsidRDefault="00C1531C">
      <w:pPr>
        <w:pStyle w:val="TypeDoc"/>
      </w:pPr>
      <w:r>
        <w:rPr>
          <w:rStyle w:val="HideTWBExt"/>
          <w:b w:val="0"/>
        </w:rPr>
        <w:t>&lt;TitreType&gt;</w:t>
      </w:r>
      <w:r>
        <w:t>RAPPORT</w:t>
      </w:r>
      <w:r>
        <w:rPr>
          <w:rStyle w:val="HideTWBExt"/>
          <w:b w:val="0"/>
        </w:rPr>
        <w:t>&lt;/TitreType&gt;</w:t>
      </w:r>
    </w:p>
    <w:p w:rsidR="00C1531C" w:rsidRPr="00CB4482" w:rsidRDefault="00EA1BB7">
      <w:pPr>
        <w:pStyle w:val="CoverNormal"/>
      </w:pPr>
      <w:r>
        <w:rPr>
          <w:rStyle w:val="HideTWBExt"/>
        </w:rPr>
        <w:t>&lt;Titre&gt;</w:t>
      </w:r>
      <w:r>
        <w:t>dwar il-kwittanza għall-implimentazzjoni tal-baġit tal-Aġenzija Ewropea għas-Sigurtà u s-Saħħa fuq il-Post tax-Xogħol (EU-OSHA) għas-sena finanzjarja 2017</w:t>
      </w:r>
      <w:r>
        <w:rPr>
          <w:rStyle w:val="HideTWBExt"/>
        </w:rPr>
        <w:t>&lt;/Titre&gt;</w:t>
      </w:r>
    </w:p>
    <w:p w:rsidR="00C1531C" w:rsidRPr="00CB4482" w:rsidRDefault="005C689E">
      <w:pPr>
        <w:pStyle w:val="Cover24"/>
      </w:pPr>
      <w:r>
        <w:rPr>
          <w:rStyle w:val="HideTWBExt"/>
        </w:rPr>
        <w:t>&lt;DocRef&gt;</w:t>
      </w:r>
      <w:r>
        <w:t>(2018/2183(DEC))</w:t>
      </w:r>
      <w:r>
        <w:rPr>
          <w:rStyle w:val="HideTWBExt"/>
        </w:rPr>
        <w:t>&lt;/DocRef&gt;</w:t>
      </w:r>
    </w:p>
    <w:p w:rsidR="00C1531C" w:rsidRPr="00CB4482" w:rsidRDefault="00C1531C">
      <w:pPr>
        <w:pStyle w:val="Cover24"/>
      </w:pPr>
      <w:r>
        <w:rPr>
          <w:rStyle w:val="HideTWBExt"/>
        </w:rPr>
        <w:t>&lt;Commission&gt;</w:t>
      </w:r>
      <w:r>
        <w:rPr>
          <w:rStyle w:val="HideTWBInt"/>
        </w:rPr>
        <w:t>{CONT}</w:t>
      </w:r>
      <w:r>
        <w:t>Kumitat għall-Kontroll tal-Baġit</w:t>
      </w:r>
      <w:r>
        <w:rPr>
          <w:rStyle w:val="HideTWBExt"/>
        </w:rPr>
        <w:t>&lt;/Commission&gt;</w:t>
      </w:r>
    </w:p>
    <w:p w:rsidR="00C1531C" w:rsidRPr="00CB4482" w:rsidRDefault="00CB4482">
      <w:pPr>
        <w:pStyle w:val="Cover24"/>
      </w:pPr>
      <w:r>
        <w:t xml:space="preserve">Rapporteur: </w:t>
      </w:r>
      <w:r>
        <w:rPr>
          <w:rStyle w:val="HideTWBExt"/>
        </w:rPr>
        <w:t>&lt;Depute&gt;</w:t>
      </w:r>
      <w:r>
        <w:t>Petri Sarvamaa</w:t>
      </w:r>
      <w:r>
        <w:rPr>
          <w:rStyle w:val="HideTWBExt"/>
        </w:rPr>
        <w:t>&lt;/Depute&gt;</w:t>
      </w:r>
    </w:p>
    <w:p w:rsidR="00C1531C" w:rsidRPr="00CB4482" w:rsidRDefault="00C1531C" w:rsidP="00D46466">
      <w:pPr>
        <w:widowControl/>
        <w:tabs>
          <w:tab w:val="center" w:pos="4677"/>
        </w:tabs>
      </w:pPr>
      <w:r>
        <w:br w:type="page"/>
      </w:r>
    </w:p>
    <w:p w:rsidR="00C1531C" w:rsidRPr="00CB4482" w:rsidRDefault="00CB4482" w:rsidP="00D46466">
      <w:pPr>
        <w:widowControl/>
        <w:tabs>
          <w:tab w:val="center" w:pos="4677"/>
        </w:tabs>
      </w:pPr>
      <w:r>
        <w:t>PR_DEC_Agencies</w:t>
      </w:r>
    </w:p>
    <w:p w:rsidR="00C1531C" w:rsidRPr="00CB4482" w:rsidRDefault="00CB4482">
      <w:pPr>
        <w:pStyle w:val="TOCHeading"/>
      </w:pPr>
      <w:r>
        <w:t>WERREJ</w:t>
      </w:r>
    </w:p>
    <w:p w:rsidR="00BB3E27" w:rsidRDefault="00CB4482" w:rsidP="000B47E5">
      <w:pPr>
        <w:pStyle w:val="TOCPage"/>
        <w:rPr>
          <w:noProof/>
        </w:rPr>
      </w:pPr>
      <w:r>
        <w:t>Paġna</w:t>
      </w:r>
      <w:r w:rsidR="00C1531C" w:rsidRPr="00CB4482">
        <w:fldChar w:fldCharType="begin"/>
      </w:r>
      <w:r w:rsidR="00C1531C" w:rsidRPr="00CB4482">
        <w:instrText xml:space="preserve"> TOC \t "PageHeading</w:instrText>
      </w:r>
      <w:r w:rsidR="00E951C8">
        <w:instrText>;</w:instrText>
      </w:r>
      <w:r w:rsidR="00FD18F9" w:rsidRPr="00CB4482">
        <w:instrText>3</w:instrText>
      </w:r>
      <w:r w:rsidR="00C1531C" w:rsidRPr="00CB4482">
        <w:instrText xml:space="preserve">" </w:instrText>
      </w:r>
      <w:r w:rsidR="00C1531C" w:rsidRPr="00CB4482">
        <w:fldChar w:fldCharType="separate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1. PROPOSTA GĦAL DEĊIŻJONI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2. PROPOSTA GĦAL DEĊIŻJONI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3. MOZZJONI GĦAL RIŻOLUZZJONI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 xml:space="preserve">OPINJONI </w:t>
      </w:r>
      <w:r w:rsidRPr="00E4334C">
        <w:rPr>
          <w:caps/>
          <w:noProof/>
        </w:rPr>
        <w:t>tal-Kumitat għall-Impjiegi u l-Affarijiet Soċjali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INFORMAZZJONI DWAR L-ADOZZJONI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BB3E27" w:rsidRDefault="00BB3E2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C1531C" w:rsidRPr="00CB4482" w:rsidRDefault="00C1531C">
      <w:pPr>
        <w:pStyle w:val="PageHeading"/>
      </w:pPr>
      <w:r w:rsidRPr="00CB4482">
        <w:rPr>
          <w:rFonts w:ascii="Times New Roman" w:hAnsi="Times New Roman"/>
        </w:rPr>
        <w:fldChar w:fldCharType="end"/>
      </w:r>
    </w:p>
    <w:p w:rsidR="00C1531C" w:rsidRPr="00CB4482" w:rsidRDefault="00C1531C" w:rsidP="004D13BA">
      <w:pPr>
        <w:pStyle w:val="PageHeading"/>
      </w:pPr>
      <w:r>
        <w:br w:type="page"/>
      </w:r>
      <w:bookmarkStart w:id="0" w:name="Decision1"/>
      <w:bookmarkStart w:id="1" w:name="_Toc26759888"/>
      <w:bookmarkStart w:id="2" w:name="_Toc86200285"/>
      <w:bookmarkStart w:id="3" w:name="_Toc3906595"/>
      <w:r>
        <w:lastRenderedPageBreak/>
        <w:t>1. PROPOSTA GĦAL DEĊIŻJONI TAL-PARLAMENT EWROPEW</w:t>
      </w:r>
      <w:bookmarkEnd w:id="3"/>
    </w:p>
    <w:p w:rsidR="00C1531C" w:rsidRPr="00CB4482" w:rsidRDefault="00EA1BB7">
      <w:pPr>
        <w:pStyle w:val="NormalBold"/>
      </w:pPr>
      <w:bookmarkStart w:id="4" w:name="DecisionTitle1"/>
      <w:bookmarkEnd w:id="0"/>
      <w:r>
        <w:t>dwar il-kwittanza għall-implimentazzjoni tal-baġit tal-Aġenzija Ewropea għas-Sigurtà u s-Saħħa fuq il-Post tax-Xogħol (EU-OSHA) għas-sena finanzjarja 2017</w:t>
      </w:r>
      <w:bookmarkStart w:id="5" w:name="DocEPLastPosition"/>
      <w:bookmarkEnd w:id="5"/>
    </w:p>
    <w:bookmarkEnd w:id="4"/>
    <w:p w:rsidR="00C1531C" w:rsidRPr="00CB4482" w:rsidRDefault="00CB4482">
      <w:pPr>
        <w:pStyle w:val="Normal12Bold"/>
      </w:pPr>
      <w:r>
        <w:t>(</w:t>
      </w:r>
      <w:bookmarkStart w:id="6" w:name="DocEPLastVariable"/>
      <w:bookmarkEnd w:id="6"/>
      <w:r>
        <w:t>2018/2183(DEC))</w:t>
      </w:r>
    </w:p>
    <w:p w:rsidR="00C1531C" w:rsidRPr="00CB4482" w:rsidRDefault="00CB4482">
      <w:pPr>
        <w:pStyle w:val="Normal12"/>
      </w:pPr>
      <w:r>
        <w:rPr>
          <w:i/>
        </w:rPr>
        <w:t>Il-Parlament Ewropew</w:t>
      </w:r>
      <w:r>
        <w:t>,</w:t>
      </w:r>
    </w:p>
    <w:bookmarkEnd w:id="1"/>
    <w:bookmarkEnd w:id="2"/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l-kontijiet annwali finali tal-Aġenzija Ewropea għas-Sigurtà u s-Saħħa fuq il-Post tax-Xogħol għas-sena finanzjarja 2017,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r-rapport tal-Qorti tal-Awdituri dwar il-kontijiet annwali tal-Aġenzija Ewropea għas-Sigurtà u s-Saħħa fuq il-Post tax-Xogħol għas-sena finanzjarja 2017, flimkien mar-risposta tal-Aġenzija</w:t>
      </w:r>
      <w:r w:rsidRPr="007F4AA8">
        <w:rPr>
          <w:rStyle w:val="FootnoteReference"/>
        </w:rPr>
        <w:footnoteReference w:id="1"/>
      </w:r>
      <w:r>
        <w:t>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d-dikjarazzjoni ta' assigurazzjoni</w:t>
      </w:r>
      <w:r w:rsidRPr="007F4AA8">
        <w:rPr>
          <w:rStyle w:val="FootnoteReference"/>
        </w:rPr>
        <w:footnoteReference w:id="2"/>
      </w:r>
      <w:r>
        <w:t xml:space="preserve"> dwar l-affidabbiltà tal-kontijiet u l-legalità u r-regolarità tat-tranżazzjonijiet ta' bażi, ipprovduta mill-Qorti tal-Awdituri għas-sena finanzjarja 2017 skont l-Artikolu 287 tat-Trattat dwar il-Funzjonament tal-Unjoni Ewropea,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r-rakkomandazzjoni tal-Kunsill tat-12 ta' Frar 2019 dwar il-kwittanza li għandha tingħata lill-Aġenzija fir-rigward tal-implimentazzjoni tal-baġit għas-sena finanzjarja 2017 (05825/2019 – C8-0073/2019),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l-Artikolu 319 tat-Trattat dwar il-Funzjonament tal-Unjoni Ewropea,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7F4AA8">
        <w:rPr>
          <w:rStyle w:val="FootnoteReference"/>
        </w:rPr>
        <w:footnoteReference w:id="3"/>
      </w:r>
      <w:r>
        <w:t>, u b'mod partikolari l-Artikolu 208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(UE, Euratom) Nru 2018/1046 tal-Parlament Ewropew u tal-Kunsill tat-18 ta' Lulju 2018 dwar ir-regoli finanzjarji applikabbli għall-baġit ġenerali tal-Unjoni, li jemenda r-Regolamenti (UE) Nru 1296/2013, (UE) Nru 1301/2013, (UE) Nru 1303/2013, (UE) Nru 1304/2013, (UE) Nru 1309/2013, (UE) Nru 1316/2013, (UE) Nru 223/2014, (UE) Nru 283/2014, u d-Deċiżjoni Nru 541/2014/UE u li jħassar ir-Regolament (UE, Euratom) Nru 966/2012</w:t>
      </w:r>
      <w:r w:rsidRPr="007F4AA8">
        <w:rPr>
          <w:rStyle w:val="FootnoteReference"/>
        </w:rPr>
        <w:footnoteReference w:id="4"/>
      </w:r>
      <w:r>
        <w:t>, u b'mod partikolari l-Artikolu 70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tal-Kunsill (KE) Nru 2062/94 tat-18 ta' Lulju 1994 li jistabbilixxi Aġenzija Ewropea għas-Sigurtà u s-Saħħa fuq il-Post tax-Xogħol</w:t>
      </w:r>
      <w:r w:rsidRPr="007F4AA8">
        <w:rPr>
          <w:rStyle w:val="FootnoteReference"/>
        </w:rPr>
        <w:footnoteReference w:id="5"/>
      </w:r>
      <w:r>
        <w:t>, u b'mod partikolari l-Artikolu 14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ta' Delega tal-Kummissjoni (UE) Nru 1271/2013 tat-</w:t>
      </w:r>
      <w:r>
        <w:lastRenderedPageBreak/>
        <w:t>30 ta' Settembru 2013 dwar Regolament Finanzjarju ta' qafas għall-korpi msemmija fl-Artikolu 208 tar-Regolament (UE, Euratom) Nru 966/2012 tal-Parlament Ewropew u tal-Kunsill</w:t>
      </w:r>
      <w:r w:rsidRPr="007F4AA8">
        <w:rPr>
          <w:rStyle w:val="FootnoteReference"/>
        </w:rPr>
        <w:footnoteReference w:id="6"/>
      </w:r>
      <w:r>
        <w:t>, u b'mod partikolari l-Artikolu 108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r-rapport tal-Kumitat għall-Kontroll tal-Baġit u l-opinjoni tal-Kumitat għall-Impjiegi u l-Affarijiet Soċjali (A8-0138/2019),</w:t>
      </w:r>
    </w:p>
    <w:p w:rsidR="0091424D" w:rsidRPr="007F4AA8" w:rsidRDefault="0091424D" w:rsidP="0091424D">
      <w:pPr>
        <w:pStyle w:val="Normal12Hanging"/>
      </w:pPr>
      <w:r>
        <w:t>1.</w:t>
      </w:r>
      <w:r>
        <w:tab/>
        <w:t>Jagħti l-kwittanza lid-Direttur tal-Aġenzija Ewropea għas-Saħħa u s-Sigurtà fuq il-Post tax-Xogħol għall-implimentazzjoni tal-baġit tal-Aġenzija għas-sena finanzjarja 2017;</w:t>
      </w:r>
    </w:p>
    <w:p w:rsidR="0091424D" w:rsidRPr="007F4AA8" w:rsidRDefault="0091424D" w:rsidP="0091424D">
      <w:pPr>
        <w:pStyle w:val="Normal12Hanging"/>
      </w:pPr>
      <w:r>
        <w:t>2.</w:t>
      </w:r>
      <w:r>
        <w:tab/>
        <w:t>Jippreżenta l-kummenti tiegħu fir-riżoluzzjoni t'hawn taħt;</w:t>
      </w:r>
    </w:p>
    <w:p w:rsidR="0091424D" w:rsidRPr="007F4AA8" w:rsidRDefault="0091424D" w:rsidP="0091424D">
      <w:pPr>
        <w:pStyle w:val="Normal12Hanging"/>
      </w:pPr>
      <w:r>
        <w:t>3.</w:t>
      </w:r>
      <w:r>
        <w:tab/>
        <w:t>Jagħti istruzzjonijiet lill-President tiegħu biex jgħaddi din id-deċiżjoni, kif ukoll ir-riżoluzzjoni li hija parti integrali minnha, lid-Direttur tal-Aġenzija Ewropea għas-Saħħa u s-Sigurtà fuq il-Post tax-Xogħol, lill-Kunsill, lill-Kummissjoni u lill-Qorti tal-Awdituri, u biex jiżgura li jiġu ppubblikati f'</w:t>
      </w:r>
      <w:r>
        <w:rPr>
          <w:i/>
        </w:rPr>
        <w:t>Il-Ġurnal Uffiċjali tal-Unjoni Ewropea</w:t>
      </w:r>
      <w:r>
        <w:t xml:space="preserve"> (serje L).</w:t>
      </w:r>
    </w:p>
    <w:p w:rsidR="0091424D" w:rsidRPr="007F4AA8" w:rsidRDefault="0091424D" w:rsidP="0091424D">
      <w:pPr>
        <w:pStyle w:val="PageHeading"/>
      </w:pPr>
      <w:r>
        <w:br w:type="page"/>
      </w:r>
      <w:bookmarkStart w:id="7" w:name="_Toc2334019"/>
      <w:bookmarkStart w:id="8" w:name="Decision2"/>
      <w:bookmarkStart w:id="9" w:name="_Toc3906596"/>
      <w:r>
        <w:lastRenderedPageBreak/>
        <w:t>2. PROPOSTA GĦAL DEĊIŻJONI TAL-PARLAMENT EWROPEW</w:t>
      </w:r>
      <w:bookmarkEnd w:id="7"/>
      <w:bookmarkEnd w:id="9"/>
    </w:p>
    <w:p w:rsidR="0091424D" w:rsidRPr="007F4AA8" w:rsidRDefault="0091424D" w:rsidP="0091424D">
      <w:pPr>
        <w:pStyle w:val="NormalBold"/>
      </w:pPr>
      <w:bookmarkStart w:id="10" w:name="DecisionTitle2"/>
      <w:bookmarkEnd w:id="8"/>
      <w:r>
        <w:t>dwar l-għeluq tal-kontijiet tal-Aġenzija Ewropea għas-Saħħa u s-Sigurtà fuq il-Post tax-Xogħol (EU-OSHA) għas-sena finanzjarja 2017</w:t>
      </w:r>
    </w:p>
    <w:bookmarkEnd w:id="10"/>
    <w:p w:rsidR="0091424D" w:rsidRPr="007F4AA8" w:rsidRDefault="0091424D" w:rsidP="0091424D">
      <w:pPr>
        <w:pStyle w:val="Normal12Bold"/>
      </w:pPr>
      <w:r>
        <w:t>(2018/2183(DEC))</w:t>
      </w:r>
    </w:p>
    <w:p w:rsidR="0091424D" w:rsidRPr="007F4AA8" w:rsidRDefault="0091424D" w:rsidP="0091424D">
      <w:pPr>
        <w:pStyle w:val="Normal12"/>
      </w:pPr>
      <w:r>
        <w:rPr>
          <w:i/>
        </w:rPr>
        <w:t>Il-Parlament Ewropew</w:t>
      </w:r>
      <w:r>
        <w:t>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l-kontijiet annwali finali tal-Aġenzija Ewropea għas-Sigurtà u s-Saħħa fuq il-Post tax-Xogħol għas-sena finanzjarja 2017,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r-rapport tal-Qorti tal-Awdituri dwar il-kontijiet annwali tal-Aġenzija Ewropea għas-Sigurtà u s-Saħħa fuq il-Post tax-Xogħol għas-sena finanzjarja 2017, flimkien mar-risposta tal-Aġenzija</w:t>
      </w:r>
      <w:r w:rsidRPr="007F4AA8">
        <w:rPr>
          <w:rStyle w:val="FootnoteReference"/>
        </w:rPr>
        <w:footnoteReference w:id="7"/>
      </w:r>
      <w:r>
        <w:t>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d-dikjarazzjoni ta' assigurazzjoni</w:t>
      </w:r>
      <w:r w:rsidRPr="007F4AA8">
        <w:rPr>
          <w:rStyle w:val="FootnoteReference"/>
        </w:rPr>
        <w:footnoteReference w:id="8"/>
      </w:r>
      <w:r>
        <w:t xml:space="preserve"> dwar l-affidabbiltà tal-kontijiet u l-legalità u r-regolarità tat-tranżazzjonijiet ta' bażi, ipprovduta mill-Qorti tal-Awdituri għas-sena finanzjarja 2017 skont l-Artikolu 287 tat-Trattat dwar il-Funzjonament tal-Unjoni Ewropea,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r-rakkomandazzjoni tal-Kunsill tat-12 ta' Frar 2019 dwar il-kwittanza li għandha tingħata lill-Aġenzija fir-rigward tal-implimentazzjoni tal-baġit għas-sena finanzjarja 2017 (05825/2019 – C8-0073/2019),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l-Artikolu 319 tat-Trattat dwar il-Funzjonament tal-Unjoni Ewropea,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7F4AA8">
        <w:rPr>
          <w:rStyle w:val="FootnoteReference"/>
        </w:rPr>
        <w:footnoteReference w:id="9"/>
      </w:r>
      <w:r>
        <w:t>, u b'mod partikolari l-Artikolu 208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(UE, Euratom) Nru 2018/1046 tal-Parlament Ewropew u tal-Kunsill tat-18 ta' Lulju 2018 dwar ir-regoli finanzjarji applikabbli għall-baġit ġenerali tal-Unjoni, li jemenda r-Regolamenti (UE) Nru 1296/2013, (UE) Nru 1301/2013, (UE) Nru 1303/2013, (UE) Nru 1304/2013, (UE) Nru 1309/2013, (UE) Nru 1316/2013, (UE) Nru 223/2014, (UE) Nru 283/2014, u d-Deċiżjoni Nru 541/2014/UE u li jħassar ir-Regolament (UE, Euratom) Nru 966/2012</w:t>
      </w:r>
      <w:r w:rsidRPr="007F4AA8">
        <w:rPr>
          <w:rStyle w:val="FootnoteReference"/>
        </w:rPr>
        <w:footnoteReference w:id="10"/>
      </w:r>
      <w:r>
        <w:t>, u b'mod partikolari l-Artikolu 70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tal-Kunsill (KE) Nru 2062/94 tat-18 ta' Lulju 1994 li jistabbilixxi Aġenzija Ewropea għas-Sigurtà u s-Saħħa fuq il-Post tax-Xogħol</w:t>
      </w:r>
      <w:r w:rsidRPr="007F4AA8">
        <w:rPr>
          <w:rStyle w:val="FootnoteReference"/>
        </w:rPr>
        <w:footnoteReference w:id="11"/>
      </w:r>
      <w:r>
        <w:t>, u b'mod partikolari l-Artikolu 14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r-Regolament ta' Delega tal-Kummissjoni (UE) Nru 1271/2013 tat-</w:t>
      </w:r>
      <w:r>
        <w:lastRenderedPageBreak/>
        <w:t>30 ta' Settembru 2013 dwar Regolament Finanzjarju ta' qafas għall-korpi msemmija fl-Artikolu 208 tar-Regolament (UE, Euratom) Nru 966/2012 tal-Parlament Ewropew u tal-Kunsill</w:t>
      </w:r>
      <w:r w:rsidRPr="007F4AA8">
        <w:rPr>
          <w:rStyle w:val="FootnoteReference"/>
        </w:rPr>
        <w:footnoteReference w:id="12"/>
      </w:r>
      <w:r>
        <w:t>, u b'mod partikolari l-Artikolu 108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r-rapport tal-Kumitat għall-Kontroll tal-Baġit u l-opinjoni tal-Kumitat għall-Impjiegi u l-Affarijiet Soċjali (A8-0138/2019),</w:t>
      </w:r>
    </w:p>
    <w:p w:rsidR="0091424D" w:rsidRPr="007F4AA8" w:rsidRDefault="0091424D" w:rsidP="0091424D">
      <w:pPr>
        <w:pStyle w:val="Normal12Hanging"/>
      </w:pPr>
      <w:r>
        <w:t>1.</w:t>
      </w:r>
      <w:r>
        <w:tab/>
        <w:t>Japprova l-għeluq tal-kontijiet tal-Aġenzija Ewropea għas-Saħħa u s-Sigurtà fuq il-Post tax-Xogħol għas-sena finanzjarja 2017;</w:t>
      </w:r>
    </w:p>
    <w:p w:rsidR="0091424D" w:rsidRPr="007F4AA8" w:rsidRDefault="0091424D" w:rsidP="0091424D">
      <w:pPr>
        <w:pStyle w:val="Normal12Hanging"/>
      </w:pPr>
      <w:r>
        <w:t>2.</w:t>
      </w:r>
      <w:r>
        <w:tab/>
        <w:t>Jagħti istruzzjonijiet lill-President tiegħu biex jgħaddi din id-deċiżjoni lid-Direttur Eżekuttiv tal-Aġenzija Ewropea għat-Tmexxija Operattiva tas-Sistemi tal-IT Fuq Skala Kbira fl-Ispazju ta' Libertà, Sigurtà u Ġustizzja, lill-Kunsill, lill-Kummissjoni u lill-Qorti tal-Awdituri, u biex jiżgura li tiġi ppubblikata f'</w:t>
      </w:r>
      <w:r>
        <w:rPr>
          <w:i/>
        </w:rPr>
        <w:t>Il-Ġurnal Uffiċjali tal-Unjoni Ewropea</w:t>
      </w:r>
      <w:r>
        <w:t xml:space="preserve"> (serje L).</w:t>
      </w:r>
    </w:p>
    <w:p w:rsidR="0091424D" w:rsidRPr="007F4AA8" w:rsidRDefault="0091424D" w:rsidP="0091424D">
      <w:pPr>
        <w:pStyle w:val="PageHeading"/>
      </w:pPr>
      <w:r>
        <w:br w:type="page"/>
      </w:r>
      <w:bookmarkStart w:id="11" w:name="_Toc2334020"/>
      <w:bookmarkStart w:id="12" w:name="Resolution"/>
      <w:bookmarkStart w:id="13" w:name="_Toc3906597"/>
      <w:r>
        <w:lastRenderedPageBreak/>
        <w:t>3. MOZZJONI GĦAL RIŻOLUZZJONI TAL-PARLAMENT EWROPEW</w:t>
      </w:r>
      <w:bookmarkEnd w:id="11"/>
      <w:bookmarkEnd w:id="13"/>
    </w:p>
    <w:p w:rsidR="0091424D" w:rsidRPr="007F4AA8" w:rsidRDefault="0091424D" w:rsidP="0091424D">
      <w:pPr>
        <w:pStyle w:val="NormalBold"/>
      </w:pPr>
      <w:bookmarkStart w:id="14" w:name="ResolutionTitle"/>
      <w:bookmarkEnd w:id="12"/>
      <w:r>
        <w:t>li tinkludi l-kummenti li jagħmlu parti integrali mid-deċiżjoni dwar il-kwittanza għall-implimentazzjoni tal-baġit tal-Aġenzija Ewropea għas-Saħħa u s-Sigurtà fuq il-Post tax-Xogħol għas-sena finanzjarja 2017</w:t>
      </w:r>
    </w:p>
    <w:bookmarkEnd w:id="14"/>
    <w:p w:rsidR="0091424D" w:rsidRPr="007F4AA8" w:rsidRDefault="0091424D" w:rsidP="0091424D">
      <w:pPr>
        <w:pStyle w:val="Normal12Bold"/>
      </w:pPr>
      <w:r>
        <w:t>(2018/2183(DEC))</w:t>
      </w:r>
    </w:p>
    <w:p w:rsidR="0091424D" w:rsidRPr="007F4AA8" w:rsidRDefault="0091424D" w:rsidP="0091424D">
      <w:pPr>
        <w:pStyle w:val="Normal12"/>
      </w:pPr>
      <w:r>
        <w:rPr>
          <w:i/>
        </w:rPr>
        <w:t>Il-Parlament Ewropew</w:t>
      </w:r>
      <w:r>
        <w:t>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d-deċiżjoni tiegħu dwar il-kwittanza għall-implimentazzjoni tal-baġit tal-Aġenzija Ewropea għas-Saħħa u s-Sigurtà fuq il-Post tax-Xogħol għas-sena finanzjarja 2017,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91424D" w:rsidRPr="007F4AA8" w:rsidRDefault="0091424D" w:rsidP="0091424D">
      <w:pPr>
        <w:pStyle w:val="Normal12Hanging"/>
      </w:pPr>
      <w:r>
        <w:t>–</w:t>
      </w:r>
      <w:r>
        <w:tab/>
        <w:t>wara li kkunsidra r-rapport tal-Kumitat għall-Kontroll tal-Baġit u l-opinjoni tal-Kumitat għall-Impjiegi u l-Affarijiet Soċjali (A8-0138/2019),</w:t>
      </w:r>
    </w:p>
    <w:p w:rsidR="0091424D" w:rsidRPr="007F4AA8" w:rsidRDefault="0091424D" w:rsidP="0091424D">
      <w:pPr>
        <w:pStyle w:val="Normal12Hanging"/>
      </w:pPr>
      <w:r>
        <w:t>A.</w:t>
      </w:r>
      <w:r>
        <w:tab/>
        <w:t>billi, skont id-dikjarazzjoni tad-dħul u l-infiq tagħha</w:t>
      </w:r>
      <w:r w:rsidRPr="007F4AA8">
        <w:rPr>
          <w:rStyle w:val="FootnoteReference"/>
        </w:rPr>
        <w:footnoteReference w:id="13"/>
      </w:r>
      <w:r>
        <w:t>, il-baġit finali tal-Aġenzija Ewropea għas-Sigurtà u s-Saħħa fuq il-Post tax-Xogħol ('l-Aġenzija') għas-sena finanzjarja 2017 kien ta' EUR 15 656 308, li jfisser tnaqqis ta' 6,10 % meta mqabbel mal-2016; billi l-baġit tal-Aġenzija huwa prinċipalment derivat mill-baġit tal-Unjoni;</w:t>
      </w:r>
    </w:p>
    <w:p w:rsidR="0091424D" w:rsidRPr="007F4AA8" w:rsidRDefault="0091424D" w:rsidP="0091424D">
      <w:pPr>
        <w:pStyle w:val="Normal12Hanging"/>
      </w:pPr>
      <w:r>
        <w:t>B.</w:t>
      </w:r>
      <w:r>
        <w:tab/>
        <w:t>billi l-Qorti tal-Awdituri (il-"Qorti") fir-rapport tagħha dwar il-kontijiet annwali tal-Aġenzija għas-sena finanzjarja 2017 (ir-"rapport tal-Qorti"), stqarret li kisbet assigurazzjonijiet raġonevoli li l-kontijiet annwali tal-Aġenzija huma affidabbli u li t-tranżazzjonijiet ta' bażi huma legali u regolari;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 xml:space="preserve">Ġestjoni baġitarja u finanzjarja </w:t>
      </w:r>
    </w:p>
    <w:p w:rsidR="0091424D" w:rsidRPr="007F4AA8" w:rsidRDefault="0091424D" w:rsidP="0091424D">
      <w:pPr>
        <w:pStyle w:val="Normal12Hanging"/>
      </w:pPr>
      <w:r>
        <w:t>1.</w:t>
      </w:r>
      <w:r>
        <w:tab/>
        <w:t>Jinnota li l-isforzi ta' monitoraġġ baġitarju matul is-sena finanzjarja 2017 irriżultaw f'rata ta' implimentazzjoni baġitarja ta' 96,03 %, li tirrappreżenta tnaqqis ta' 0,28 % meta mqabbel mal-2016; jinnota bi tħassib li r-rata ta' eżekuzzjoni tal-approprjazzjonijiet ta' pagament kienet ta' 72,23 %, li tfisser biss żieda żgħira ta' 1,88 % meta mqabbel mas-sena preċedenti;</w:t>
      </w:r>
    </w:p>
    <w:p w:rsidR="0091424D" w:rsidRPr="007F4AA8" w:rsidRDefault="0091424D" w:rsidP="0091424D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Kanċellazzjoni tar-riporti</w:t>
      </w:r>
    </w:p>
    <w:p w:rsidR="0091424D" w:rsidRPr="007F4AA8" w:rsidRDefault="0091424D" w:rsidP="0091424D">
      <w:pPr>
        <w:pStyle w:val="Normal12Hanging"/>
        <w:rPr>
          <w:b/>
          <w:i/>
          <w:szCs w:val="24"/>
        </w:rPr>
      </w:pPr>
      <w:r>
        <w:t>2.</w:t>
      </w:r>
      <w:r>
        <w:tab/>
        <w:t>Jinnota li l-kanċellazzjonijiet tar-riporti mill-2016 għall-2017 ammontaw għal EUR 194 467,98 li jirrappreżentaw 4,93 % tal-ammont totali riportat, li juri żieda ta' 1,17 % meta mqabbel mal-2016; jinnota, barra minn hekk, il-livell relattivament għoli ta' riporti mhux ippjanati mill-2017 sal-2018 għat-Titolu II, li jammontaw għal EUR 200 000, b'rabta prinċipalment mar-riorganizzazzjoni interna ta' spazju għall-uffiċċji;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>Prestazzjoni</w:t>
      </w:r>
    </w:p>
    <w:p w:rsidR="0091424D" w:rsidRPr="007F4AA8" w:rsidRDefault="0091424D" w:rsidP="0091424D">
      <w:pPr>
        <w:pStyle w:val="Normal12Hanging"/>
      </w:pPr>
      <w:r>
        <w:t>3.</w:t>
      </w:r>
      <w:r>
        <w:tab/>
        <w:t xml:space="preserve">Jinnota li l-Aġenzija tuża ċerti indikaturi ewlenin tal-prestazzjoni biex tkejjel il-prestazzjoni tagħha u biex ittejjeb il-ġestjoni baġitarja tagħha; jinnota, barra minn hekk, </w:t>
      </w:r>
      <w:r>
        <w:lastRenderedPageBreak/>
        <w:t>b'sodisfazzjon li l-Aġenzija qed tippjana li tintroduċi qafas ta' ġestjoni tal-prestazzjoni rivedut fl-2018, li għandu l-għan li jipprovdi indikaturi tal-prestazzjoni aktar sinifikanti biex jivvalutaw aħjar il-valur miżjud tal-attivitajiet tal-Aġenzija; jistieden lill-Aġenzija tirrapporta lill-awtorità ta' kwittanza dwar l-implimentazzjoni ta' dan il-qafas;</w:t>
      </w:r>
    </w:p>
    <w:p w:rsidR="0091424D" w:rsidRPr="007F4AA8" w:rsidRDefault="0091424D" w:rsidP="0091424D">
      <w:pPr>
        <w:pStyle w:val="Normal12Hanging"/>
      </w:pPr>
      <w:r>
        <w:t>4.</w:t>
      </w:r>
      <w:r>
        <w:tab/>
        <w:t>Jinnota li, għalkemm l-Aġenzija kellha prestazzjoni tajba fl-użu tar-riżorsi disponibbli, il-partiti relatati mal-komunikazzjonijiet web u t-twassil tal-programm ta' ħidma kienu kemxejn taħt il-miri stabbiliti;</w:t>
      </w:r>
    </w:p>
    <w:p w:rsidR="0091424D" w:rsidRPr="007F4AA8" w:rsidRDefault="0091424D" w:rsidP="0091424D">
      <w:pPr>
        <w:pStyle w:val="Normal12Hanging"/>
      </w:pPr>
      <w:r>
        <w:t>5.</w:t>
      </w:r>
      <w:r>
        <w:tab/>
        <w:t>Jappoġġa l-attivitajiet u l-analiżi tal-Aġenzija dwar is-saħħa u s-sikurezza fuq il-post tax-xogħol, li jikkontribwixxu għall-politika tal-UE li għandha l-għan li tippromwovi postijiet tax-xogħol sikuri u ħielsa mill-periklu madwar l-Unjoni, u għal dan il-għan jenfasizza l-importanza li jiġi żgurat li jkun hemm persunal u riżorsi finanzjarji adegwati li jippermettu lill-Aġenzija timplimenta l-kompiti tagħha;</w:t>
      </w:r>
    </w:p>
    <w:p w:rsidR="0091424D" w:rsidRPr="007F4AA8" w:rsidRDefault="0091424D" w:rsidP="0091424D">
      <w:pPr>
        <w:spacing w:after="240"/>
        <w:ind w:left="567" w:hanging="567"/>
      </w:pPr>
      <w:r>
        <w:t>6.</w:t>
      </w:r>
      <w:r>
        <w:tab/>
        <w:t>Jilqa' l-impenn qawwi tal-Aġenzija biex tiżgura li l-ħaddiema kollha jgawdu l-istess drittijiet ta' saħħa u sikurezza fuq il-post tax-xogħol irrispettivament mid-daqs tal-kumpanija, mit-tip ta' kuntratt jew mir-relazzjoni ta' impjieg;</w:t>
      </w:r>
    </w:p>
    <w:p w:rsidR="0091424D" w:rsidRPr="007F4AA8" w:rsidRDefault="0091424D" w:rsidP="0091424D">
      <w:pPr>
        <w:pStyle w:val="Normal12Hanging"/>
      </w:pPr>
      <w:r>
        <w:t>7.</w:t>
      </w:r>
      <w:r>
        <w:tab/>
        <w:t>Japprezza l-appoġġ sostnut tal-Aġenzija lill-intrapriżi medji, żgħar u mikro, fil-forma ta' għodod prattiċi u linji gwida li jippermettulhom jikkonformaw mal-leġiżlazzjoni dwar is-Saħħa u s-Sikurezza Okkupazzjonali (OSH); jilqa' b'sodisfazzjon il-finalizzazzjoni tal-proġett "Postijiet tax-Xogħol li Jagħtu s-Saħħa f'Kull Età" li jippromwovi kundizzjonijiet sikuri u tajbin għas-saħħa tul il-ħajja tax-xogħol kollha;</w:t>
      </w:r>
    </w:p>
    <w:p w:rsidR="0091424D" w:rsidRPr="007F4AA8" w:rsidRDefault="0091424D" w:rsidP="0091424D">
      <w:pPr>
        <w:pStyle w:val="Normal12Hanging"/>
      </w:pPr>
      <w:r>
        <w:t>8.</w:t>
      </w:r>
      <w:r>
        <w:tab/>
        <w:t xml:space="preserve">Jinnota li tliet evalwazzjonijiet esterni spiċċaw fl-2017: evalwazzjoni ta' nofs it-terminu tal-Programm Strateġiku Pluriennali mill-2014 sal-2020, evalwazzjoni </w:t>
      </w:r>
      <w:r>
        <w:rPr>
          <w:i/>
        </w:rPr>
        <w:t>ex-post</w:t>
      </w:r>
      <w:r>
        <w:t xml:space="preserve"> tax-xogħol aktar sikur u aktar f'saħħtu f'kull età, u evalwazzjoni </w:t>
      </w:r>
      <w:r>
        <w:rPr>
          <w:i/>
        </w:rPr>
        <w:t>ex-post</w:t>
      </w:r>
      <w:r>
        <w:t xml:space="preserve"> tal-Istħarriġ Ewropew tal-Intrapriżi dwar Riskji Ġodda u Emerġenti II; jirrikonoxxi li kollha kemm huma kisbu riżultat pożittiv u li r-rakkomandazzjonijiet li saru diġà ġew implimentati;</w:t>
      </w:r>
    </w:p>
    <w:p w:rsidR="0091424D" w:rsidRPr="007F4AA8" w:rsidRDefault="0091424D" w:rsidP="0091424D">
      <w:pPr>
        <w:pStyle w:val="Normal12Hanging"/>
      </w:pPr>
      <w:r>
        <w:t>9.</w:t>
      </w:r>
      <w:r>
        <w:tab/>
        <w:t>Jilqa' l-isforzi tal-Aġenzija li tintegra l-multilingwiżmu fil-prodotti tagħha rikonoxxuti mill-Ombudsman Ewropew fl-2017 billi ta lill-Aġenzija flimkien mal-Uffiċċju tal-Proprjetà Intellettwali tal-Unjoni Ewropea (EUIPO) u maċ-Ċentru tat-Traduzzjoni għall-Korpi tal-Unjoni Ewropea (CdT) il-Premju tal-Ombudsman għal Amministrazzjoni Tajba fil-kategorija ta' "Excellence in citizen/customer focused services delivery" għall-proġett innovattiv tagħhom żviluppat b'mod konġunt li jiffaċilita l-ġestjoni tat-traduzzjoni ta' siti web multilingwi;</w:t>
      </w:r>
    </w:p>
    <w:p w:rsidR="0091424D" w:rsidRPr="007F4AA8" w:rsidRDefault="0091424D" w:rsidP="0091424D">
      <w:pPr>
        <w:pStyle w:val="Normal12Hanging"/>
        <w:rPr>
          <w:szCs w:val="24"/>
        </w:rPr>
      </w:pPr>
      <w:r>
        <w:t>10.</w:t>
      </w:r>
      <w:r>
        <w:tab/>
        <w:t>Jinnota b'sodisfazzjon li l-Aġenzija tikkondividi b'mod proattiv il-kompiti ma' aġenziji oħra f'suġġetti bħas-sigurtà, il-ġestjoni tal-faċilitajiet jew is-servizzi bankarji, u qed tippjana li tkompli żżid il-kollaborazzjoni fil-futur; jenfasizza li huwa importanti li jkun hemm kooperazzjoni tajba bejn l-Aġenziji li jaħdmu fil-qasam tal-impjiegi, l-affarijiet soċjali u l-inklużjoni, u b'mod partikolari kooperazzjoni bejn l-Aġenzija, il-Eurofound, is-Cedefop u l-EIGE;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>Politika dwar il-persunal</w:t>
      </w:r>
    </w:p>
    <w:p w:rsidR="0091424D" w:rsidRPr="007F4AA8" w:rsidRDefault="0091424D" w:rsidP="0091424D">
      <w:pPr>
        <w:spacing w:after="240"/>
        <w:ind w:left="567" w:hanging="567"/>
        <w:rPr>
          <w:szCs w:val="24"/>
        </w:rPr>
      </w:pPr>
      <w:r>
        <w:t>11.</w:t>
      </w:r>
      <w:r>
        <w:tab/>
        <w:t xml:space="preserve">Jinnota li, fil-31 ta' Diċembru 2017, it-tabella tal-persunal kienet mimlija sa 97,5 %, bil-ħatra ta' 39 aġent temporanju minn 40 aġent temporanju li kienu awtorizzati taħt il-baġit </w:t>
      </w:r>
      <w:r>
        <w:lastRenderedPageBreak/>
        <w:t>tal-Unjoni (meta mqabbel mal-41 post awtorizzat fl-2016); jinnota li, barra minn hekk, 24 aġent kuntrattwali kienu qed jaħdmu għall-Aġenzija fl-2017;</w:t>
      </w:r>
    </w:p>
    <w:p w:rsidR="0091424D" w:rsidRPr="007F4AA8" w:rsidRDefault="0091424D" w:rsidP="0091424D">
      <w:pPr>
        <w:spacing w:after="240"/>
        <w:ind w:left="567" w:hanging="567"/>
      </w:pPr>
      <w:r>
        <w:t>12.</w:t>
      </w:r>
      <w:r>
        <w:tab/>
        <w:t>Jinnota li l-Aġenzija għandha politika dwar il-protezzjoni tad-dinjità tal-persuna u l-prevenzjoni tal-fastidju stabbilita; jinnota bi tħassib li investigazzjoni waħda dwar il-fastidju nbdiet fl-2016 u ġiet konkluża fl-2017; jiddispjaċih li r-riżultat wera ksur tal-Artikolu 12a(3) tar-Regolamenti tal-Persunal; jistieden lill-Aġenzija tirrapporta lill-Awtorità ta' Kwittanza dwar il-miżuri dixxiplinari meħuda u dwar il-miżuri previsti sabiex jittaffew dawn ir-riskji fil-futur;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>Akkwist</w:t>
      </w:r>
    </w:p>
    <w:p w:rsidR="0091424D" w:rsidRPr="007F4AA8" w:rsidRDefault="0091424D" w:rsidP="0091424D">
      <w:pPr>
        <w:pStyle w:val="Normal12Hanging"/>
      </w:pPr>
      <w:r>
        <w:t>13.</w:t>
      </w:r>
      <w:r>
        <w:tab/>
        <w:t>Jinnota mir-rapport tal-Qorti li, sa tmiem l-2017, l-Aġenzija ma kienet qed tuża ebda għodda mnedija mill-Kummissjoni bil-għan li tiġi introdotta soluzzjoni waħda għall-iskambju elettroniku ta' informazzjoni ma' partijiet terzi li jipparteċipaw fi proċeduri ta' akkwist (akkwist elettroniku); jistieden lill-Aġenzija timplimenta l-għodod kollha meħtieġa u tirrapporta lill-awtorità ta' kwittanza dwar il-progress imwettaq f'dak ir-rigward;</w:t>
      </w:r>
    </w:p>
    <w:p w:rsidR="0091424D" w:rsidRPr="007F4AA8" w:rsidRDefault="0091424D" w:rsidP="0091424D">
      <w:pPr>
        <w:pStyle w:val="Normal12Hanging"/>
      </w:pPr>
      <w:r>
        <w:t>14.</w:t>
      </w:r>
      <w:r>
        <w:tab/>
        <w:t>Jilqa' l-fatt li, f'Novembru 2018, l-Aġenzija varat b'suċċess l-ewwel sejħa għall-offerti elettroniċi tagħha;</w:t>
      </w:r>
    </w:p>
    <w:p w:rsidR="0091424D" w:rsidRPr="007F4AA8" w:rsidRDefault="0091424D" w:rsidP="0091424D">
      <w:pPr>
        <w:pStyle w:val="Normal12Hanging"/>
      </w:pPr>
      <w:r>
        <w:t>15.</w:t>
      </w:r>
      <w:r>
        <w:tab/>
        <w:t>Jinnota bi tħassib mir-rapport tal-Qorti li l-Aġenzija ffirmat kuntratt qafas għall-għoti ta' servizzi ta' konsulenza tal-IT mill-2014 sal-2017, li għalih il-prezzijiet kienu stabbiliti kontinġenti għaż-żmien fuq il-proġetti u mhux marbuta mal-kunsinna, u li fuqhom l-Aġenzija għandha possibilitajiet limitati ta' monitoraġġ, peress li pereżempju, fl-2016 nofs is-servizzi twettqu barra l-bini tagħha; jistieden lill-Aġenzija tirrapporta lill-Awtorità ta' Kwittanza dwar il-miżuri li ttieħdu f'dan ir-rigward;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>Prevenzjoni u ġestjoni tal-kunflitti ta' interess u trasparenza</w:t>
      </w:r>
    </w:p>
    <w:p w:rsidR="0091424D" w:rsidRPr="007F4AA8" w:rsidRDefault="0091424D" w:rsidP="0091424D">
      <w:pPr>
        <w:pStyle w:val="Normal12Hanging"/>
      </w:pPr>
      <w:r>
        <w:t>16.</w:t>
      </w:r>
      <w:r>
        <w:tab/>
        <w:t>Jagħraf il-miżuri eżistenti tal-Aġenzija u l-isforzi kontinwi biex jiġu żgurati t-trasparenza, il-prevenzjoni u l-ġestjoni tal-kunflitti ta' interess; jinnota, barra minn hekk, mill-Aġenzija, li qed tippjana li tadotta l-mudell ta' deċiżjoni dwar l-iżvelar ta' informazzjoni protetta li għalih il-Kummissjoni tat ftehim</w:t>
      </w:r>
      <w:r w:rsidRPr="007F4AA8">
        <w:rPr>
          <w:rStyle w:val="FootnoteReference"/>
        </w:rPr>
        <w:footnoteReference w:id="14"/>
      </w:r>
      <w:r>
        <w:t xml:space="preserve"> </w:t>
      </w:r>
      <w:r>
        <w:rPr>
          <w:i/>
        </w:rPr>
        <w:t>ex ante</w:t>
      </w:r>
      <w:r>
        <w:t>;</w:t>
      </w:r>
    </w:p>
    <w:p w:rsidR="0091424D" w:rsidRPr="007F4AA8" w:rsidRDefault="0091424D" w:rsidP="0091424D">
      <w:pPr>
        <w:pStyle w:val="Normal12Hanging"/>
      </w:pPr>
      <w:r>
        <w:t>17.</w:t>
      </w:r>
      <w:r>
        <w:tab/>
        <w:t>Jinnota mir-rapport tal-Qorti li hemm bżonn li tissaħħaħ l-indipendenza tal-uffiċjal tal-kontabbiltà billi dan ikollu responsabbiltà diretta lejn id-direttur u l-bord governattiv tal-Aġenzija; jistieden lill-Aġenzija tirrapporta lill-awtorità ta' kwittanza dwar il-passi li ttieħdu f'din id-direzzjoni; jirrikonoxxi li, bi tweġiba għal din ir-rakkomandazzjoni mill-Qorti tal-Awdituri, bħalissa l-EU-OSHA qed tħejji deċiżjoni għall-bord governattiv biex testernalizza l-pożizzjoni tal-Uffiċjal tal-Kontabbiltà lid-DĠ BUDG;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t>18.</w:t>
      </w:r>
      <w:r>
        <w:tab/>
        <w:t>Jitlob li l-Aġenzija tuża r-Regolament Fundatur ġdid tagħha bħala opportunità biex tkompli ssaħħaħ l-indipendenza tal-Uffiċjal tal-Kontabbiltà;</w:t>
      </w:r>
    </w:p>
    <w:p w:rsidR="0091424D" w:rsidRPr="007F4AA8" w:rsidRDefault="0091424D" w:rsidP="0091424D">
      <w:pPr>
        <w:pStyle w:val="Normal12Hanging"/>
        <w:rPr>
          <w:b/>
          <w:i/>
        </w:rPr>
      </w:pPr>
      <w:r>
        <w:rPr>
          <w:b/>
          <w:i/>
        </w:rPr>
        <w:t>Kummenti oħra</w:t>
      </w:r>
    </w:p>
    <w:p w:rsidR="0091424D" w:rsidRPr="007F4AA8" w:rsidRDefault="0091424D" w:rsidP="0091424D">
      <w:pPr>
        <w:pStyle w:val="Normal12Hanging"/>
      </w:pPr>
      <w:r>
        <w:lastRenderedPageBreak/>
        <w:t>19.</w:t>
      </w:r>
      <w:r>
        <w:tab/>
        <w:t xml:space="preserve">Jinnota li, l-Aġenzija wettqet analiżi tal-impatt probabbli tad-deċiżjoni tar-Renju Unit li joħroġ mill-Unjoni fuq l-organizzazzjoni, l-operazzjonijiet u l-kontijiet tiegħu; jistieden lill-Aġenzija tirrapporta lill-Awtorità ta' Kwittanza dwar ir-riżultat ta' dik l-analiżi; </w:t>
      </w:r>
    </w:p>
    <w:p w:rsidR="0091424D" w:rsidRPr="007F4AA8" w:rsidRDefault="0091424D" w:rsidP="0091424D">
      <w:pPr>
        <w:pStyle w:val="Normal12Centre"/>
      </w:pPr>
      <w:r>
        <w:t>o</w:t>
      </w:r>
    </w:p>
    <w:p w:rsidR="0091424D" w:rsidRPr="007F4AA8" w:rsidRDefault="0091424D" w:rsidP="0091424D">
      <w:pPr>
        <w:pStyle w:val="Normal12Centre"/>
      </w:pPr>
      <w:r>
        <w:t>o     o</w:t>
      </w:r>
    </w:p>
    <w:p w:rsidR="0091424D" w:rsidRPr="007F4AA8" w:rsidRDefault="0091424D" w:rsidP="0091424D">
      <w:pPr>
        <w:pStyle w:val="Normal12Hanging"/>
      </w:pPr>
      <w:r>
        <w:t>20.</w:t>
      </w:r>
      <w:r>
        <w:tab/>
        <w:t>Jirreferi, fir-rigward tal-kummenti l-oħrajn li jakkumpanjaw id-deċiżjoni tiegħu dwar il-kwittanza, li huma ta' natura orizzontali, għar-riżoluzzjoni tiegħu ta' …2019</w:t>
      </w:r>
      <w:r w:rsidRPr="007F4AA8">
        <w:rPr>
          <w:rStyle w:val="FootnoteReference"/>
        </w:rPr>
        <w:footnoteReference w:id="15"/>
      </w:r>
      <w:r>
        <w:t xml:space="preserve"> dwar il-prestazzjoni, il-ġestjoni finanzjarja u l-kontroll tal-aġenziji.</w:t>
      </w:r>
    </w:p>
    <w:p w:rsidR="0091424D" w:rsidRPr="0091424D" w:rsidRDefault="0091424D" w:rsidP="00E951C8">
      <w:pPr>
        <w:pStyle w:val="PageHeading"/>
        <w:sectPr w:rsidR="0091424D" w:rsidRPr="0091424D" w:rsidSect="00D464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titlePg/>
        </w:sectPr>
      </w:pPr>
    </w:p>
    <w:p w:rsidR="0091424D" w:rsidRDefault="0091424D" w:rsidP="00E951C8">
      <w:pPr>
        <w:pStyle w:val="PageHeading"/>
      </w:pPr>
    </w:p>
    <w:p w:rsidR="0091424D" w:rsidRPr="008B729C" w:rsidRDefault="0091424D" w:rsidP="0091424D"/>
    <w:p w:rsidR="0091424D" w:rsidRPr="008B729C" w:rsidRDefault="0091424D" w:rsidP="0091424D">
      <w:pPr>
        <w:pStyle w:val="ZDate"/>
        <w:spacing w:after="480"/>
      </w:pPr>
      <w:r>
        <w:rPr>
          <w:rStyle w:val="HideTWBExt"/>
        </w:rPr>
        <w:t>&lt;Date&gt;</w:t>
      </w:r>
      <w:r>
        <w:rPr>
          <w:rStyle w:val="HideTWBInt"/>
        </w:rPr>
        <w:t>{25/01/2019}</w:t>
      </w:r>
      <w:r>
        <w:t>25.1.2019</w:t>
      </w:r>
      <w:r>
        <w:rPr>
          <w:rStyle w:val="HideTWBExt"/>
        </w:rPr>
        <w:t>&lt;/Date&gt;</w:t>
      </w:r>
    </w:p>
    <w:p w:rsidR="0091424D" w:rsidRPr="008B729C" w:rsidRDefault="0091424D" w:rsidP="0091424D">
      <w:pPr>
        <w:pStyle w:val="PageHeading"/>
        <w:spacing w:before="0" w:after="720"/>
      </w:pPr>
      <w:bookmarkStart w:id="15" w:name="_Toc3906598"/>
      <w:r>
        <w:t xml:space="preserve">OPINJONI </w:t>
      </w:r>
      <w:r>
        <w:rPr>
          <w:rStyle w:val="HideTWBExt"/>
        </w:rPr>
        <w:t>&lt;CommissionResp&gt;</w:t>
      </w:r>
      <w:bookmarkStart w:id="16" w:name="OpinionToc_1"/>
      <w:r>
        <w:rPr>
          <w:caps/>
        </w:rPr>
        <w:t>tal-Kumitat għall-Impjiegi u l-Affarijiet Soċjali</w:t>
      </w:r>
      <w:bookmarkEnd w:id="16"/>
      <w:bookmarkEnd w:id="15"/>
      <w:r>
        <w:rPr>
          <w:rStyle w:val="HideTWBExt"/>
        </w:rPr>
        <w:t>&lt;/CommissionResp&gt;</w:t>
      </w:r>
    </w:p>
    <w:p w:rsidR="0091424D" w:rsidRPr="008B729C" w:rsidRDefault="0091424D" w:rsidP="0091424D">
      <w:pPr>
        <w:pStyle w:val="Cover24"/>
        <w:ind w:left="0"/>
      </w:pPr>
      <w:r>
        <w:rPr>
          <w:rStyle w:val="HideTWBExt"/>
        </w:rPr>
        <w:t>&lt;CommissionInt&gt;</w:t>
      </w:r>
      <w:r>
        <w:t>għall-Kumitat għall-Kontroll tal-Baġit</w:t>
      </w:r>
      <w:r>
        <w:rPr>
          <w:rStyle w:val="HideTWBExt"/>
        </w:rPr>
        <w:t>&lt;/CommissionInt&gt;</w:t>
      </w:r>
    </w:p>
    <w:p w:rsidR="0091424D" w:rsidRPr="008B729C" w:rsidRDefault="0091424D" w:rsidP="0091424D">
      <w:pPr>
        <w:pStyle w:val="CoverNormal"/>
        <w:ind w:left="0"/>
      </w:pPr>
      <w:r>
        <w:rPr>
          <w:rStyle w:val="HideTWBExt"/>
        </w:rPr>
        <w:t>&lt;Titre&gt;</w:t>
      </w:r>
      <w:r>
        <w:t>dwar il-kwittanza għall-implimentazzjoni tal-baġit tal-Aġenzija Ewropea għas-Sigurtà u s-Saħħa fuq il-Post tax-Xogħol (EU-OSHA) għas-sena finanzjarja 2017</w:t>
      </w:r>
      <w:r>
        <w:rPr>
          <w:rStyle w:val="HideTWBExt"/>
        </w:rPr>
        <w:t>&lt;/Titre&gt;</w:t>
      </w:r>
    </w:p>
    <w:p w:rsidR="0091424D" w:rsidRPr="008B729C" w:rsidRDefault="0091424D" w:rsidP="0091424D">
      <w:pPr>
        <w:pStyle w:val="Cover24"/>
        <w:ind w:left="0"/>
      </w:pPr>
      <w:r>
        <w:rPr>
          <w:rStyle w:val="HideTWBExt"/>
        </w:rPr>
        <w:t>&lt;DocRef&gt;</w:t>
      </w:r>
      <w:r>
        <w:t>(2018/2183(DEC))</w:t>
      </w:r>
      <w:r>
        <w:rPr>
          <w:rStyle w:val="HideTWBExt"/>
        </w:rPr>
        <w:t>&lt;/DocRef&gt;</w:t>
      </w:r>
    </w:p>
    <w:p w:rsidR="0091424D" w:rsidRPr="008B729C" w:rsidRDefault="0091424D" w:rsidP="0091424D">
      <w:pPr>
        <w:pStyle w:val="Cover24"/>
        <w:ind w:left="0"/>
      </w:pPr>
      <w:r>
        <w:t xml:space="preserve">Rapporteur għal opinjoni: </w:t>
      </w:r>
      <w:r>
        <w:rPr>
          <w:rStyle w:val="HideTWBExt"/>
        </w:rPr>
        <w:t>&lt;Depute&gt;</w:t>
      </w:r>
      <w:r>
        <w:t>Marian Harkin</w:t>
      </w:r>
      <w:r>
        <w:rPr>
          <w:rStyle w:val="HideTWBExt"/>
        </w:rPr>
        <w:t>&lt;/Depute&gt;</w:t>
      </w:r>
    </w:p>
    <w:p w:rsidR="0091424D" w:rsidRPr="008B729C" w:rsidRDefault="0091424D" w:rsidP="0091424D">
      <w:pPr>
        <w:pStyle w:val="CoverNormal"/>
        <w:ind w:left="0"/>
      </w:pPr>
    </w:p>
    <w:p w:rsidR="0091424D" w:rsidRPr="008B729C" w:rsidRDefault="0091424D" w:rsidP="00DE4061">
      <w:pPr>
        <w:widowControl/>
        <w:tabs>
          <w:tab w:val="center" w:pos="4677"/>
        </w:tabs>
      </w:pPr>
    </w:p>
    <w:p w:rsidR="0091424D" w:rsidRPr="008B729C" w:rsidRDefault="0091424D" w:rsidP="00DE4061">
      <w:pPr>
        <w:widowControl/>
        <w:tabs>
          <w:tab w:val="center" w:pos="4677"/>
        </w:tabs>
      </w:pPr>
    </w:p>
    <w:p w:rsidR="0091424D" w:rsidRPr="008B729C" w:rsidRDefault="0091424D" w:rsidP="00DE4061">
      <w:pPr>
        <w:pStyle w:val="PageHeadingNotTOC"/>
      </w:pPr>
      <w:r>
        <w:t>SUĠĠERIMENTI</w:t>
      </w:r>
    </w:p>
    <w:p w:rsidR="0091424D" w:rsidRPr="008B729C" w:rsidRDefault="0091424D" w:rsidP="00DE4061">
      <w:pPr>
        <w:pStyle w:val="Normal12"/>
      </w:pPr>
      <w:r>
        <w:t>Il-Kumitat għall-Impjiegi u l-Affarijiet Soċjali jistieden lill-Kumitat għall-Kontroll tal-Baġit, bħala l-kumitat responsabbli, biex jinkorpora s-suġġerimenti li ġejjin fil-mozzjoni għal riżoluzzjoni tiegħu:</w:t>
      </w:r>
    </w:p>
    <w:p w:rsidR="0091424D" w:rsidRPr="008B729C" w:rsidRDefault="0091424D" w:rsidP="00DE4061">
      <w:pPr>
        <w:pStyle w:val="Normal12Hanging"/>
      </w:pPr>
      <w:r>
        <w:t>1.</w:t>
      </w:r>
      <w:r>
        <w:tab/>
        <w:t>Jesprimi s-sodisfazzjon tiegħu li l-Qorti tal-Awdituri ddikjarat li t-tranżazzjonijiet li fuqhom huma bbażati l-kontijiet annwali tal-Aġenzija għas-sena finanzjarja 2017 kienu skont il-liġi u regolari, u li l-pożizzjoni finanzjarja tagħha sal-31 ta' Diċembru 2016 hija rappreżentata b'mod ġust;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2.</w:t>
      </w:r>
      <w:r>
        <w:tab/>
        <w:t>Jappoġġja l-attivitajiet u l-analiżi tal-Aġenzija dwar is-saħħa u s-sikurezza fuq il-post tax-xogħol, li jikkontribwixxu għall-politika tal-UE li għandha l-għan li tippromwovi postijiet tax-xogħol sikuri u li jagħtu s-saħħa madwar l-Unjoni, u għal dan il-għan jenfasizza l-importanza li jiġi żgurat li jkun hemm persunal u riżorsi finanzjarji adegwati li jippermettu lill-Aġenzija timplimenta l-kompiti tagħha;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3.</w:t>
      </w:r>
      <w:r>
        <w:tab/>
        <w:t>Japprezza l-appoġġ sostnut tal-Aġenzija lill-intrapriżi medji, żgħar u mikro, fil-forma ta' għodod prattiċi u linji gwida li jippermettulhom jikkonformaw mal-leġiżlazzjoni dwar is-Saħħa u s-Sikurezza Okkupazzjonali (OSH); jilqa' b'sodisfazzjon il-finalizzazzjoni tal-proġett "Postijiet tax-Xogħol li Jagħtu s-Saħħa f'Kull Età" li jippromwovi kundizzjonijiet sikuri u tajbin għas-saħħa tul il-ħajja tax-xogħol kollha;</w:t>
      </w:r>
    </w:p>
    <w:p w:rsidR="0091424D" w:rsidRPr="008B729C" w:rsidRDefault="0091424D" w:rsidP="00DE4061">
      <w:pPr>
        <w:pStyle w:val="Normal12Hanging"/>
        <w:rPr>
          <w:szCs w:val="24"/>
        </w:rPr>
      </w:pPr>
      <w:bookmarkStart w:id="17" w:name="restart"/>
      <w:r>
        <w:t>4.</w:t>
      </w:r>
      <w:r>
        <w:tab/>
        <w:t>Jilqa' l-fatt li, f'Novembru 2018, l-Aġenzija varat b'suċċess l-ewwel sejħa għall-offerti elettroniċi tagħha;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lastRenderedPageBreak/>
        <w:t>5.</w:t>
      </w:r>
      <w:r>
        <w:tab/>
        <w:t>Jilqa' b'sodisfazzjon il-Premju tal-Ombudsman Ewropew għall-Amministrazzjoni Tajba li l-Aġenzija rebħet fil-kategorija ta' "Eċċellenza fl-għoti ta' servizzi ffokati fuq iċ-ċittadini u l-klijenti" b'riżultat tal-proġett innovattiv tagħha biex tiffaċilita l-ġestjoni tat-traduzzjoni ta' siti web multilingwi, b'kollaborazzjoni mal-Uffiċċju tal-Proprjetà Intellettwali tal-Unjoni Ewropea (EUIPO) u maċ-Ċentru tat-Traduzzjoni għall-Korpi tal-Unjoni Ewropea (CdT);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6.</w:t>
      </w:r>
      <w:r>
        <w:tab/>
        <w:t>Jiddispjaċih li r-riporti għat-Titolu II (nefqa amministrattiva) u għat-Titolu III (nefqa operazzjonali) kienu għoljin, b'40 % għal kull titolu, fatt li jmur kontra l-prinċipju baġitarju tal-annwalità; Jinnota li l-QEA fir-rapport tagħha ma sabitx evidenza li dawn ir-riporti kienu relatati man-nefqa ppjanata matul il-proċess baġitarju; ifakkar li riporti ta' livell daqshekk għoli seħħew ukoll fi snin preċedenti, u jistieden lill-Aġenzija tintroduċi mingħajr aktar dewmien approprjazzjonijiet baġitarji differenzjati li jirriflettu aħjar in-natura pluriennali tal-operazzjonijiet; madankollu jirrikonoxxi li l-Aġenzija qed tipprevedi l-possibbiltà li tadotta l-mudell ta' approprjazzjonijiet differenzjati għan-nefqa operattiva tagħha fil-futur qrib;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7.</w:t>
      </w:r>
      <w:r>
        <w:tab/>
        <w:t>Jilqa' l-impenn qawwi tal-Aġenzija favur il-prevenzjoni tal-fastidju bl-adozzjoni tal-politika dwar il-protezzjoni tad-dinjità tal-persuna u l-prevenzjoni tal-fastidju psikoloġiku u dak sesswali; jinnota li l-Aġenzija adottat il-linji gwida tad-deċiżjoni mudell rigward l-Iżvelar ta' Informazzjoni Protetta f'Novembru 2018;</w:t>
      </w:r>
    </w:p>
    <w:bookmarkEnd w:id="17"/>
    <w:p w:rsidR="0091424D" w:rsidRPr="008B729C" w:rsidRDefault="0091424D" w:rsidP="00DE4061">
      <w:pPr>
        <w:pStyle w:val="Normal12Hanging"/>
        <w:rPr>
          <w:szCs w:val="24"/>
        </w:rPr>
      </w:pPr>
      <w:r>
        <w:t>8.</w:t>
      </w:r>
      <w:r>
        <w:tab/>
        <w:t>Jinnota li l-Aġenzija pprovdiet lill-Parlament Ewropew ir-riżultati ta' analiżi preliminari dwar l-impatt tal-Brexit, kif mitlub mill-Kummissjoni Ewropea u barra minn hekk waqqfet Task Force intern dwar il-Brexit biex tidentifika kwistjonijiet u timmonitorja l-progress tan-negozjati dwar il-Brexit;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9.</w:t>
      </w:r>
      <w:r>
        <w:tab/>
        <w:t>Jilqa' l-impenn qawwi tal-Aġenzija biex tiżgura li l-ħaddiema kollha jgawdu l-istess drittijiet ta' saħħa u sikurezza fuq il-post tax-xogħol irrispettivament mid-daqs tal-kumpanija, mit-tip ta' kuntratt jew mir-relazzjoni ta' impjieg;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10.</w:t>
      </w:r>
      <w:r>
        <w:tab/>
        <w:t>Jinnota li l-Qorti tal-Awdituri tagħti parir li l-indipendenza tal-uffiċjal tal-kontabilità tissaħħaħ billi jsir direttament responsabbli lejn id-Direttur (amministrattiv) u l-Bord ta' Tmexxija (funzjonali) tal-Aġenzija, għalkemm skont l-Aġenzija, l-uffiċjal tal-kontabilità fil-prattika qed jirrapporta direttament lid-direttur; jirrikonoxxi li, bi tweġiba għal din ir-rakkomandazzjoni mill-Qorti tal-Awdituri, bħalissa l-EU-OSHA qed tħejji deċiżjoni għall-Bord tat-Tmexxija biex testernalizza l-pożizzjoni tal-Uffiċjal tal-Kontabbiltà lid-DĠ BUDG; Jitlob li l-Aġenzija ssaħħaħ l-indipendenza tal-uffiċjal tal-kontabbiltà billi tagħmlu direttament responsabbli lejn id-direttur u lejn il-bord tagħha;</w:t>
      </w:r>
    </w:p>
    <w:p w:rsidR="0091424D" w:rsidRPr="008B729C" w:rsidRDefault="0091424D" w:rsidP="00DE4061">
      <w:pPr>
        <w:pStyle w:val="Normal12Hanging"/>
      </w:pPr>
      <w:r>
        <w:t>11.</w:t>
      </w:r>
      <w:r>
        <w:tab/>
        <w:t>Jitlob li l-Aġenzija tuża r-Regolament Fundatur ġdid tagħha bħala opportunità biex tkompli ssaħħaħ l-indipendenza tal-Uffiċjal tal-Kontabilità;</w:t>
      </w:r>
    </w:p>
    <w:p w:rsidR="0091424D" w:rsidRPr="008B729C" w:rsidRDefault="0091424D" w:rsidP="00DE4061">
      <w:pPr>
        <w:pStyle w:val="Normal12Hanging"/>
        <w:rPr>
          <w:szCs w:val="24"/>
        </w:rPr>
      </w:pPr>
      <w:r>
        <w:t>12.</w:t>
      </w:r>
      <w:r>
        <w:tab/>
        <w:t>Jenfasizza li huwa importanti li jkun hemm kooperazzjoni tajba bejn l-Aġenziji li jaħdmu fil-qasam tal-impjiegi, l-affarijiet soċjali u l-inklużjoni, u b'mod partikolari kooperazzjoni bejn l-Aġenzija, il-Eurofound, is-Cedefop u l-EIGE;</w:t>
      </w:r>
    </w:p>
    <w:p w:rsidR="0091424D" w:rsidRPr="008B729C" w:rsidRDefault="0091424D" w:rsidP="00DE4061">
      <w:pPr>
        <w:pStyle w:val="Normal12Hanging"/>
      </w:pPr>
      <w:r>
        <w:t>13.</w:t>
      </w:r>
      <w:r>
        <w:tab/>
        <w:t>Jirrakkomanda, abbażi tal-fatti disponibbli, li tingħata l-kwittanza lid-Direttur tal-Aġenzija Ewropea għas-Sigurtà u s-Saħħa fuq il-Post tax-Xogħol fir-rigward tal-implimentazzjoni tal-baġit tal-Aġenzija għas-sena finanzjarja 2017.</w:t>
      </w:r>
    </w:p>
    <w:p w:rsidR="0091424D" w:rsidRPr="008B729C" w:rsidRDefault="0091424D" w:rsidP="00DE4061">
      <w:pPr>
        <w:pStyle w:val="PageHeadingNotTOC"/>
      </w:pPr>
      <w:r>
        <w:br w:type="page"/>
      </w:r>
      <w:r>
        <w:lastRenderedPageBreak/>
        <w:t>RIŻULTAT TAL-VOTAZZJONI FINALI</w:t>
      </w:r>
      <w:r>
        <w:br/>
        <w:t>FIL-KUMITAT LI JINTALAB JAGĦTI OPINJONI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91424D" w:rsidRPr="008B729C" w:rsidTr="00A0029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1424D" w:rsidRPr="008B729C" w:rsidTr="00A0029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1424D" w:rsidRPr="008B729C" w:rsidTr="00A00294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Laura Agea, Guillaume Balas, David Casa, Ole Christensen, Michael Detjen, Martina Dlabajová, Lampros Fountoulis, Arne Gericke, Czesław Hoc, Agnes Jongerius, Agnieszka Kozłowska-Rajewicz, Jean Lambert, Jérôme Lavrilleux, Jeroen Lenaers, Verónica Lope Fontagné, Javi López, Thomas Mann, Miroslavs Mitrofanovs, Elisabeth Morin-Chartier, Emilian Pavel, João Pimenta Lopes, Georgi Pirinski, Marek Plura, Dennis Radtke, Terry Reintke, Robert Rochefort, Claude Rolin, Romana Tomc, Yana Toom, Ulrike Trebesius, Marita Ulvskog, Jana Žitňanská</w:t>
            </w:r>
          </w:p>
        </w:tc>
      </w:tr>
      <w:tr w:rsidR="0091424D" w:rsidRPr="008B729C" w:rsidTr="00A00294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Georges Bach, Amjad Bashir, Lynn Boylan, Mircea Diaconu, Eduard Kukan, Christelle Lechevalier, Paloma López Bermejo, António Marinho e Pinto, Alex Mayer, Csaba Sógor, Flavio Zanonato</w:t>
            </w:r>
          </w:p>
        </w:tc>
      </w:tr>
      <w:tr w:rsidR="0091424D" w:rsidRPr="008B729C" w:rsidTr="00A00294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1424D" w:rsidRPr="008B729C" w:rsidRDefault="0091424D" w:rsidP="00A002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Angélique Delahaye, Monika Smolková</w:t>
            </w:r>
          </w:p>
        </w:tc>
      </w:tr>
    </w:tbl>
    <w:p w:rsidR="0091424D" w:rsidRPr="008B729C" w:rsidRDefault="0091424D" w:rsidP="00DE406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1424D" w:rsidRPr="008B729C" w:rsidRDefault="0091424D" w:rsidP="00DE4061"/>
    <w:p w:rsidR="0091424D" w:rsidRPr="008B729C" w:rsidRDefault="0091424D" w:rsidP="00DE4061">
      <w:pPr>
        <w:pStyle w:val="PageHeadingNotTOC"/>
      </w:pPr>
      <w:r>
        <w:br w:type="page"/>
      </w:r>
      <w:r>
        <w:lastRenderedPageBreak/>
        <w:t>VOTAZZJONI FINALI B'SEJĦA TAL-ISMIJIET</w:t>
      </w:r>
      <w:r>
        <w:br/>
        <w:t>FIL-KUMITAT LI JINTALAB JAGĦTI OPINJONI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8B729C" w:rsidTr="00A0029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8B729C" w:rsidRDefault="0091424D" w:rsidP="00A00294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371" w:type="dxa"/>
            <w:shd w:val="pct10" w:color="000000" w:fill="FFFFFF"/>
          </w:tcPr>
          <w:p w:rsidR="0091424D" w:rsidRPr="008B729C" w:rsidRDefault="0091424D" w:rsidP="00A0029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Mircea Diaconu, Martina Dlabajová, António Marinho e Pinto, Robert Rochefort, Yana Toom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Amjad Bashir, Arne Gericke, Czesław Hoc, Ulrike Trebesius, Jana Žitňanská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Lynn Boylan, Paloma López Bermejo, João Pimenta Lopes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Georges Bach, David Casa, Angélique Delahaye, Agnieszka Kozłowska-Rajewicz, Eduard Kukan, Jérôme Lavrilleux, Jeroen Lenaers, Verónica Lope Fontagné, Thomas Mann, Elisabeth Morin-Chartier, Marek Plura, Dennis Radtke, Claude Rolin, Csaba Sógor, Romana Tomc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Guillaume Balas, Ole Christensen, Michael Detjen, Agnes Jongerius, Javi López, Alex Mayer, Emilian Pavel, Georgi Pirinski, Monika Smolková, Marita Ulvskog, Flavio Zanonato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 Lambert, Miroslavs Mitrofanovs, Terry Reintke</w:t>
            </w:r>
          </w:p>
        </w:tc>
      </w:tr>
    </w:tbl>
    <w:p w:rsidR="0091424D" w:rsidRPr="008B729C" w:rsidRDefault="0091424D" w:rsidP="00DE4061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8B729C" w:rsidTr="00A0029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8B729C" w:rsidRDefault="0091424D" w:rsidP="00A00294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:rsidR="0091424D" w:rsidRPr="008B729C" w:rsidRDefault="0091424D" w:rsidP="00A002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Christelle Lechevalier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Lampros Fountoulis</w:t>
            </w:r>
          </w:p>
        </w:tc>
      </w:tr>
    </w:tbl>
    <w:p w:rsidR="0091424D" w:rsidRPr="008B729C" w:rsidRDefault="0091424D" w:rsidP="00DE4061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8B729C" w:rsidTr="00A0029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8B729C" w:rsidRDefault="0091424D" w:rsidP="00A00294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91424D" w:rsidRPr="008B729C" w:rsidRDefault="0091424D" w:rsidP="00A002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91424D" w:rsidRPr="008B729C" w:rsidTr="00A00294">
        <w:trPr>
          <w:cantSplit/>
        </w:trPr>
        <w:tc>
          <w:tcPr>
            <w:tcW w:w="170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91424D" w:rsidRPr="008B729C" w:rsidRDefault="0091424D" w:rsidP="00A002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Laura Agea</w:t>
            </w:r>
          </w:p>
        </w:tc>
      </w:tr>
    </w:tbl>
    <w:p w:rsidR="0091424D" w:rsidRPr="008B729C" w:rsidRDefault="0091424D" w:rsidP="00DE4061">
      <w:pPr>
        <w:pStyle w:val="Normal12"/>
      </w:pPr>
    </w:p>
    <w:p w:rsidR="0091424D" w:rsidRPr="008B729C" w:rsidRDefault="0091424D" w:rsidP="00DE4061">
      <w:r>
        <w:t>It-tifsira tas-simboli:</w:t>
      </w:r>
    </w:p>
    <w:p w:rsidR="0091424D" w:rsidRPr="008B729C" w:rsidRDefault="0091424D" w:rsidP="00DE4061">
      <w:pPr>
        <w:pStyle w:val="NormalTabs"/>
      </w:pPr>
      <w:r>
        <w:t>+</w:t>
      </w:r>
      <w:r>
        <w:tab/>
        <w:t>:</w:t>
      </w:r>
      <w:r>
        <w:tab/>
        <w:t>favur</w:t>
      </w:r>
    </w:p>
    <w:p w:rsidR="0091424D" w:rsidRPr="008B729C" w:rsidRDefault="0091424D" w:rsidP="00DE4061">
      <w:pPr>
        <w:pStyle w:val="NormalTabs"/>
      </w:pPr>
      <w:r>
        <w:t>-</w:t>
      </w:r>
      <w:r>
        <w:tab/>
        <w:t>:</w:t>
      </w:r>
      <w:r>
        <w:tab/>
        <w:t>kontra</w:t>
      </w:r>
    </w:p>
    <w:p w:rsidR="0091424D" w:rsidRPr="008B729C" w:rsidRDefault="0091424D" w:rsidP="00DE4061">
      <w:pPr>
        <w:pStyle w:val="NormalTabs"/>
      </w:pPr>
      <w:r>
        <w:t>0</w:t>
      </w:r>
      <w:r>
        <w:tab/>
        <w:t>:</w:t>
      </w:r>
      <w:r>
        <w:tab/>
        <w:t>astensjoni</w:t>
      </w:r>
    </w:p>
    <w:p w:rsidR="0091424D" w:rsidRPr="008B729C" w:rsidRDefault="0091424D" w:rsidP="00DE4061"/>
    <w:p w:rsidR="0091424D" w:rsidRPr="008B729C" w:rsidRDefault="0091424D" w:rsidP="00DE4061"/>
    <w:p w:rsidR="0091424D" w:rsidRPr="008B729C" w:rsidRDefault="0091424D" w:rsidP="00DE4061">
      <w:pPr>
        <w:pStyle w:val="RefProc"/>
      </w:pPr>
    </w:p>
    <w:p w:rsidR="0091424D" w:rsidRDefault="0091424D" w:rsidP="0091424D">
      <w:pPr>
        <w:sectPr w:rsidR="0091424D" w:rsidSect="0091424D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docGrid w:linePitch="326"/>
        </w:sectPr>
      </w:pPr>
    </w:p>
    <w:p w:rsidR="00E951C8" w:rsidRDefault="00E951C8" w:rsidP="00E951C8">
      <w:pPr>
        <w:pStyle w:val="PageHeading"/>
      </w:pPr>
      <w:bookmarkStart w:id="18" w:name="ProcPageRR"/>
      <w:bookmarkStart w:id="19" w:name="_Toc3906599"/>
      <w:r>
        <w:lastRenderedPageBreak/>
        <w:t>INFORMAZZJONI DWAR L-ADOZZJONI</w:t>
      </w:r>
      <w:r>
        <w:br/>
        <w:t>FIL-KUMITAT RESPONSABBLI</w:t>
      </w:r>
      <w:bookmarkEnd w:id="19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E951C8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E951C8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951C8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Inés Ayala Sender, Zigmantas Balčytis, Dennis de Jong, Tamás Deutsch, Martina Dlabajová, Ingeborg Gräßle, Jean-François Jalkh, Wolf Klinz, Monica Macovei, Georgi Pirinski, José Ignacio Salafranca Sánchez-Neyra, Petri Sarvamaa, Claudia Schmidt, Bart Staes, Marco Valli, Derek Vaughan, Tomáš Zdechovský, Joachim Zeller</w:t>
            </w:r>
          </w:p>
        </w:tc>
      </w:tr>
      <w:tr w:rsidR="00E951C8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Karin Kadenbach</w:t>
            </w:r>
          </w:p>
        </w:tc>
      </w:tr>
      <w:tr w:rsidR="00E951C8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951C8" w:rsidRDefault="00E951C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Petra Kammerevert</w:t>
            </w:r>
          </w:p>
        </w:tc>
      </w:tr>
    </w:tbl>
    <w:p w:rsidR="00E951C8" w:rsidRDefault="00E951C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18"/>
    <w:p w:rsidR="0091424D" w:rsidRPr="007F4AA8" w:rsidRDefault="0091424D" w:rsidP="0091424D">
      <w:pPr>
        <w:pStyle w:val="PageHeading"/>
      </w:pPr>
      <w:r>
        <w:br w:type="page"/>
      </w:r>
      <w:bookmarkStart w:id="20" w:name="_Toc2334023"/>
      <w:bookmarkStart w:id="21" w:name="RollCallPageRR"/>
      <w:bookmarkStart w:id="22" w:name="_Toc3906600"/>
      <w:r>
        <w:lastRenderedPageBreak/>
        <w:t>VOTAZZJONI FINALI B'SEJĦA TAL-ISMIJIET</w:t>
      </w:r>
      <w:r>
        <w:br/>
        <w:t>FIL-KUMITAT RESPONSABBLI</w:t>
      </w:r>
      <w:bookmarkEnd w:id="20"/>
      <w:bookmarkEnd w:id="2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7F4AA8" w:rsidTr="002D2B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7F4AA8" w:rsidRDefault="0091424D" w:rsidP="002D2B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371" w:type="dxa"/>
            <w:shd w:val="pct10" w:color="000000" w:fill="FFFFFF"/>
          </w:tcPr>
          <w:p w:rsidR="0091424D" w:rsidRPr="007F4AA8" w:rsidRDefault="0091424D" w:rsidP="002D2BB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Martina Dlabajová, Wolf Klinz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Monica Macovei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Dennis de Jong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Tamás Deutsch, Ingeborg Gräßle, José Ignacio Salafranca Sánchez-Neyra, Petri Sarvamaa, Claudia Schmidt, Tomáš Zdechovský, Joachim Zeller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Inés Ayala Sender, Zigmantas Balčytis, Karin Kadenbach, Petra Kammerevert, Georgi Pirinski, Derek Vaughan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Bart Staes</w:t>
            </w:r>
          </w:p>
        </w:tc>
      </w:tr>
    </w:tbl>
    <w:p w:rsidR="0091424D" w:rsidRPr="007F4AA8" w:rsidRDefault="0091424D" w:rsidP="0091424D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7F4AA8" w:rsidTr="002D2B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7F4AA8" w:rsidRDefault="0091424D" w:rsidP="002D2B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91424D" w:rsidRPr="007F4AA8" w:rsidRDefault="0091424D" w:rsidP="002D2B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Jean-François Jalkh</w:t>
            </w:r>
          </w:p>
        </w:tc>
      </w:tr>
    </w:tbl>
    <w:p w:rsidR="0091424D" w:rsidRPr="007F4AA8" w:rsidRDefault="0091424D" w:rsidP="0091424D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1424D" w:rsidRPr="007F4AA8" w:rsidTr="002D2B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1424D" w:rsidRPr="007F4AA8" w:rsidRDefault="0091424D" w:rsidP="002D2B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91424D" w:rsidRPr="007F4AA8" w:rsidRDefault="0091424D" w:rsidP="002D2B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91424D" w:rsidRPr="007F4AA8" w:rsidTr="002D2BB3">
        <w:trPr>
          <w:cantSplit/>
        </w:trPr>
        <w:tc>
          <w:tcPr>
            <w:tcW w:w="170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91424D" w:rsidRPr="007F4AA8" w:rsidRDefault="0091424D" w:rsidP="002D2B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Marco Valli</w:t>
            </w:r>
          </w:p>
        </w:tc>
      </w:tr>
    </w:tbl>
    <w:p w:rsidR="0091424D" w:rsidRPr="007F4AA8" w:rsidRDefault="0091424D" w:rsidP="0091424D">
      <w:pPr>
        <w:pStyle w:val="Normal12"/>
      </w:pPr>
    </w:p>
    <w:p w:rsidR="0091424D" w:rsidRPr="007F4AA8" w:rsidRDefault="0091424D" w:rsidP="0091424D">
      <w:r>
        <w:t>It-tif</w:t>
      </w:r>
      <w:bookmarkStart w:id="23" w:name="_GoBack"/>
      <w:bookmarkEnd w:id="23"/>
      <w:r>
        <w:t>sira tas-simboli</w:t>
      </w:r>
      <w:r w:rsidR="00BB3E27">
        <w:t xml:space="preserve"> użati</w:t>
      </w:r>
      <w:r>
        <w:t>:</w:t>
      </w:r>
    </w:p>
    <w:p w:rsidR="0091424D" w:rsidRPr="007F4AA8" w:rsidRDefault="0091424D" w:rsidP="0091424D">
      <w:pPr>
        <w:pStyle w:val="NormalTabs"/>
      </w:pPr>
      <w:r>
        <w:t>+</w:t>
      </w:r>
      <w:r>
        <w:tab/>
        <w:t>:</w:t>
      </w:r>
      <w:r>
        <w:tab/>
        <w:t>favur</w:t>
      </w:r>
    </w:p>
    <w:p w:rsidR="0091424D" w:rsidRPr="007F4AA8" w:rsidRDefault="0091424D" w:rsidP="0091424D">
      <w:pPr>
        <w:pStyle w:val="NormalTabs"/>
      </w:pPr>
      <w:r>
        <w:t>-</w:t>
      </w:r>
      <w:r>
        <w:tab/>
        <w:t>:</w:t>
      </w:r>
      <w:r>
        <w:tab/>
        <w:t>kontra</w:t>
      </w:r>
    </w:p>
    <w:p w:rsidR="0091424D" w:rsidRPr="007F4AA8" w:rsidRDefault="0091424D" w:rsidP="0091424D">
      <w:pPr>
        <w:pStyle w:val="NormalTabs"/>
      </w:pPr>
      <w:r>
        <w:t>0</w:t>
      </w:r>
      <w:r>
        <w:tab/>
        <w:t>:</w:t>
      </w:r>
      <w:r>
        <w:tab/>
        <w:t>astensjoni</w:t>
      </w:r>
    </w:p>
    <w:p w:rsidR="0091424D" w:rsidRPr="007F4AA8" w:rsidRDefault="0091424D" w:rsidP="0091424D"/>
    <w:bookmarkEnd w:id="21"/>
    <w:p w:rsidR="0091424D" w:rsidRPr="007F4AA8" w:rsidRDefault="0091424D" w:rsidP="0091424D"/>
    <w:p w:rsidR="00841D8C" w:rsidRPr="00E951C8" w:rsidRDefault="00841D8C" w:rsidP="00E951C8"/>
    <w:sectPr w:rsidR="00841D8C" w:rsidRPr="00E951C8" w:rsidSect="0091424D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82" w:rsidRPr="00CB4482" w:rsidRDefault="00CB4482">
      <w:r w:rsidRPr="00CB4482">
        <w:separator/>
      </w:r>
    </w:p>
  </w:endnote>
  <w:endnote w:type="continuationSeparator" w:id="0">
    <w:p w:rsidR="00CB4482" w:rsidRPr="00CB4482" w:rsidRDefault="00CB4482">
      <w:r w:rsidRPr="00CB44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8" w:rsidRDefault="00E951C8" w:rsidP="00E951C8">
    <w:pPr>
      <w:pStyle w:val="Footer"/>
    </w:pPr>
    <w:r>
      <w:t>PE</w:t>
    </w:r>
    <w:r w:rsidRPr="00E951C8">
      <w:rPr>
        <w:rStyle w:val="HideTWBExt"/>
      </w:rPr>
      <w:t>&lt;NoPE&gt;</w:t>
    </w:r>
    <w:r>
      <w:t>626.807</w:t>
    </w:r>
    <w:r w:rsidRPr="00E951C8">
      <w:rPr>
        <w:rStyle w:val="HideTWBExt"/>
      </w:rPr>
      <w:t>&lt;/NoPE&gt;&lt;Version&gt;</w:t>
    </w:r>
    <w:r>
      <w:t>v02-00</w:t>
    </w:r>
    <w:r w:rsidRPr="00E951C8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B3E27">
      <w:rPr>
        <w:noProof/>
      </w:rPr>
      <w:t>16</w:t>
    </w:r>
    <w:r>
      <w:fldChar w:fldCharType="end"/>
    </w:r>
    <w:r>
      <w:t>/</w:t>
    </w:r>
    <w:r w:rsidR="00A31F41">
      <w:rPr>
        <w:noProof/>
      </w:rPr>
      <w:fldChar w:fldCharType="begin"/>
    </w:r>
    <w:r w:rsidR="00A31F41">
      <w:rPr>
        <w:noProof/>
      </w:rPr>
      <w:instrText xml:space="preserve"> NUMPAGES  \* MERGEFORMAT </w:instrText>
    </w:r>
    <w:r w:rsidR="00A31F41">
      <w:rPr>
        <w:noProof/>
      </w:rPr>
      <w:fldChar w:fldCharType="separate"/>
    </w:r>
    <w:r w:rsidR="00BB3E27">
      <w:rPr>
        <w:noProof/>
      </w:rPr>
      <w:t>17</w:t>
    </w:r>
    <w:r w:rsidR="00A31F41">
      <w:rPr>
        <w:noProof/>
      </w:rPr>
      <w:fldChar w:fldCharType="end"/>
    </w:r>
    <w:r>
      <w:tab/>
    </w:r>
    <w:r w:rsidRPr="00E951C8">
      <w:rPr>
        <w:rStyle w:val="HideTWBExt"/>
      </w:rPr>
      <w:t>&lt;PathFdR&gt;</w:t>
    </w:r>
    <w:r>
      <w:t>RR\1178389MT.docx</w:t>
    </w:r>
    <w:r w:rsidRPr="00E951C8">
      <w:rPr>
        <w:rStyle w:val="HideTWBExt"/>
      </w:rPr>
      <w:t>&lt;/PathFdR&gt;</w:t>
    </w:r>
  </w:p>
  <w:p w:rsidR="00390068" w:rsidRPr="00CB4482" w:rsidRDefault="00E951C8" w:rsidP="00E951C8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8" w:rsidRDefault="00E951C8" w:rsidP="00E951C8">
    <w:pPr>
      <w:pStyle w:val="Footer"/>
    </w:pPr>
    <w:r w:rsidRPr="00E951C8">
      <w:rPr>
        <w:rStyle w:val="HideTWBExt"/>
      </w:rPr>
      <w:t>&lt;PathFdR&gt;</w:t>
    </w:r>
    <w:r>
      <w:t>RR\1178389MT.docx</w:t>
    </w:r>
    <w:r w:rsidRPr="00E951C8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B3E27">
      <w:rPr>
        <w:noProof/>
      </w:rPr>
      <w:t>17</w:t>
    </w:r>
    <w:r>
      <w:fldChar w:fldCharType="end"/>
    </w:r>
    <w:r>
      <w:t>/</w:t>
    </w:r>
    <w:r w:rsidR="00A31F41">
      <w:rPr>
        <w:noProof/>
      </w:rPr>
      <w:fldChar w:fldCharType="begin"/>
    </w:r>
    <w:r w:rsidR="00A31F41">
      <w:rPr>
        <w:noProof/>
      </w:rPr>
      <w:instrText xml:space="preserve"> NUMPAGES  \* MERGEFORMAT </w:instrText>
    </w:r>
    <w:r w:rsidR="00A31F41">
      <w:rPr>
        <w:noProof/>
      </w:rPr>
      <w:fldChar w:fldCharType="separate"/>
    </w:r>
    <w:r w:rsidR="00BB3E27">
      <w:rPr>
        <w:noProof/>
      </w:rPr>
      <w:t>17</w:t>
    </w:r>
    <w:r w:rsidR="00A31F41">
      <w:rPr>
        <w:noProof/>
      </w:rPr>
      <w:fldChar w:fldCharType="end"/>
    </w:r>
    <w:r>
      <w:tab/>
      <w:t>PE</w:t>
    </w:r>
    <w:r w:rsidRPr="00E951C8">
      <w:rPr>
        <w:rStyle w:val="HideTWBExt"/>
      </w:rPr>
      <w:t>&lt;NoPE&gt;</w:t>
    </w:r>
    <w:r>
      <w:t>626.807</w:t>
    </w:r>
    <w:r w:rsidRPr="00E951C8">
      <w:rPr>
        <w:rStyle w:val="HideTWBExt"/>
      </w:rPr>
      <w:t>&lt;/NoPE&gt;&lt;Version&gt;</w:t>
    </w:r>
    <w:r>
      <w:t>v02-00</w:t>
    </w:r>
    <w:r w:rsidRPr="00E951C8">
      <w:rPr>
        <w:rStyle w:val="HideTWBExt"/>
      </w:rPr>
      <w:t>&lt;/Version&gt;</w:t>
    </w:r>
  </w:p>
  <w:p w:rsidR="00390068" w:rsidRPr="00CB4482" w:rsidRDefault="00E951C8" w:rsidP="00E951C8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8" w:rsidRDefault="00E951C8" w:rsidP="00E951C8">
    <w:pPr>
      <w:pStyle w:val="Footer"/>
    </w:pPr>
    <w:r w:rsidRPr="00E951C8">
      <w:rPr>
        <w:rStyle w:val="HideTWBExt"/>
      </w:rPr>
      <w:t>&lt;PathFdR&gt;</w:t>
    </w:r>
    <w:r>
      <w:t>RR\1178389MT.docx</w:t>
    </w:r>
    <w:r w:rsidRPr="00E951C8">
      <w:rPr>
        <w:rStyle w:val="HideTWBExt"/>
      </w:rPr>
      <w:t>&lt;/PathFdR&gt;</w:t>
    </w:r>
    <w:r>
      <w:tab/>
    </w:r>
    <w:r>
      <w:tab/>
      <w:t>PE</w:t>
    </w:r>
    <w:r w:rsidRPr="00E951C8">
      <w:rPr>
        <w:rStyle w:val="HideTWBExt"/>
      </w:rPr>
      <w:t>&lt;NoPE&gt;</w:t>
    </w:r>
    <w:r>
      <w:t>626.807</w:t>
    </w:r>
    <w:r w:rsidRPr="00E951C8">
      <w:rPr>
        <w:rStyle w:val="HideTWBExt"/>
      </w:rPr>
      <w:t>&lt;/NoPE&gt;&lt;Version&gt;</w:t>
    </w:r>
    <w:r>
      <w:t>v02-00</w:t>
    </w:r>
    <w:r w:rsidRPr="00E951C8">
      <w:rPr>
        <w:rStyle w:val="HideTWBExt"/>
      </w:rPr>
      <w:t>&lt;/Version&gt;</w:t>
    </w:r>
  </w:p>
  <w:p w:rsidR="00390068" w:rsidRPr="00CB4482" w:rsidRDefault="00E951C8" w:rsidP="00E951C8">
    <w:pPr>
      <w:pStyle w:val="Footer2"/>
      <w:tabs>
        <w:tab w:val="center" w:pos="4535"/>
      </w:tabs>
    </w:pPr>
    <w:r>
      <w:t>MT</w:t>
    </w:r>
    <w:r>
      <w:tab/>
    </w:r>
    <w:r w:rsidRPr="00E951C8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82" w:rsidRPr="00CB4482" w:rsidRDefault="00CB4482">
      <w:r w:rsidRPr="00CB4482">
        <w:separator/>
      </w:r>
    </w:p>
  </w:footnote>
  <w:footnote w:type="continuationSeparator" w:id="0">
    <w:p w:rsidR="00CB4482" w:rsidRPr="00CB4482" w:rsidRDefault="00CB4482">
      <w:r w:rsidRPr="00CB4482">
        <w:continuationSeparator/>
      </w:r>
    </w:p>
  </w:footnote>
  <w:footnote w:id="1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 C 434, 30.11.2018, p. 90.</w:t>
      </w:r>
    </w:p>
  </w:footnote>
  <w:footnote w:id="2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 C 434, 30.11.2018, p. 90.</w:t>
      </w:r>
    </w:p>
  </w:footnote>
  <w:footnote w:id="3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298, 26.10.2012, p. 1.</w:t>
      </w:r>
    </w:p>
  </w:footnote>
  <w:footnote w:id="4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>ĠU L 193, 30.7.2018, p. 1.</w:t>
      </w:r>
    </w:p>
  </w:footnote>
  <w:footnote w:id="5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216, 20.8.1994, p. 1.</w:t>
      </w:r>
    </w:p>
  </w:footnote>
  <w:footnote w:id="6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328, 7.12.2013, p. 42.</w:t>
      </w:r>
    </w:p>
  </w:footnote>
  <w:footnote w:id="7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 C 434, 30.11.2018, p. 90.</w:t>
      </w:r>
    </w:p>
  </w:footnote>
  <w:footnote w:id="8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 C 434, 30.11.2018, p. 90.</w:t>
      </w:r>
    </w:p>
  </w:footnote>
  <w:footnote w:id="9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298, 26.10.2012, p. 1.</w:t>
      </w:r>
    </w:p>
  </w:footnote>
  <w:footnote w:id="10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193, 30.7.2018, p. 1.</w:t>
      </w:r>
    </w:p>
  </w:footnote>
  <w:footnote w:id="11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216, 20.8.1994, p. 1.</w:t>
      </w:r>
    </w:p>
  </w:footnote>
  <w:footnote w:id="12">
    <w:p w:rsidR="0091424D" w:rsidRPr="000A5DE8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L 328, 7.12.2013, p. 42.</w:t>
      </w:r>
    </w:p>
  </w:footnote>
  <w:footnote w:id="13">
    <w:p w:rsidR="0091424D" w:rsidRPr="00176C2D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ĠU C 248/01, 29.07.2017, p. 3</w:t>
      </w:r>
    </w:p>
  </w:footnote>
  <w:footnote w:id="14">
    <w:p w:rsidR="0091424D" w:rsidRPr="00176C2D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Deċiżjoni tal-KE C(2018) 1362 tas-27.02.2018</w:t>
      </w:r>
    </w:p>
  </w:footnote>
  <w:footnote w:id="15">
    <w:p w:rsidR="0091424D" w:rsidRPr="00176C2D" w:rsidRDefault="0091424D" w:rsidP="0091424D">
      <w:pPr>
        <w:pStyle w:val="FootnoteText"/>
      </w:pPr>
      <w:r>
        <w:rPr>
          <w:rStyle w:val="FootnoteReference"/>
        </w:rPr>
        <w:footnoteRef/>
      </w:r>
      <w:r>
        <w:t xml:space="preserve"> Testi adottati, P8_TA(2019)0000.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B7" w:rsidRDefault="00EA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B7" w:rsidRDefault="00EA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B7" w:rsidRDefault="00EA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1318"/>
    <w:multiLevelType w:val="hybridMultilevel"/>
    <w:tmpl w:val="143224D2"/>
    <w:lvl w:ilvl="0" w:tplc="E3C6CA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7A28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1C6B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0C55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D85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068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1C3C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E416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EE6D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D6E49"/>
    <w:multiLevelType w:val="hybridMultilevel"/>
    <w:tmpl w:val="78B8CEFC"/>
    <w:lvl w:ilvl="0" w:tplc="278E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C3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06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4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60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87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43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47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CONV"/>
    <w:docVar w:name="strSubDir" w:val="1178"/>
    <w:docVar w:name="TXTLANGUE" w:val="MT"/>
    <w:docVar w:name="TXTLANGUEMIN" w:val="mt"/>
    <w:docVar w:name="TXTNRDEC" w:val="2018/2183"/>
    <w:docVar w:name="TXTNRPE" w:val="626.807"/>
    <w:docVar w:name="TXTPEorAP" w:val="PE"/>
    <w:docVar w:name="TXTROUTE" w:val="RR\1178389MT.docx"/>
    <w:docVar w:name="TXTVERSION" w:val="02-00"/>
  </w:docVars>
  <w:rsids>
    <w:rsidRoot w:val="00CB4482"/>
    <w:rsid w:val="00002C51"/>
    <w:rsid w:val="00090E0B"/>
    <w:rsid w:val="000A05D5"/>
    <w:rsid w:val="000B47E5"/>
    <w:rsid w:val="00104CB9"/>
    <w:rsid w:val="00116CB4"/>
    <w:rsid w:val="00150EC1"/>
    <w:rsid w:val="0017746B"/>
    <w:rsid w:val="001B4494"/>
    <w:rsid w:val="001E1032"/>
    <w:rsid w:val="00202D84"/>
    <w:rsid w:val="00253648"/>
    <w:rsid w:val="00256BE3"/>
    <w:rsid w:val="00276092"/>
    <w:rsid w:val="002D6EA9"/>
    <w:rsid w:val="0031254A"/>
    <w:rsid w:val="00381864"/>
    <w:rsid w:val="00390068"/>
    <w:rsid w:val="003947EF"/>
    <w:rsid w:val="003D353C"/>
    <w:rsid w:val="003E25A9"/>
    <w:rsid w:val="003E735B"/>
    <w:rsid w:val="003F0E64"/>
    <w:rsid w:val="00413713"/>
    <w:rsid w:val="004651E1"/>
    <w:rsid w:val="004A34BF"/>
    <w:rsid w:val="004A480C"/>
    <w:rsid w:val="004C6C3F"/>
    <w:rsid w:val="004D13BA"/>
    <w:rsid w:val="00550E6B"/>
    <w:rsid w:val="00564DB0"/>
    <w:rsid w:val="005A3D7F"/>
    <w:rsid w:val="005A6CAE"/>
    <w:rsid w:val="005B2950"/>
    <w:rsid w:val="005C689E"/>
    <w:rsid w:val="005D3E9F"/>
    <w:rsid w:val="005E7E89"/>
    <w:rsid w:val="0063324A"/>
    <w:rsid w:val="00643EBE"/>
    <w:rsid w:val="0066045F"/>
    <w:rsid w:val="00674EC8"/>
    <w:rsid w:val="006835EB"/>
    <w:rsid w:val="006B0ED0"/>
    <w:rsid w:val="006D37D7"/>
    <w:rsid w:val="006D5743"/>
    <w:rsid w:val="0074734C"/>
    <w:rsid w:val="007A4AC9"/>
    <w:rsid w:val="007C3B7E"/>
    <w:rsid w:val="007D1E61"/>
    <w:rsid w:val="007E2834"/>
    <w:rsid w:val="0080618B"/>
    <w:rsid w:val="0081446A"/>
    <w:rsid w:val="00841D8C"/>
    <w:rsid w:val="00895F7F"/>
    <w:rsid w:val="008A23A3"/>
    <w:rsid w:val="008D2063"/>
    <w:rsid w:val="0091424D"/>
    <w:rsid w:val="00916826"/>
    <w:rsid w:val="0092727F"/>
    <w:rsid w:val="00947D32"/>
    <w:rsid w:val="009807D1"/>
    <w:rsid w:val="00996FB3"/>
    <w:rsid w:val="009A1AE4"/>
    <w:rsid w:val="009B566F"/>
    <w:rsid w:val="00A273FA"/>
    <w:rsid w:val="00A31F41"/>
    <w:rsid w:val="00A35902"/>
    <w:rsid w:val="00A84FF1"/>
    <w:rsid w:val="00A95064"/>
    <w:rsid w:val="00AB4789"/>
    <w:rsid w:val="00AD2ECC"/>
    <w:rsid w:val="00B4271A"/>
    <w:rsid w:val="00B54D06"/>
    <w:rsid w:val="00B553CB"/>
    <w:rsid w:val="00B6540D"/>
    <w:rsid w:val="00B75AA6"/>
    <w:rsid w:val="00B844BC"/>
    <w:rsid w:val="00BA46FB"/>
    <w:rsid w:val="00BB09B0"/>
    <w:rsid w:val="00BB3E27"/>
    <w:rsid w:val="00BD13C4"/>
    <w:rsid w:val="00BE0DC4"/>
    <w:rsid w:val="00BF0771"/>
    <w:rsid w:val="00C0769E"/>
    <w:rsid w:val="00C1531C"/>
    <w:rsid w:val="00C46F6A"/>
    <w:rsid w:val="00C56953"/>
    <w:rsid w:val="00C607B5"/>
    <w:rsid w:val="00C63401"/>
    <w:rsid w:val="00CB4482"/>
    <w:rsid w:val="00CB6B29"/>
    <w:rsid w:val="00CF07EC"/>
    <w:rsid w:val="00D05CBA"/>
    <w:rsid w:val="00D46466"/>
    <w:rsid w:val="00D47FCF"/>
    <w:rsid w:val="00D74CC3"/>
    <w:rsid w:val="00DF7BA5"/>
    <w:rsid w:val="00E03F8F"/>
    <w:rsid w:val="00E44A07"/>
    <w:rsid w:val="00E50576"/>
    <w:rsid w:val="00E8604D"/>
    <w:rsid w:val="00E951C8"/>
    <w:rsid w:val="00EA1BB7"/>
    <w:rsid w:val="00EB31C4"/>
    <w:rsid w:val="00F02E0E"/>
    <w:rsid w:val="00F0381D"/>
    <w:rsid w:val="00F21C7F"/>
    <w:rsid w:val="00F631C6"/>
    <w:rsid w:val="00F71101"/>
    <w:rsid w:val="00F9531F"/>
    <w:rsid w:val="00FD18F9"/>
    <w:rsid w:val="00FD55B5"/>
    <w:rsid w:val="00FE62F7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6D83A"/>
  <w15:chartTrackingRefBased/>
  <w15:docId w15:val="{0BD27FB9-D46A-45FA-8B47-0CCE86B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D4646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E44A07"/>
    <w:pPr>
      <w:tabs>
        <w:tab w:val="left" w:pos="567"/>
      </w:tabs>
    </w:pPr>
  </w:style>
  <w:style w:type="paragraph" w:customStyle="1" w:styleId="RefProc">
    <w:name w:val="RefProc"/>
    <w:basedOn w:val="Normal"/>
    <w:rsid w:val="007D1E61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ver24Tab">
    <w:name w:val="Cover24Tab"/>
    <w:basedOn w:val="Normal24"/>
    <w:pPr>
      <w:tabs>
        <w:tab w:val="left" w:pos="3686"/>
        <w:tab w:val="left" w:pos="3969"/>
      </w:tabs>
      <w:ind w:left="1418"/>
    </w:pPr>
    <w:rPr>
      <w:snapToGrid w:val="0"/>
      <w:lang w:eastAsia="en-US"/>
    </w:rPr>
  </w:style>
  <w:style w:type="paragraph" w:customStyle="1" w:styleId="Normal12a12bHanging">
    <w:name w:val="Normal12a12bHanging"/>
    <w:basedOn w:val="Normal12a12b"/>
    <w:rsid w:val="00FF5D7C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3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39006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390068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390068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4646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46466"/>
    <w:pPr>
      <w:jc w:val="right"/>
    </w:pPr>
  </w:style>
  <w:style w:type="paragraph" w:styleId="FootnoteText">
    <w:name w:val="footnote text"/>
    <w:basedOn w:val="Normal"/>
    <w:link w:val="FootnoteTextChar"/>
    <w:rsid w:val="00EA1BB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1BB7"/>
  </w:style>
  <w:style w:type="character" w:styleId="FootnoteReference">
    <w:name w:val="footnote reference"/>
    <w:aliases w:val="Footnote Text Char1"/>
    <w:basedOn w:val="DefaultParagraphFont"/>
    <w:rsid w:val="00EA1BB7"/>
    <w:rPr>
      <w:vertAlign w:val="superscript"/>
    </w:rPr>
  </w:style>
  <w:style w:type="paragraph" w:customStyle="1" w:styleId="PageHeadingNotTOC">
    <w:name w:val="PageHeadingNotTOC"/>
    <w:basedOn w:val="Normal12a12b"/>
    <w:rsid w:val="0091424D"/>
    <w:pPr>
      <w:keepNext/>
      <w:jc w:val="center"/>
    </w:pPr>
    <w:rPr>
      <w:rFonts w:ascii="Arial" w:hAnsi="Arial"/>
      <w:b/>
    </w:rPr>
  </w:style>
  <w:style w:type="paragraph" w:customStyle="1" w:styleId="NormalTabs">
    <w:name w:val="NormalTabs"/>
    <w:basedOn w:val="Normal"/>
    <w:qFormat/>
    <w:rsid w:val="0091424D"/>
    <w:pPr>
      <w:tabs>
        <w:tab w:val="center" w:pos="284"/>
        <w:tab w:val="left" w:pos="426"/>
      </w:tabs>
    </w:pPr>
    <w:rPr>
      <w:snapToGrid w:val="0"/>
      <w:lang w:eastAsia="en-US"/>
    </w:rPr>
  </w:style>
  <w:style w:type="character" w:customStyle="1" w:styleId="Normal12HangingChar">
    <w:name w:val="Normal12Hanging Char"/>
    <w:link w:val="Normal12Hanging"/>
    <w:locked/>
    <w:rsid w:val="009142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CAMIL~1\AppData\Local\Temp\PR_DEC_Agenc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5F95-701C-46BA-8ACD-C2B2A997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PR_DEC_Agencies.dot</Template>
  <TotalTime>0</TotalTime>
  <Pages>17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PR_Dec_Agencies</vt:lpstr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PR_Dec_Agencies</dc:title>
  <dc:subject/>
  <dc:creator>CAMILLERI Frances Ann</dc:creator>
  <cp:keywords/>
  <dc:description/>
  <cp:lastModifiedBy>CINI Fabian</cp:lastModifiedBy>
  <cp:revision>2</cp:revision>
  <cp:lastPrinted>2004-12-08T15:27:00Z</cp:lastPrinted>
  <dcterms:created xsi:type="dcterms:W3CDTF">2019-03-19T15:49:00Z</dcterms:created>
  <dcterms:modified xsi:type="dcterms:W3CDTF">2019-03-19T15:49:00Z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1178389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\\eiciLUXpr1\pdocep$\DocEP\DOCS\General\PR\PR_BUD\DEC\PR_DEC_Agencies.dot(07/11/2018 19:42:54)</vt:lpwstr>
  </property>
  <property fmtid="{D5CDD505-2E9C-101B-9397-08002B2CF9AE}" pid="7" name="&lt;ModelTra&gt;">
    <vt:lpwstr>\\eiciLUXpr1\pdocep$\DocEP\TRANSFIL\MT\PR_DEC_Agencies.MT(07/11/2018 19:41:49)</vt:lpwstr>
  </property>
  <property fmtid="{D5CDD505-2E9C-101B-9397-08002B2CF9AE}" pid="8" name="&lt;Model&gt;">
    <vt:lpwstr>PR_DEC_Agencies</vt:lpwstr>
  </property>
  <property fmtid="{D5CDD505-2E9C-101B-9397-08002B2CF9AE}" pid="9" name="FooterPath">
    <vt:lpwstr>RR\1178389MT.docx</vt:lpwstr>
  </property>
  <property fmtid="{D5CDD505-2E9C-101B-9397-08002B2CF9AE}" pid="10" name="PE number">
    <vt:lpwstr>626.807</vt:lpwstr>
  </property>
  <property fmtid="{D5CDD505-2E9C-101B-9397-08002B2CF9AE}" pid="11" name="Bookout">
    <vt:lpwstr>OK - 2019/03/19 16:49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