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260AAB" w14:paraId="0A7BF33B" w14:textId="77777777" w:rsidTr="00947D32">
        <w:trPr>
          <w:trHeight w:hRule="exact" w:val="1418"/>
        </w:trPr>
        <w:tc>
          <w:tcPr>
            <w:tcW w:w="6804" w:type="dxa"/>
            <w:shd w:val="clear" w:color="auto" w:fill="auto"/>
            <w:vAlign w:val="center"/>
          </w:tcPr>
          <w:p w14:paraId="62E99A11" w14:textId="77777777" w:rsidR="00D46466" w:rsidRPr="00260AAB" w:rsidRDefault="005E7355" w:rsidP="00947D32">
            <w:pPr>
              <w:pStyle w:val="EPName"/>
            </w:pPr>
            <w:r w:rsidRPr="00260AAB">
              <w:t>Europa-Parlamentet</w:t>
            </w:r>
          </w:p>
          <w:p w14:paraId="36C86A60" w14:textId="77777777" w:rsidR="00D46466" w:rsidRPr="00260AAB" w:rsidRDefault="009C06AB" w:rsidP="009C06AB">
            <w:pPr>
              <w:pStyle w:val="EPTerm"/>
              <w:rPr>
                <w:rStyle w:val="HideTWBExt"/>
                <w:noProof w:val="0"/>
                <w:vanish w:val="0"/>
                <w:color w:val="auto"/>
              </w:rPr>
            </w:pPr>
            <w:r w:rsidRPr="00260AAB">
              <w:t>2014-2019</w:t>
            </w:r>
          </w:p>
        </w:tc>
        <w:tc>
          <w:tcPr>
            <w:tcW w:w="2268" w:type="dxa"/>
            <w:shd w:val="clear" w:color="auto" w:fill="auto"/>
          </w:tcPr>
          <w:p w14:paraId="41A5A371" w14:textId="77777777" w:rsidR="00D46466" w:rsidRPr="00260AAB" w:rsidRDefault="00335B47" w:rsidP="00947D32">
            <w:pPr>
              <w:pStyle w:val="EPLogo"/>
            </w:pPr>
            <w:r w:rsidRPr="00260AAB">
              <w:drawing>
                <wp:inline distT="0" distB="0" distL="0" distR="0" wp14:anchorId="63B7CC57" wp14:editId="1D270AD6">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502ED55B" w14:textId="77777777" w:rsidR="00390068" w:rsidRPr="00260AAB" w:rsidRDefault="00390068" w:rsidP="00390068">
      <w:pPr>
        <w:pStyle w:val="LineTop"/>
      </w:pPr>
    </w:p>
    <w:p w14:paraId="2FBBE35E" w14:textId="554222F1" w:rsidR="00390068" w:rsidRPr="00260AAB" w:rsidRDefault="003F04D8" w:rsidP="00390068">
      <w:pPr>
        <w:pStyle w:val="ZCommittee"/>
      </w:pPr>
      <w:r w:rsidRPr="00260AAB">
        <w:t>Mødedokument</w:t>
      </w:r>
    </w:p>
    <w:p w14:paraId="560E68C9" w14:textId="77777777" w:rsidR="00390068" w:rsidRPr="00260AAB" w:rsidRDefault="00390068" w:rsidP="00390068">
      <w:pPr>
        <w:pStyle w:val="LineBottom"/>
      </w:pPr>
    </w:p>
    <w:p w14:paraId="01D6C67B" w14:textId="78170557" w:rsidR="00C1531C" w:rsidRPr="00260AAB" w:rsidRDefault="003F04D8">
      <w:pPr>
        <w:pStyle w:val="RefProc"/>
      </w:pPr>
      <w:r w:rsidRPr="00260AAB">
        <w:rPr>
          <w:rStyle w:val="HideTWBExt"/>
          <w:noProof w:val="0"/>
        </w:rPr>
        <w:t>&lt;NoDocSe&gt;</w:t>
      </w:r>
      <w:r w:rsidRPr="00260AAB">
        <w:t>A8-0139/2019</w:t>
      </w:r>
      <w:r w:rsidRPr="00260AAB">
        <w:rPr>
          <w:rStyle w:val="HideTWBExt"/>
          <w:noProof w:val="0"/>
        </w:rPr>
        <w:t>&lt;/NoDocSe&gt;</w:t>
      </w:r>
    </w:p>
    <w:p w14:paraId="27891FE5" w14:textId="6453C6F4" w:rsidR="00C1531C" w:rsidRPr="00260AAB" w:rsidRDefault="00C1531C">
      <w:pPr>
        <w:pStyle w:val="ZDate"/>
      </w:pPr>
      <w:r w:rsidRPr="00260AAB">
        <w:rPr>
          <w:rStyle w:val="HideTWBExt"/>
          <w:noProof w:val="0"/>
        </w:rPr>
        <w:t>&lt;Date&gt;</w:t>
      </w:r>
      <w:r w:rsidRPr="00260AAB">
        <w:rPr>
          <w:rStyle w:val="HideTWBInt"/>
        </w:rPr>
        <w:t>{01/03/2019}</w:t>
      </w:r>
      <w:r w:rsidRPr="00260AAB">
        <w:t>1.3.2019</w:t>
      </w:r>
      <w:r w:rsidRPr="00260AAB">
        <w:rPr>
          <w:rStyle w:val="HideTWBExt"/>
          <w:noProof w:val="0"/>
        </w:rPr>
        <w:t>&lt;/Date&gt;</w:t>
      </w:r>
    </w:p>
    <w:p w14:paraId="52996B69" w14:textId="2CB481FC" w:rsidR="00C1531C" w:rsidRPr="00260AAB" w:rsidRDefault="00C1531C">
      <w:pPr>
        <w:pStyle w:val="TypeDoc"/>
      </w:pPr>
      <w:r w:rsidRPr="00260AAB">
        <w:rPr>
          <w:rStyle w:val="HideTWBExt"/>
          <w:b w:val="0"/>
          <w:noProof w:val="0"/>
        </w:rPr>
        <w:t>&lt;TitreType&gt;</w:t>
      </w:r>
      <w:r w:rsidRPr="00260AAB">
        <w:t>BETÆNKNING</w:t>
      </w:r>
      <w:r w:rsidRPr="00260AAB">
        <w:rPr>
          <w:rStyle w:val="HideTWBExt"/>
          <w:b w:val="0"/>
          <w:noProof w:val="0"/>
        </w:rPr>
        <w:t>&lt;/TitreType&gt;</w:t>
      </w:r>
    </w:p>
    <w:p w14:paraId="62BA761B" w14:textId="77777777" w:rsidR="00C1531C" w:rsidRPr="00260AAB" w:rsidRDefault="00C1531C">
      <w:pPr>
        <w:pStyle w:val="CoverNormal"/>
      </w:pPr>
      <w:r w:rsidRPr="00260AAB">
        <w:rPr>
          <w:rStyle w:val="HideTWBExt"/>
          <w:noProof w:val="0"/>
        </w:rPr>
        <w:t>&lt;Titre&gt;</w:t>
      </w:r>
      <w:r w:rsidRPr="00260AAB">
        <w:t>om decharge for gennemførelsen af budgettet for Det Europæiske Overvågningscenter for Narkotika og Narkotikamisbrug (EMCDDA) for regnskabsåret 2017</w:t>
      </w:r>
      <w:r w:rsidRPr="00260AAB">
        <w:rPr>
          <w:rStyle w:val="HideTWBExt"/>
          <w:noProof w:val="0"/>
        </w:rPr>
        <w:t>&lt;/Titre&gt;</w:t>
      </w:r>
    </w:p>
    <w:p w14:paraId="2651D748" w14:textId="77777777" w:rsidR="00C1531C" w:rsidRPr="00260AAB" w:rsidRDefault="005C689E">
      <w:pPr>
        <w:pStyle w:val="Cover24"/>
      </w:pPr>
      <w:r w:rsidRPr="00260AAB">
        <w:rPr>
          <w:rStyle w:val="HideTWBExt"/>
          <w:noProof w:val="0"/>
        </w:rPr>
        <w:t>&lt;DocRef&gt;</w:t>
      </w:r>
      <w:r w:rsidRPr="00260AAB">
        <w:t>(2018/2181(DEC))</w:t>
      </w:r>
      <w:r w:rsidRPr="00260AAB">
        <w:rPr>
          <w:rStyle w:val="HideTWBExt"/>
          <w:noProof w:val="0"/>
        </w:rPr>
        <w:t>&lt;/DocRef&gt;</w:t>
      </w:r>
    </w:p>
    <w:p w14:paraId="2CBCA718" w14:textId="77777777" w:rsidR="00C1531C" w:rsidRPr="00260AAB" w:rsidRDefault="00C1531C">
      <w:pPr>
        <w:pStyle w:val="Cover24"/>
      </w:pPr>
      <w:r w:rsidRPr="00260AAB">
        <w:rPr>
          <w:rStyle w:val="HideTWBExt"/>
          <w:noProof w:val="0"/>
        </w:rPr>
        <w:t>&lt;Commission&gt;</w:t>
      </w:r>
      <w:r w:rsidRPr="00260AAB">
        <w:rPr>
          <w:rStyle w:val="HideTWBInt"/>
        </w:rPr>
        <w:t>{CONT}</w:t>
      </w:r>
      <w:r w:rsidRPr="00260AAB">
        <w:t>Budgetkontroludvalget</w:t>
      </w:r>
      <w:r w:rsidRPr="00260AAB">
        <w:rPr>
          <w:rStyle w:val="HideTWBExt"/>
          <w:noProof w:val="0"/>
        </w:rPr>
        <w:t>&lt;/Commission&gt;</w:t>
      </w:r>
    </w:p>
    <w:p w14:paraId="5C631790" w14:textId="77777777" w:rsidR="00C1531C" w:rsidRPr="00260AAB" w:rsidRDefault="005E7355">
      <w:pPr>
        <w:pStyle w:val="Cover24"/>
      </w:pPr>
      <w:r w:rsidRPr="00260AAB">
        <w:t xml:space="preserve">Ordfører: </w:t>
      </w:r>
      <w:r w:rsidRPr="00260AAB">
        <w:rPr>
          <w:rStyle w:val="HideTWBExt"/>
          <w:noProof w:val="0"/>
        </w:rPr>
        <w:t>&lt;Depute&gt;</w:t>
      </w:r>
      <w:r w:rsidRPr="00260AAB">
        <w:t>Petri Sarvamaa</w:t>
      </w:r>
      <w:r w:rsidRPr="00260AAB">
        <w:rPr>
          <w:rStyle w:val="HideTWBExt"/>
          <w:noProof w:val="0"/>
        </w:rPr>
        <w:t>&lt;/Depute&gt;</w:t>
      </w:r>
    </w:p>
    <w:p w14:paraId="608BD2F7" w14:textId="77777777" w:rsidR="00C1531C" w:rsidRPr="00260AAB" w:rsidRDefault="00C1531C" w:rsidP="00D46466">
      <w:pPr>
        <w:widowControl/>
        <w:tabs>
          <w:tab w:val="center" w:pos="4677"/>
        </w:tabs>
      </w:pPr>
      <w:r w:rsidRPr="00260AAB">
        <w:br w:type="page"/>
      </w:r>
    </w:p>
    <w:p w14:paraId="6F293DE5" w14:textId="77777777" w:rsidR="00C1531C" w:rsidRPr="00260AAB" w:rsidRDefault="005E7355" w:rsidP="00D46466">
      <w:pPr>
        <w:widowControl/>
        <w:tabs>
          <w:tab w:val="center" w:pos="4677"/>
        </w:tabs>
      </w:pPr>
      <w:r w:rsidRPr="00260AAB">
        <w:lastRenderedPageBreak/>
        <w:t>PR_DEC_Agencies</w:t>
      </w:r>
    </w:p>
    <w:p w14:paraId="1C38772D" w14:textId="77777777" w:rsidR="00C1531C" w:rsidRPr="00260AAB" w:rsidRDefault="005E7355">
      <w:pPr>
        <w:pStyle w:val="TOCHeading"/>
      </w:pPr>
      <w:r w:rsidRPr="00260AAB">
        <w:t>INDHOLD</w:t>
      </w:r>
    </w:p>
    <w:p w14:paraId="240F6048" w14:textId="77777777" w:rsidR="00B3389D" w:rsidRDefault="005E7355" w:rsidP="000B47E5">
      <w:pPr>
        <w:pStyle w:val="TOCPage"/>
        <w:rPr>
          <w:noProof/>
        </w:rPr>
      </w:pPr>
      <w:r w:rsidRPr="00260AAB">
        <w:t>Side</w:t>
      </w:r>
      <w:r w:rsidR="00C1531C" w:rsidRPr="00260AAB">
        <w:fldChar w:fldCharType="begin"/>
      </w:r>
      <w:r w:rsidR="00C1531C" w:rsidRPr="00260AAB">
        <w:instrText xml:space="preserve"> TOC \t "PageHeading</w:instrText>
      </w:r>
      <w:r w:rsidR="00B3389D">
        <w:instrText>;</w:instrText>
      </w:r>
      <w:r w:rsidR="00FD18F9" w:rsidRPr="00260AAB">
        <w:instrText>3</w:instrText>
      </w:r>
      <w:r w:rsidR="00C1531C" w:rsidRPr="00260AAB">
        <w:instrText xml:space="preserve">" </w:instrText>
      </w:r>
      <w:r w:rsidR="00C1531C" w:rsidRPr="00260AAB">
        <w:fldChar w:fldCharType="separate"/>
      </w:r>
    </w:p>
    <w:p w14:paraId="7CED7634" w14:textId="0DFEE993" w:rsidR="00B3389D" w:rsidRDefault="00B3389D">
      <w:pPr>
        <w:pStyle w:val="TOC3"/>
        <w:tabs>
          <w:tab w:val="right" w:leader="dot" w:pos="9060"/>
        </w:tabs>
        <w:rPr>
          <w:rFonts w:asciiTheme="minorHAnsi" w:eastAsiaTheme="minorEastAsia" w:hAnsiTheme="minorHAnsi" w:cstheme="minorBidi"/>
          <w:noProof/>
          <w:sz w:val="22"/>
          <w:szCs w:val="22"/>
          <w:lang w:val="en-GB"/>
        </w:rPr>
      </w:pPr>
      <w:r>
        <w:rPr>
          <w:noProof/>
        </w:rPr>
        <w:t>1. FORSLAG TIL EUROPA-PARLAMENTETS AFGØRELSE</w:t>
      </w:r>
      <w:r>
        <w:rPr>
          <w:noProof/>
        </w:rPr>
        <w:tab/>
      </w:r>
      <w:r>
        <w:rPr>
          <w:noProof/>
        </w:rPr>
        <w:fldChar w:fldCharType="begin"/>
      </w:r>
      <w:r>
        <w:rPr>
          <w:noProof/>
        </w:rPr>
        <w:instrText xml:space="preserve"> PAGEREF _Toc3886424 \h </w:instrText>
      </w:r>
      <w:r>
        <w:rPr>
          <w:noProof/>
        </w:rPr>
      </w:r>
      <w:r>
        <w:rPr>
          <w:noProof/>
        </w:rPr>
        <w:fldChar w:fldCharType="separate"/>
      </w:r>
      <w:r>
        <w:rPr>
          <w:noProof/>
        </w:rPr>
        <w:t>3</w:t>
      </w:r>
      <w:r>
        <w:rPr>
          <w:noProof/>
        </w:rPr>
        <w:fldChar w:fldCharType="end"/>
      </w:r>
    </w:p>
    <w:p w14:paraId="3CDCB71B" w14:textId="2594C0C6" w:rsidR="00B3389D" w:rsidRDefault="00B3389D">
      <w:pPr>
        <w:pStyle w:val="TOC3"/>
        <w:tabs>
          <w:tab w:val="right" w:leader="dot" w:pos="9060"/>
        </w:tabs>
        <w:rPr>
          <w:rFonts w:asciiTheme="minorHAnsi" w:eastAsiaTheme="minorEastAsia" w:hAnsiTheme="minorHAnsi" w:cstheme="minorBidi"/>
          <w:noProof/>
          <w:sz w:val="22"/>
          <w:szCs w:val="22"/>
          <w:lang w:val="en-GB"/>
        </w:rPr>
      </w:pPr>
      <w:r>
        <w:rPr>
          <w:noProof/>
        </w:rPr>
        <w:t>2. FORSLAG TIL EUROPA-PARLAMENTETS AFGØRELSE</w:t>
      </w:r>
      <w:r>
        <w:rPr>
          <w:noProof/>
        </w:rPr>
        <w:tab/>
      </w:r>
      <w:r>
        <w:rPr>
          <w:noProof/>
        </w:rPr>
        <w:fldChar w:fldCharType="begin"/>
      </w:r>
      <w:r>
        <w:rPr>
          <w:noProof/>
        </w:rPr>
        <w:instrText xml:space="preserve"> PAGEREF _Toc3886425 \h </w:instrText>
      </w:r>
      <w:r>
        <w:rPr>
          <w:noProof/>
        </w:rPr>
      </w:r>
      <w:r>
        <w:rPr>
          <w:noProof/>
        </w:rPr>
        <w:fldChar w:fldCharType="separate"/>
      </w:r>
      <w:r>
        <w:rPr>
          <w:noProof/>
        </w:rPr>
        <w:t>5</w:t>
      </w:r>
      <w:r>
        <w:rPr>
          <w:noProof/>
        </w:rPr>
        <w:fldChar w:fldCharType="end"/>
      </w:r>
    </w:p>
    <w:p w14:paraId="7A69575A" w14:textId="58FD153E" w:rsidR="00B3389D" w:rsidRDefault="00B3389D">
      <w:pPr>
        <w:pStyle w:val="TOC3"/>
        <w:tabs>
          <w:tab w:val="right" w:leader="dot" w:pos="9060"/>
        </w:tabs>
        <w:rPr>
          <w:rFonts w:asciiTheme="minorHAnsi" w:eastAsiaTheme="minorEastAsia" w:hAnsiTheme="minorHAnsi" w:cstheme="minorBidi"/>
          <w:noProof/>
          <w:sz w:val="22"/>
          <w:szCs w:val="22"/>
          <w:lang w:val="en-GB"/>
        </w:rPr>
      </w:pPr>
      <w:r>
        <w:rPr>
          <w:noProof/>
        </w:rPr>
        <w:t>3. FORSLAG TIL EUROPA-PARLAMENTETS BESLUTNING</w:t>
      </w:r>
      <w:r>
        <w:rPr>
          <w:noProof/>
        </w:rPr>
        <w:tab/>
      </w:r>
      <w:r>
        <w:rPr>
          <w:noProof/>
        </w:rPr>
        <w:fldChar w:fldCharType="begin"/>
      </w:r>
      <w:r>
        <w:rPr>
          <w:noProof/>
        </w:rPr>
        <w:instrText xml:space="preserve"> PAGEREF _Toc3886426 \h </w:instrText>
      </w:r>
      <w:r>
        <w:rPr>
          <w:noProof/>
        </w:rPr>
      </w:r>
      <w:r>
        <w:rPr>
          <w:noProof/>
        </w:rPr>
        <w:fldChar w:fldCharType="separate"/>
      </w:r>
      <w:r>
        <w:rPr>
          <w:noProof/>
        </w:rPr>
        <w:t>7</w:t>
      </w:r>
      <w:r>
        <w:rPr>
          <w:noProof/>
        </w:rPr>
        <w:fldChar w:fldCharType="end"/>
      </w:r>
    </w:p>
    <w:p w14:paraId="36492204" w14:textId="1FD679E3" w:rsidR="00B3389D" w:rsidRDefault="00B3389D">
      <w:pPr>
        <w:pStyle w:val="TOC3"/>
        <w:tabs>
          <w:tab w:val="right" w:leader="dot" w:pos="9060"/>
        </w:tabs>
        <w:rPr>
          <w:rFonts w:asciiTheme="minorHAnsi" w:eastAsiaTheme="minorEastAsia" w:hAnsiTheme="minorHAnsi" w:cstheme="minorBidi"/>
          <w:noProof/>
          <w:sz w:val="22"/>
          <w:szCs w:val="22"/>
          <w:lang w:val="en-GB"/>
        </w:rPr>
      </w:pPr>
      <w:r>
        <w:rPr>
          <w:noProof/>
        </w:rPr>
        <w:t xml:space="preserve">UDTALELSE </w:t>
      </w:r>
      <w:r w:rsidRPr="00102487">
        <w:rPr>
          <w:caps/>
          <w:noProof/>
        </w:rPr>
        <w:t>fra Udvalget om Borgernes Rettigheder og Retlige og Indre Anliggender</w:t>
      </w:r>
      <w:r>
        <w:rPr>
          <w:noProof/>
        </w:rPr>
        <w:tab/>
      </w:r>
      <w:r>
        <w:rPr>
          <w:noProof/>
        </w:rPr>
        <w:fldChar w:fldCharType="begin"/>
      </w:r>
      <w:r>
        <w:rPr>
          <w:noProof/>
        </w:rPr>
        <w:instrText xml:space="preserve"> PAGEREF _Toc3886427 \h </w:instrText>
      </w:r>
      <w:r>
        <w:rPr>
          <w:noProof/>
        </w:rPr>
      </w:r>
      <w:r>
        <w:rPr>
          <w:noProof/>
        </w:rPr>
        <w:fldChar w:fldCharType="separate"/>
      </w:r>
      <w:r>
        <w:rPr>
          <w:noProof/>
        </w:rPr>
        <w:t>10</w:t>
      </w:r>
      <w:r>
        <w:rPr>
          <w:noProof/>
        </w:rPr>
        <w:fldChar w:fldCharType="end"/>
      </w:r>
    </w:p>
    <w:p w14:paraId="2EAAB2EB" w14:textId="0B605355" w:rsidR="00B3389D" w:rsidRDefault="00B3389D">
      <w:pPr>
        <w:pStyle w:val="TOC3"/>
        <w:tabs>
          <w:tab w:val="right" w:leader="dot" w:pos="9060"/>
        </w:tabs>
        <w:rPr>
          <w:rFonts w:asciiTheme="minorHAnsi" w:eastAsiaTheme="minorEastAsia" w:hAnsiTheme="minorHAnsi" w:cstheme="minorBidi"/>
          <w:noProof/>
          <w:sz w:val="22"/>
          <w:szCs w:val="22"/>
          <w:lang w:val="en-GB"/>
        </w:rPr>
      </w:pPr>
      <w:r>
        <w:rPr>
          <w:noProof/>
        </w:rPr>
        <w:t>OPLYSNINGER OM VEDTAGELSE I KORRESPONDERENDE UDVALG</w:t>
      </w:r>
      <w:r>
        <w:rPr>
          <w:noProof/>
        </w:rPr>
        <w:tab/>
      </w:r>
      <w:r>
        <w:rPr>
          <w:noProof/>
        </w:rPr>
        <w:fldChar w:fldCharType="begin"/>
      </w:r>
      <w:r>
        <w:rPr>
          <w:noProof/>
        </w:rPr>
        <w:instrText xml:space="preserve"> PAGEREF _Toc3886428 \h </w:instrText>
      </w:r>
      <w:r>
        <w:rPr>
          <w:noProof/>
        </w:rPr>
      </w:r>
      <w:r>
        <w:rPr>
          <w:noProof/>
        </w:rPr>
        <w:fldChar w:fldCharType="separate"/>
      </w:r>
      <w:r>
        <w:rPr>
          <w:noProof/>
        </w:rPr>
        <w:t>14</w:t>
      </w:r>
      <w:r>
        <w:rPr>
          <w:noProof/>
        </w:rPr>
        <w:fldChar w:fldCharType="end"/>
      </w:r>
    </w:p>
    <w:p w14:paraId="659EB570" w14:textId="33422254" w:rsidR="00B3389D" w:rsidRDefault="00B3389D">
      <w:pPr>
        <w:pStyle w:val="TOC3"/>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_Toc3886429 \h </w:instrText>
      </w:r>
      <w:r>
        <w:rPr>
          <w:noProof/>
        </w:rPr>
      </w:r>
      <w:r>
        <w:rPr>
          <w:noProof/>
        </w:rPr>
        <w:fldChar w:fldCharType="separate"/>
      </w:r>
      <w:r>
        <w:rPr>
          <w:noProof/>
        </w:rPr>
        <w:t>15</w:t>
      </w:r>
      <w:r>
        <w:rPr>
          <w:noProof/>
        </w:rPr>
        <w:fldChar w:fldCharType="end"/>
      </w:r>
    </w:p>
    <w:p w14:paraId="24031367" w14:textId="77777777" w:rsidR="00C1531C" w:rsidRPr="00260AAB" w:rsidRDefault="00C1531C">
      <w:pPr>
        <w:pStyle w:val="PageHeading"/>
      </w:pPr>
      <w:r w:rsidRPr="00260AAB">
        <w:rPr>
          <w:rFonts w:ascii="Times New Roman" w:hAnsi="Times New Roman"/>
        </w:rPr>
        <w:fldChar w:fldCharType="end"/>
      </w:r>
    </w:p>
    <w:p w14:paraId="250C2F5C" w14:textId="77777777" w:rsidR="00C1531C" w:rsidRPr="00260AAB" w:rsidRDefault="00C1531C" w:rsidP="004D13BA">
      <w:pPr>
        <w:pStyle w:val="PageHeading"/>
      </w:pPr>
      <w:r w:rsidRPr="00260AAB">
        <w:br w:type="page"/>
      </w:r>
      <w:bookmarkStart w:id="0" w:name="Decision1"/>
      <w:bookmarkStart w:id="1" w:name="_Toc26759888"/>
      <w:bookmarkStart w:id="2" w:name="_Toc86200285"/>
      <w:bookmarkStart w:id="3" w:name="_Toc3886424"/>
      <w:r w:rsidRPr="00260AAB">
        <w:lastRenderedPageBreak/>
        <w:t>1. FORSLAG TIL EUROPA-PARLAMENTETS AFGØRELSE</w:t>
      </w:r>
      <w:bookmarkEnd w:id="3"/>
    </w:p>
    <w:p w14:paraId="5F81A733" w14:textId="77777777" w:rsidR="00C1531C" w:rsidRPr="00260AAB" w:rsidRDefault="005E7355">
      <w:pPr>
        <w:pStyle w:val="NormalBold"/>
      </w:pPr>
      <w:bookmarkStart w:id="4" w:name="DecisionTitle1"/>
      <w:bookmarkEnd w:id="0"/>
      <w:r w:rsidRPr="00260AAB">
        <w:t>om decharge for gennemførelsen af budgettet for Det Europæiske Overvågningscenter for Narkotika og Narkotikamisbrug for regnskabsåret 2017</w:t>
      </w:r>
    </w:p>
    <w:bookmarkEnd w:id="4"/>
    <w:p w14:paraId="0BF83402" w14:textId="77777777" w:rsidR="00C1531C" w:rsidRPr="00260AAB" w:rsidRDefault="005E7355">
      <w:pPr>
        <w:pStyle w:val="Normal12Bold"/>
      </w:pPr>
      <w:r w:rsidRPr="00260AAB">
        <w:t>(2018/2181(DEC))</w:t>
      </w:r>
    </w:p>
    <w:p w14:paraId="4BEFFA75" w14:textId="77777777" w:rsidR="00C1531C" w:rsidRPr="00260AAB" w:rsidRDefault="005E7355">
      <w:pPr>
        <w:pStyle w:val="Normal12"/>
      </w:pPr>
      <w:r w:rsidRPr="00260AAB">
        <w:rPr>
          <w:i/>
        </w:rPr>
        <w:t>Europa-Parlamentet</w:t>
      </w:r>
      <w:r w:rsidRPr="00260AAB">
        <w:t>,</w:t>
      </w:r>
    </w:p>
    <w:bookmarkEnd w:id="1"/>
    <w:bookmarkEnd w:id="2"/>
    <w:p w14:paraId="5DC7AB82" w14:textId="77777777" w:rsidR="00750C64" w:rsidRPr="00260AAB" w:rsidRDefault="00750C64" w:rsidP="00750C64">
      <w:pPr>
        <w:pStyle w:val="Normal12Hanging"/>
      </w:pPr>
      <w:r w:rsidRPr="00260AAB">
        <w:t>–</w:t>
      </w:r>
      <w:r w:rsidRPr="00260AAB">
        <w:tab/>
        <w:t>der henviser til det endelige årsregnskab for Det Europæiske Overvågningscenter for Narkotika og Narkotikamisbrug for regnskabsåret 2017,</w:t>
      </w:r>
    </w:p>
    <w:p w14:paraId="500B72A4" w14:textId="77777777" w:rsidR="00750C64" w:rsidRPr="00260AAB" w:rsidRDefault="00750C64" w:rsidP="00750C64">
      <w:pPr>
        <w:pStyle w:val="Normal12Hanging"/>
      </w:pPr>
      <w:r w:rsidRPr="00260AAB">
        <w:t>–</w:t>
      </w:r>
      <w:r w:rsidRPr="00260AAB">
        <w:tab/>
        <w:t>der henviser til Revisionsrettens beretning om årsregnskabet for Det Europæiske Overvågningscenter for Narkotika og Narkotikamisbrug for regnskabsåret 2017, med centrets svar</w:t>
      </w:r>
      <w:r w:rsidRPr="00260AAB">
        <w:rPr>
          <w:rStyle w:val="FootnoteReference"/>
        </w:rPr>
        <w:footnoteReference w:id="1"/>
      </w:r>
      <w:r w:rsidRPr="00260AAB">
        <w:t>,</w:t>
      </w:r>
    </w:p>
    <w:p w14:paraId="6239E44E" w14:textId="77777777" w:rsidR="00750C64" w:rsidRPr="00260AAB" w:rsidRDefault="00750C64" w:rsidP="00750C64">
      <w:pPr>
        <w:pStyle w:val="Normal12Hanging"/>
      </w:pPr>
      <w:r w:rsidRPr="00260AAB">
        <w:t>–</w:t>
      </w:r>
      <w:r w:rsidRPr="00260AAB">
        <w:tab/>
        <w:t>der henviser til Revisionsrettens erklæring</w:t>
      </w:r>
      <w:r w:rsidRPr="00260AAB">
        <w:rPr>
          <w:rStyle w:val="FootnoteReference"/>
        </w:rPr>
        <w:footnoteReference w:id="2"/>
      </w:r>
      <w:r w:rsidRPr="00260AAB">
        <w:t xml:space="preserve"> for regnskabsåret 2017 om regnskabernes rigtighed og de underliggende transaktioners lovlighed og formelle rigtighed, jf. artikel 287 i traktaten om Den Europæiske Unions funktionsmåde,</w:t>
      </w:r>
    </w:p>
    <w:p w14:paraId="61F85F4C" w14:textId="5EE3AF3E" w:rsidR="00750C64" w:rsidRPr="00260AAB" w:rsidRDefault="00750C64" w:rsidP="00750C64">
      <w:pPr>
        <w:pStyle w:val="Normal12Hanging"/>
      </w:pPr>
      <w:r w:rsidRPr="00260AAB">
        <w:t>–</w:t>
      </w:r>
      <w:r w:rsidRPr="00260AAB">
        <w:tab/>
        <w:t>der henviser til Rådets henstilling af 12. februar 2019 om decharge til centret for gennemførelsen af budgettet for regnskabsåret 2017 (05825/2019 – C8-0071/2019),</w:t>
      </w:r>
    </w:p>
    <w:p w14:paraId="106CD415" w14:textId="77777777" w:rsidR="00750C64" w:rsidRPr="00260AAB" w:rsidRDefault="00750C64" w:rsidP="00750C64">
      <w:pPr>
        <w:pStyle w:val="Normal12Hanging"/>
      </w:pPr>
      <w:r w:rsidRPr="00260AAB">
        <w:t>–</w:t>
      </w:r>
      <w:r w:rsidRPr="00260AAB">
        <w:tab/>
        <w:t>der henviser til artikel 319 i traktaten om Den Europæiske Unions funktionsmåde,</w:t>
      </w:r>
    </w:p>
    <w:p w14:paraId="3A10EB91" w14:textId="77777777" w:rsidR="00750C64" w:rsidRPr="00260AAB" w:rsidRDefault="00750C64" w:rsidP="00750C64">
      <w:pPr>
        <w:pStyle w:val="Normal12Hanging"/>
      </w:pPr>
      <w:r w:rsidRPr="00260AAB">
        <w:t>–</w:t>
      </w:r>
      <w:r w:rsidRPr="00260AAB">
        <w:tab/>
        <w:t>der henviser til Europa-Parlamentets og Rådets forordning (EU, Euratom) nr. 966/2012 af 25. oktober 2012 om de finansielle regler vedrørende Unionens almindelige budget og om ophævelse af Rådets forordning (EF, Euratom) nr. 1605/2002</w:t>
      </w:r>
      <w:r w:rsidRPr="00260AAB">
        <w:rPr>
          <w:rStyle w:val="FootnoteReference"/>
        </w:rPr>
        <w:footnoteReference w:id="3"/>
      </w:r>
      <w:r w:rsidRPr="00260AAB">
        <w:t>, særlig artikel 208,</w:t>
      </w:r>
    </w:p>
    <w:p w14:paraId="3629ED85" w14:textId="77777777" w:rsidR="00750C64" w:rsidRPr="00260AAB" w:rsidRDefault="00750C64" w:rsidP="00750C64">
      <w:pPr>
        <w:pStyle w:val="Normal12Hanging"/>
      </w:pPr>
      <w:r w:rsidRPr="00260AAB">
        <w:t>–</w:t>
      </w:r>
      <w:r w:rsidRPr="00260AAB">
        <w:tab/>
        <w:t>der henviser til 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w:t>
      </w:r>
      <w:r w:rsidRPr="00260AAB">
        <w:rPr>
          <w:rStyle w:val="FootnoteReference"/>
        </w:rPr>
        <w:footnoteReference w:id="4"/>
      </w:r>
      <w:r w:rsidRPr="00260AAB">
        <w:t>, særlig artikel 70,</w:t>
      </w:r>
    </w:p>
    <w:p w14:paraId="0189EAFA" w14:textId="77777777" w:rsidR="00750C64" w:rsidRPr="00260AAB" w:rsidRDefault="00750C64" w:rsidP="00750C64">
      <w:pPr>
        <w:pStyle w:val="Normal12Hanging"/>
      </w:pPr>
      <w:r w:rsidRPr="00260AAB">
        <w:t>–</w:t>
      </w:r>
      <w:r w:rsidRPr="00260AAB">
        <w:tab/>
        <w:t>der henviser til Europa-Parlamentets og Rådets forordning (EF) nr. 1920/2006 af 12. december 2006 vedrørende Det Europæiske Overvågningscenter for Narkotika og Narkotikamisbrug</w:t>
      </w:r>
      <w:r w:rsidRPr="00260AAB">
        <w:rPr>
          <w:rStyle w:val="FootnoteReference"/>
        </w:rPr>
        <w:footnoteReference w:id="5"/>
      </w:r>
      <w:r w:rsidRPr="00260AAB">
        <w:t>, særlig artikel 15,</w:t>
      </w:r>
    </w:p>
    <w:p w14:paraId="23081C43" w14:textId="77777777" w:rsidR="00750C64" w:rsidRPr="00260AAB" w:rsidRDefault="00750C64" w:rsidP="00750C64">
      <w:pPr>
        <w:pStyle w:val="Normal12Hanging"/>
      </w:pPr>
      <w:r w:rsidRPr="00260AAB">
        <w:t>–</w:t>
      </w:r>
      <w:r w:rsidRPr="00260AAB">
        <w:tab/>
        <w:t>der henviser til Kommissionens delegerede forordning (EU) nr. 1271/2013 af 30. september 2013 om rammefinansforordningen for de organer, der er omhandlet i artikel 208 i Europa-Parlamentets og Rådets forordning (EU, Euratom) nr. 966/2012</w:t>
      </w:r>
      <w:r w:rsidRPr="00260AAB">
        <w:rPr>
          <w:rStyle w:val="FootnoteReference"/>
        </w:rPr>
        <w:footnoteReference w:id="6"/>
      </w:r>
      <w:r w:rsidRPr="00260AAB">
        <w:t xml:space="preserve">, særlig </w:t>
      </w:r>
      <w:r w:rsidRPr="00260AAB">
        <w:lastRenderedPageBreak/>
        <w:t>artikel 108,</w:t>
      </w:r>
    </w:p>
    <w:p w14:paraId="09310CF6" w14:textId="77777777" w:rsidR="00750C64" w:rsidRPr="00260AAB" w:rsidRDefault="00750C64" w:rsidP="00750C64">
      <w:pPr>
        <w:pStyle w:val="Normal12Hanging"/>
      </w:pPr>
      <w:r w:rsidRPr="00260AAB">
        <w:t>–</w:t>
      </w:r>
      <w:r w:rsidRPr="00260AAB">
        <w:tab/>
        <w:t>der henviser til forretningsordenens artikel 94 og bilag IV,</w:t>
      </w:r>
    </w:p>
    <w:p w14:paraId="39CAF772" w14:textId="77777777" w:rsidR="00750C64" w:rsidRPr="00260AAB" w:rsidRDefault="00750C64" w:rsidP="00750C64">
      <w:pPr>
        <w:pStyle w:val="Normal12Hanging"/>
      </w:pPr>
      <w:r w:rsidRPr="00260AAB">
        <w:t>–</w:t>
      </w:r>
      <w:r w:rsidRPr="00260AAB">
        <w:tab/>
        <w:t>der henviser til betænkning fra Budgetkontroludvalget og udtalelse fra Udvalget om Borgernes Rettigheder og Retlige og Indre Anliggender (A8-0139/2019),</w:t>
      </w:r>
    </w:p>
    <w:p w14:paraId="3A83A9D7" w14:textId="77777777" w:rsidR="00750C64" w:rsidRPr="00260AAB" w:rsidRDefault="00750C64" w:rsidP="00750C64">
      <w:pPr>
        <w:pStyle w:val="Normal12Hanging"/>
      </w:pPr>
      <w:r w:rsidRPr="00260AAB">
        <w:t>1.</w:t>
      </w:r>
      <w:r w:rsidRPr="00260AAB">
        <w:tab/>
        <w:t>meddeler direktøren for Det Europæiske Overvågningscenter for Narkotika og Narkotikamisbrug decharge for gennemførelsen af centrets budget for regnskabsåret 2017;</w:t>
      </w:r>
    </w:p>
    <w:p w14:paraId="681781F5" w14:textId="77777777" w:rsidR="00750C64" w:rsidRPr="00260AAB" w:rsidRDefault="00750C64" w:rsidP="00750C64">
      <w:pPr>
        <w:pStyle w:val="Normal12Hanging"/>
      </w:pPr>
      <w:r w:rsidRPr="00260AAB">
        <w:t>2.</w:t>
      </w:r>
      <w:r w:rsidRPr="00260AAB">
        <w:tab/>
        <w:t>fremsætter sine bemærkninger i nedenstående beslutning;</w:t>
      </w:r>
    </w:p>
    <w:p w14:paraId="68E18093" w14:textId="77777777" w:rsidR="00750C64" w:rsidRPr="00260AAB" w:rsidRDefault="00750C64" w:rsidP="00750C64">
      <w:pPr>
        <w:pStyle w:val="Normal12Hanging"/>
      </w:pPr>
      <w:r w:rsidRPr="00260AAB">
        <w:t>3.</w:t>
      </w:r>
      <w:r w:rsidRPr="00260AAB">
        <w:tab/>
        <w:t xml:space="preserve">pålægger sin formand at sende denne afgørelse og beslutningen, der er en integrerende del heraf, til direktøren for Det Europæiske Overvågningscenter for Narkotika og Narkotikamisbrug, Rådet, Kommissionen og Revisionsretten og drage omsorg for, at de offentliggøres i </w:t>
      </w:r>
      <w:r w:rsidRPr="00260AAB">
        <w:rPr>
          <w:i/>
        </w:rPr>
        <w:t>Den Europæiske Unions Tidende</w:t>
      </w:r>
      <w:r w:rsidRPr="00260AAB">
        <w:t xml:space="preserve"> (L-udgaven).</w:t>
      </w:r>
    </w:p>
    <w:p w14:paraId="2E0E68CF" w14:textId="77777777" w:rsidR="00750C64" w:rsidRPr="00260AAB" w:rsidRDefault="00750C64" w:rsidP="00750C64">
      <w:pPr>
        <w:pStyle w:val="PageHeading"/>
      </w:pPr>
      <w:r w:rsidRPr="00260AAB">
        <w:br w:type="page"/>
      </w:r>
      <w:bookmarkStart w:id="5" w:name="_Toc2334197"/>
      <w:bookmarkStart w:id="6" w:name="Decision2"/>
      <w:bookmarkStart w:id="7" w:name="_Toc3886425"/>
      <w:r w:rsidRPr="00260AAB">
        <w:lastRenderedPageBreak/>
        <w:t>2. FORSLAG TIL EUROPA-PARLAMENTETS AFGØRELSE</w:t>
      </w:r>
      <w:bookmarkEnd w:id="5"/>
      <w:bookmarkEnd w:id="7"/>
    </w:p>
    <w:p w14:paraId="79D7AC21" w14:textId="77777777" w:rsidR="00750C64" w:rsidRPr="00260AAB" w:rsidRDefault="00750C64" w:rsidP="00750C64">
      <w:pPr>
        <w:pStyle w:val="NormalBold"/>
      </w:pPr>
      <w:bookmarkStart w:id="8" w:name="DecisionTitle2"/>
      <w:bookmarkEnd w:id="6"/>
      <w:r w:rsidRPr="00260AAB">
        <w:t>om afslutning af regnskaberne for Det Europæiske Overvågningscenter for Narkotika og Narkotikamisbrug for regnskabsåret 2017</w:t>
      </w:r>
    </w:p>
    <w:bookmarkEnd w:id="8"/>
    <w:p w14:paraId="61F37382" w14:textId="77777777" w:rsidR="00750C64" w:rsidRPr="00260AAB" w:rsidRDefault="00750C64" w:rsidP="00750C64">
      <w:pPr>
        <w:pStyle w:val="Normal12Bold"/>
      </w:pPr>
      <w:r w:rsidRPr="00260AAB">
        <w:t>(2018/2181(DEC))</w:t>
      </w:r>
    </w:p>
    <w:p w14:paraId="53A33671" w14:textId="77777777" w:rsidR="00750C64" w:rsidRPr="00260AAB" w:rsidRDefault="00750C64" w:rsidP="00750C64">
      <w:pPr>
        <w:pStyle w:val="Normal12"/>
      </w:pPr>
      <w:r w:rsidRPr="00260AAB">
        <w:rPr>
          <w:i/>
        </w:rPr>
        <w:t>Europa-Parlamentet</w:t>
      </w:r>
      <w:r w:rsidRPr="00260AAB">
        <w:t>,</w:t>
      </w:r>
    </w:p>
    <w:p w14:paraId="376C5C53" w14:textId="77777777" w:rsidR="00750C64" w:rsidRPr="00260AAB" w:rsidRDefault="00750C64" w:rsidP="00750C64">
      <w:pPr>
        <w:pStyle w:val="Normal12Hanging"/>
      </w:pPr>
      <w:r w:rsidRPr="00260AAB">
        <w:t>–</w:t>
      </w:r>
      <w:r w:rsidRPr="00260AAB">
        <w:tab/>
        <w:t>der henviser til det endelige årsregnskab for Det Europæiske Overvågningscenter for Narkotika og Narkotikamisbrug for regnskabsåret 2017,</w:t>
      </w:r>
    </w:p>
    <w:p w14:paraId="531EBCBC" w14:textId="77777777" w:rsidR="00750C64" w:rsidRPr="00260AAB" w:rsidRDefault="00750C64" w:rsidP="00750C64">
      <w:pPr>
        <w:pStyle w:val="Normal12Hanging"/>
      </w:pPr>
      <w:r w:rsidRPr="00260AAB">
        <w:t>–</w:t>
      </w:r>
      <w:r w:rsidRPr="00260AAB">
        <w:tab/>
        <w:t>der henviser til Revisionsrettens beretning om årsregnskabet for Det Europæiske Overvågningscenter for Narkotika og Narkotikamisbrug for regnskabsåret 2017, med centrets svar</w:t>
      </w:r>
      <w:r w:rsidRPr="00260AAB">
        <w:rPr>
          <w:rStyle w:val="FootnoteReference"/>
        </w:rPr>
        <w:footnoteReference w:id="7"/>
      </w:r>
      <w:r w:rsidRPr="00260AAB">
        <w:t>,</w:t>
      </w:r>
    </w:p>
    <w:p w14:paraId="5D3B574E" w14:textId="77777777" w:rsidR="00750C64" w:rsidRPr="00260AAB" w:rsidRDefault="00750C64" w:rsidP="00750C64">
      <w:pPr>
        <w:pStyle w:val="Normal12Hanging"/>
      </w:pPr>
      <w:r w:rsidRPr="00260AAB">
        <w:t>–</w:t>
      </w:r>
      <w:r w:rsidRPr="00260AAB">
        <w:tab/>
        <w:t>der henviser til Revisionsrettens erklæring</w:t>
      </w:r>
      <w:r w:rsidRPr="00260AAB">
        <w:rPr>
          <w:rStyle w:val="FootnoteReference"/>
        </w:rPr>
        <w:footnoteReference w:id="8"/>
      </w:r>
      <w:r w:rsidRPr="00260AAB">
        <w:t xml:space="preserve"> for regnskabsåret 2017 om regnskabernes rigtighed og de underliggende transaktioners lovlighed og formelle rigtighed, jf. artikel 287 i traktaten om Den Europæiske Unions funktionsmåde,</w:t>
      </w:r>
    </w:p>
    <w:p w14:paraId="48913177" w14:textId="5FF07A74" w:rsidR="00750C64" w:rsidRPr="00260AAB" w:rsidRDefault="00750C64" w:rsidP="00750C64">
      <w:pPr>
        <w:pStyle w:val="Normal12Hanging"/>
      </w:pPr>
      <w:r w:rsidRPr="00260AAB">
        <w:t>–</w:t>
      </w:r>
      <w:r w:rsidRPr="00260AAB">
        <w:tab/>
        <w:t>der henviser til Rådets henstilling af 12. februar 2019 om decharge til centret for gennemførelsen af budgettet for regnskabsåret 2017 (05825/2019 – C8-0071/2019),</w:t>
      </w:r>
    </w:p>
    <w:p w14:paraId="05236BD0" w14:textId="77777777" w:rsidR="00750C64" w:rsidRPr="00260AAB" w:rsidRDefault="00750C64" w:rsidP="00750C64">
      <w:pPr>
        <w:pStyle w:val="Normal12Hanging"/>
      </w:pPr>
      <w:r w:rsidRPr="00260AAB">
        <w:t>–</w:t>
      </w:r>
      <w:r w:rsidRPr="00260AAB">
        <w:tab/>
        <w:t>der henviser til artikel 319 i traktaten om Den Europæiske Unions funktionsmåde,</w:t>
      </w:r>
    </w:p>
    <w:p w14:paraId="3AEBCC46" w14:textId="77777777" w:rsidR="00750C64" w:rsidRPr="00260AAB" w:rsidRDefault="00750C64" w:rsidP="00750C64">
      <w:pPr>
        <w:pStyle w:val="Normal12Hanging"/>
      </w:pPr>
      <w:r w:rsidRPr="00260AAB">
        <w:t>–</w:t>
      </w:r>
      <w:r w:rsidRPr="00260AAB">
        <w:tab/>
        <w:t>der henviser til Europa-Parlamentets og Rådets forordning (EU, Euratom) nr. 966/2012 af 25. oktober 2012 om de finansielle regler vedrørende Unionens almindelige budget og om ophævelse af Rådets forordning (EF, Euratom) nr. 1605/2002</w:t>
      </w:r>
      <w:r w:rsidRPr="00260AAB">
        <w:rPr>
          <w:rStyle w:val="FootnoteReference"/>
        </w:rPr>
        <w:footnoteReference w:id="9"/>
      </w:r>
      <w:r w:rsidRPr="00260AAB">
        <w:t>, særlig artikel 208,</w:t>
      </w:r>
    </w:p>
    <w:p w14:paraId="03087EBD" w14:textId="77777777" w:rsidR="00750C64" w:rsidRPr="00260AAB" w:rsidRDefault="00750C64" w:rsidP="00750C64">
      <w:pPr>
        <w:pStyle w:val="Normal12Hanging"/>
      </w:pPr>
      <w:r w:rsidRPr="00260AAB">
        <w:t>–</w:t>
      </w:r>
      <w:r w:rsidRPr="00260AAB">
        <w:tab/>
        <w:t>der henviser til 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w:t>
      </w:r>
      <w:r w:rsidRPr="00260AAB">
        <w:rPr>
          <w:rStyle w:val="FootnoteReference"/>
        </w:rPr>
        <w:footnoteReference w:id="10"/>
      </w:r>
      <w:r w:rsidRPr="00260AAB">
        <w:t>, særlig artikel 70,</w:t>
      </w:r>
    </w:p>
    <w:p w14:paraId="77F2BBF3" w14:textId="77777777" w:rsidR="00750C64" w:rsidRPr="00260AAB" w:rsidRDefault="00750C64" w:rsidP="00750C64">
      <w:pPr>
        <w:pStyle w:val="Normal12Hanging"/>
      </w:pPr>
      <w:r w:rsidRPr="00260AAB">
        <w:t>–</w:t>
      </w:r>
      <w:r w:rsidRPr="00260AAB">
        <w:tab/>
        <w:t>der henviser til Europa-Parlamentets og Rådets forordning (EF) nr. 1920/2006 af 12. december 2006 vedrørende Det Europæiske Overvågningscenter for Narkotika og Narkotikamisbrug</w:t>
      </w:r>
      <w:r w:rsidRPr="00260AAB">
        <w:rPr>
          <w:rStyle w:val="FootnoteReference"/>
        </w:rPr>
        <w:footnoteReference w:id="11"/>
      </w:r>
      <w:r w:rsidRPr="00260AAB">
        <w:t>, særlig artikel 15,</w:t>
      </w:r>
    </w:p>
    <w:p w14:paraId="36214853" w14:textId="77777777" w:rsidR="00750C64" w:rsidRPr="00260AAB" w:rsidRDefault="00750C64" w:rsidP="00750C64">
      <w:pPr>
        <w:pStyle w:val="Normal12Hanging"/>
      </w:pPr>
      <w:r w:rsidRPr="00260AAB">
        <w:t>–</w:t>
      </w:r>
      <w:r w:rsidRPr="00260AAB">
        <w:tab/>
        <w:t>der henviser til Kommissionens delegerede forordning (EU) nr. 1271/2013 af 30. september 2013 om rammefinansforordningen for de organer, der er omhandlet i artikel 208 i Europa-Parlamentets og Rådets forordning (EU, Euratom) nr. 966/2012</w:t>
      </w:r>
      <w:r w:rsidRPr="00260AAB">
        <w:rPr>
          <w:rStyle w:val="FootnoteReference"/>
        </w:rPr>
        <w:footnoteReference w:id="12"/>
      </w:r>
      <w:r w:rsidRPr="00260AAB">
        <w:t xml:space="preserve">, særlig </w:t>
      </w:r>
      <w:r w:rsidRPr="00260AAB">
        <w:lastRenderedPageBreak/>
        <w:t>artikel 108,</w:t>
      </w:r>
    </w:p>
    <w:p w14:paraId="35E06A0D" w14:textId="77777777" w:rsidR="00750C64" w:rsidRPr="00260AAB" w:rsidRDefault="00750C64" w:rsidP="00750C64">
      <w:pPr>
        <w:pStyle w:val="Normal12Hanging"/>
      </w:pPr>
      <w:r w:rsidRPr="00260AAB">
        <w:t>–</w:t>
      </w:r>
      <w:r w:rsidRPr="00260AAB">
        <w:tab/>
        <w:t>der henviser til forretningsordenens artikel 94 og bilag IV,</w:t>
      </w:r>
    </w:p>
    <w:p w14:paraId="7D513CA7" w14:textId="77777777" w:rsidR="00750C64" w:rsidRPr="00260AAB" w:rsidRDefault="00750C64" w:rsidP="00750C64">
      <w:pPr>
        <w:pStyle w:val="Normal12Hanging"/>
      </w:pPr>
      <w:r w:rsidRPr="00260AAB">
        <w:t>–</w:t>
      </w:r>
      <w:r w:rsidRPr="00260AAB">
        <w:tab/>
        <w:t>der henviser til betænkning fra Budgetkontroludvalget og udtalelse fra Udvalget om Borgernes Rettigheder og Retlige og Indre Anliggender (A8-0139/2019),</w:t>
      </w:r>
    </w:p>
    <w:p w14:paraId="3090BAE5" w14:textId="77777777" w:rsidR="00750C64" w:rsidRPr="00260AAB" w:rsidRDefault="00750C64" w:rsidP="00750C64">
      <w:pPr>
        <w:pStyle w:val="Normal12Hanging"/>
      </w:pPr>
      <w:r w:rsidRPr="00260AAB">
        <w:t>1.</w:t>
      </w:r>
      <w:r w:rsidRPr="00260AAB">
        <w:tab/>
        <w:t>godkender afslutningen af regnskaberne for Det Europæiske Overvågningscenter for Narkotika og Narkotikamisbrug for regnskabsåret 2017;</w:t>
      </w:r>
    </w:p>
    <w:p w14:paraId="3B5EB025" w14:textId="77777777" w:rsidR="00750C64" w:rsidRPr="00260AAB" w:rsidRDefault="00750C64" w:rsidP="00750C64">
      <w:pPr>
        <w:pStyle w:val="Normal12Hanging"/>
      </w:pPr>
      <w:r w:rsidRPr="00260AAB">
        <w:t>2.</w:t>
      </w:r>
      <w:r w:rsidRPr="00260AAB">
        <w:tab/>
        <w:t xml:space="preserve">pålægger sin formand at sende denne afgørelse til direktøren for Det Europæiske Overvågningscenter for Narkotika og Narkotikamisbrug, Rådet, Kommissionen og Revisionsretten og drage omsorg for, at den offentliggøres i </w:t>
      </w:r>
      <w:r w:rsidRPr="00260AAB">
        <w:rPr>
          <w:i/>
        </w:rPr>
        <w:t>Den Europæiske Unions Tidende</w:t>
      </w:r>
      <w:r w:rsidRPr="00260AAB">
        <w:t xml:space="preserve"> (L-udgaven).</w:t>
      </w:r>
    </w:p>
    <w:p w14:paraId="3A9843D3" w14:textId="77777777" w:rsidR="00750C64" w:rsidRPr="00260AAB" w:rsidRDefault="00750C64" w:rsidP="00750C64">
      <w:pPr>
        <w:pStyle w:val="PageHeading"/>
      </w:pPr>
      <w:r w:rsidRPr="00260AAB">
        <w:br w:type="page"/>
      </w:r>
      <w:bookmarkStart w:id="9" w:name="_Toc2334198"/>
      <w:bookmarkStart w:id="10" w:name="Resolution"/>
      <w:bookmarkStart w:id="11" w:name="_Toc3886426"/>
      <w:r w:rsidRPr="00260AAB">
        <w:lastRenderedPageBreak/>
        <w:t>3. FORSLAG TIL EUROPA-PARLAMENTETS BESLUTNING</w:t>
      </w:r>
      <w:bookmarkEnd w:id="9"/>
      <w:bookmarkEnd w:id="11"/>
    </w:p>
    <w:p w14:paraId="7E6EBAF5" w14:textId="77777777" w:rsidR="00750C64" w:rsidRPr="00260AAB" w:rsidRDefault="00750C64" w:rsidP="00750C64">
      <w:pPr>
        <w:pStyle w:val="NormalBold"/>
      </w:pPr>
      <w:bookmarkStart w:id="12" w:name="ResolutionTitle"/>
      <w:bookmarkEnd w:id="10"/>
      <w:r w:rsidRPr="00260AAB">
        <w:t>med bemærkningerne, der er en integrerende del af afgørelsen om decharge for gennemførelsen af budgettet for Det Europæiske Overvågningscenter for Narkotika og Narkotikamisbrug for regnskabsåret 2017</w:t>
      </w:r>
    </w:p>
    <w:bookmarkEnd w:id="12"/>
    <w:p w14:paraId="790749E1" w14:textId="77777777" w:rsidR="00750C64" w:rsidRPr="00260AAB" w:rsidRDefault="00750C64" w:rsidP="00750C64">
      <w:pPr>
        <w:pStyle w:val="Normal12Bold"/>
      </w:pPr>
      <w:r w:rsidRPr="00260AAB">
        <w:t>(2018/2181(DEC))</w:t>
      </w:r>
    </w:p>
    <w:p w14:paraId="27AA26C3" w14:textId="77777777" w:rsidR="00750C64" w:rsidRPr="00260AAB" w:rsidRDefault="00750C64" w:rsidP="00750C64">
      <w:pPr>
        <w:pStyle w:val="Normal12"/>
      </w:pPr>
      <w:r w:rsidRPr="00260AAB">
        <w:rPr>
          <w:i/>
        </w:rPr>
        <w:t>Europa-Parlamentet</w:t>
      </w:r>
      <w:r w:rsidRPr="00260AAB">
        <w:t>,</w:t>
      </w:r>
    </w:p>
    <w:p w14:paraId="459DE194" w14:textId="77777777" w:rsidR="00750C64" w:rsidRPr="00260AAB" w:rsidRDefault="00750C64" w:rsidP="00750C64">
      <w:pPr>
        <w:pStyle w:val="Normal12Hanging"/>
      </w:pPr>
      <w:r w:rsidRPr="00260AAB">
        <w:t>–</w:t>
      </w:r>
      <w:r w:rsidRPr="00260AAB">
        <w:tab/>
        <w:t>der henviser til sin afgørelse om decharge for gennemførelsen af budgettet for Det Europæiske Overvågningscenter for Narkotika og Narkotikamisbrug for regnskabsåret 2017,</w:t>
      </w:r>
    </w:p>
    <w:p w14:paraId="54E3C354" w14:textId="77777777" w:rsidR="00750C64" w:rsidRPr="00260AAB" w:rsidRDefault="00750C64" w:rsidP="00750C64">
      <w:pPr>
        <w:pStyle w:val="Normal12Hanging"/>
      </w:pPr>
      <w:r w:rsidRPr="00260AAB">
        <w:t>–</w:t>
      </w:r>
      <w:r w:rsidRPr="00260AAB">
        <w:tab/>
        <w:t>der henviser til forretningsordenens artikel 94 og bilag IV,</w:t>
      </w:r>
    </w:p>
    <w:p w14:paraId="40C9622E" w14:textId="77777777" w:rsidR="00750C64" w:rsidRPr="00260AAB" w:rsidRDefault="00750C64" w:rsidP="00750C64">
      <w:pPr>
        <w:pStyle w:val="Normal12Hanging"/>
      </w:pPr>
      <w:r w:rsidRPr="00260AAB">
        <w:t>–</w:t>
      </w:r>
      <w:r w:rsidRPr="00260AAB">
        <w:tab/>
        <w:t>der henviser til betænkning fra Budgetkontroludvalget og udtalelse fra Udvalget om Borgernes Rettigheder og Retlige og Indre Anliggender (A8-0139/2019),</w:t>
      </w:r>
    </w:p>
    <w:p w14:paraId="08C8516F" w14:textId="77777777" w:rsidR="00750C64" w:rsidRPr="00260AAB" w:rsidRDefault="00750C64" w:rsidP="00750C64">
      <w:pPr>
        <w:pStyle w:val="Normal12Hanging"/>
      </w:pPr>
      <w:r w:rsidRPr="00260AAB">
        <w:t>A.</w:t>
      </w:r>
      <w:r w:rsidRPr="00260AAB">
        <w:tab/>
        <w:t>der henviser til, at det endelige budget for Det Europæiske Overvågningscenter for Narkotika og Narkotikamisbrug ("centret") for regnskabsåret 2017 ifølge dets opgørelse over indtægter og udgifter</w:t>
      </w:r>
      <w:r w:rsidRPr="00260AAB">
        <w:rPr>
          <w:rStyle w:val="FootnoteReference"/>
        </w:rPr>
        <w:footnoteReference w:id="13"/>
      </w:r>
      <w:r w:rsidRPr="00260AAB">
        <w:t xml:space="preserve"> var på 15 828 389 EUR, hvilket svarer til en stigning på 2,64 % sammenlignet med 2016; der henviser til, at centrets budget hovedsageligt stammer fra EU-budgettet;</w:t>
      </w:r>
    </w:p>
    <w:p w14:paraId="07E8D72F" w14:textId="77777777" w:rsidR="00750C64" w:rsidRPr="00260AAB" w:rsidRDefault="00750C64" w:rsidP="00750C64">
      <w:pPr>
        <w:pStyle w:val="Normal12Hanging"/>
      </w:pPr>
      <w:r w:rsidRPr="00260AAB">
        <w:t>B.</w:t>
      </w:r>
      <w:r w:rsidRPr="00260AAB">
        <w:tab/>
        <w:t>der henviser til, at Revisionsretten i sin beretning om årsregnskabet for Det Europæiske Overvågningscenter for Narkotika og Narkotikamisbrug for regnskabsåret 2017 ("Revisionsrettens beretning") fastslår, at den har fået rimelig sikkerhed for, at årsregnskabet er rigtigt, og at de underliggende transaktioner er lovlige og formelt rigtige;</w:t>
      </w:r>
    </w:p>
    <w:p w14:paraId="0A93E0F9" w14:textId="77777777" w:rsidR="00750C64" w:rsidRPr="00260AAB" w:rsidRDefault="00750C64" w:rsidP="00750C64">
      <w:pPr>
        <w:pStyle w:val="Normal12Hanging"/>
        <w:ind w:left="357" w:hanging="357"/>
        <w:rPr>
          <w:b/>
          <w:i/>
          <w:szCs w:val="24"/>
        </w:rPr>
      </w:pPr>
      <w:r w:rsidRPr="00260AAB">
        <w:rPr>
          <w:b/>
          <w:i/>
          <w:szCs w:val="24"/>
        </w:rPr>
        <w:t>Budgetmæssig og økonomisk forvaltning</w:t>
      </w:r>
    </w:p>
    <w:p w14:paraId="662A5B17" w14:textId="77777777" w:rsidR="00750C64" w:rsidRPr="00260AAB" w:rsidRDefault="00750C64" w:rsidP="00750C64">
      <w:pPr>
        <w:pStyle w:val="Normal12Hanging"/>
      </w:pPr>
      <w:r w:rsidRPr="00260AAB">
        <w:t>1.</w:t>
      </w:r>
      <w:r w:rsidRPr="00260AAB">
        <w:tab/>
        <w:t xml:space="preserve">bemærker med tilfredshed, at budgetovervågningsindsatsen i regnskabsåret 2017 resulterede i en budgetgennemførelsesgrad på 100 %, hvilket er en stigning på 0,05 % i forhold til 2016; bemærker, at udnyttelsesgraden for betalingsbevillingerne var på 94,70 %, hvilket svarer til et fald på 0,94 % i forhold til året før; </w:t>
      </w:r>
    </w:p>
    <w:p w14:paraId="01F568C3" w14:textId="77777777" w:rsidR="00750C64" w:rsidRPr="00260AAB" w:rsidRDefault="00750C64" w:rsidP="00750C64">
      <w:pPr>
        <w:pStyle w:val="Normal12Hanging"/>
        <w:ind w:left="357" w:hanging="357"/>
        <w:rPr>
          <w:b/>
          <w:i/>
          <w:szCs w:val="24"/>
        </w:rPr>
      </w:pPr>
      <w:r w:rsidRPr="00260AAB">
        <w:rPr>
          <w:b/>
          <w:i/>
          <w:szCs w:val="24"/>
        </w:rPr>
        <w:t>Bortfald af fremførsler</w:t>
      </w:r>
    </w:p>
    <w:p w14:paraId="3EC0A76E" w14:textId="77777777" w:rsidR="00750C64" w:rsidRPr="00260AAB" w:rsidRDefault="00750C64" w:rsidP="00750C64">
      <w:pPr>
        <w:pStyle w:val="Normal12Hanging"/>
      </w:pPr>
      <w:r w:rsidRPr="00260AAB">
        <w:t>2.</w:t>
      </w:r>
      <w:r w:rsidRPr="00260AAB">
        <w:tab/>
        <w:t xml:space="preserve">bemærker, at de bortfaldne fremførsler fra 2016 til 2017 beløb sig til 18 245 EUR, hvilket svarer til 3,90 % af det samlede overførte beløb og en stigning på 0,15 % i forhold til 2016; </w:t>
      </w:r>
    </w:p>
    <w:p w14:paraId="7FE3EF57" w14:textId="77777777" w:rsidR="00750C64" w:rsidRPr="00260AAB" w:rsidRDefault="00750C64" w:rsidP="00750C64">
      <w:pPr>
        <w:pStyle w:val="Normal12Hanging"/>
        <w:ind w:left="357" w:hanging="357"/>
        <w:rPr>
          <w:b/>
          <w:i/>
          <w:szCs w:val="24"/>
        </w:rPr>
      </w:pPr>
      <w:r w:rsidRPr="00260AAB">
        <w:rPr>
          <w:b/>
          <w:i/>
          <w:szCs w:val="24"/>
        </w:rPr>
        <w:t>Performance</w:t>
      </w:r>
    </w:p>
    <w:p w14:paraId="6661DF47" w14:textId="77777777" w:rsidR="00750C64" w:rsidRPr="00260AAB" w:rsidRDefault="00750C64" w:rsidP="00750C64">
      <w:pPr>
        <w:pStyle w:val="Normal12Hanging"/>
      </w:pPr>
      <w:r w:rsidRPr="00260AAB">
        <w:t>3.</w:t>
      </w:r>
      <w:r w:rsidRPr="00260AAB">
        <w:tab/>
        <w:t>bemærker med tilfredshed, at centret ved hjælp af 50 centrale resultatindikatorer måler opfyldelsen af sine 68 årlige mål, som er opdelt i otte strategiske mål, med henblik på at vurdere merværdien af sine aktiviteter og forbedre budgetforvaltningen;</w:t>
      </w:r>
      <w:r w:rsidRPr="00260AAB">
        <w:rPr>
          <w:rStyle w:val="FootnoteReference"/>
        </w:rPr>
        <w:t xml:space="preserve"> </w:t>
      </w:r>
    </w:p>
    <w:p w14:paraId="53BF9E9A" w14:textId="77777777" w:rsidR="00750C64" w:rsidRPr="00260AAB" w:rsidRDefault="00750C64" w:rsidP="00750C64">
      <w:pPr>
        <w:pStyle w:val="Normal12Hanging"/>
      </w:pPr>
      <w:r w:rsidRPr="00260AAB">
        <w:lastRenderedPageBreak/>
        <w:t>4.</w:t>
      </w:r>
      <w:r w:rsidRPr="00260AAB">
        <w:tab/>
        <w:t>anerkender, at centret har nået 90 % af sine årlige mål for 2017, og at det med succes har gennemført det første år af sin strategi hen imod 2025;</w:t>
      </w:r>
    </w:p>
    <w:p w14:paraId="793464CA" w14:textId="77777777" w:rsidR="00750C64" w:rsidRPr="00260AAB" w:rsidRDefault="00750C64" w:rsidP="00750C64">
      <w:pPr>
        <w:pStyle w:val="Normal12Hanging"/>
      </w:pPr>
      <w:r w:rsidRPr="00260AAB">
        <w:t>5.</w:t>
      </w:r>
      <w:r w:rsidRPr="00260AAB">
        <w:tab/>
        <w:t>bemærker med tilfredshed, at centret deler synergier med Det Europæiske Agentur for Søfartssikkerhed inden for fælles serviceydelser og støttetjenester og forvaltningen af fælles bygninger i Lissabon; anerkender, at der er skabt operationelle synergier med andre EU-agenturer inden for retlige og indre anliggender samt sundhed;</w:t>
      </w:r>
    </w:p>
    <w:p w14:paraId="6A0B9A55" w14:textId="77777777" w:rsidR="00750C64" w:rsidRPr="00260AAB" w:rsidRDefault="00750C64" w:rsidP="00750C64">
      <w:pPr>
        <w:pStyle w:val="Normal12Hanging"/>
        <w:rPr>
          <w:b/>
          <w:i/>
        </w:rPr>
      </w:pPr>
      <w:r w:rsidRPr="00260AAB">
        <w:rPr>
          <w:b/>
          <w:i/>
        </w:rPr>
        <w:t>Personalepolitik</w:t>
      </w:r>
    </w:p>
    <w:p w14:paraId="5A2C9FF2" w14:textId="77777777" w:rsidR="00750C64" w:rsidRPr="00260AAB" w:rsidRDefault="00750C64" w:rsidP="00750C64">
      <w:pPr>
        <w:pStyle w:val="Normal12Hanging"/>
      </w:pPr>
      <w:r w:rsidRPr="00260AAB">
        <w:t>6.</w:t>
      </w:r>
      <w:r w:rsidRPr="00260AAB">
        <w:tab/>
        <w:t>bemærker, at stillingsfortegnelsen var gennemført med 93,51 % pr. 31. december 2017, med 72 tjenestemænd eller midlertidigt ansatte ud af de 77 tjenestemænd og midlertidigt ansatte, som var godkendt i henhold til EU's budget (sammenlignet med 79 godkendte stillinger i 2016); bemærker, at derudover arbejdede 29 kontraktansatte og én udstationeret national ekspert for centret i 2017;</w:t>
      </w:r>
    </w:p>
    <w:p w14:paraId="7D00E46C" w14:textId="77777777" w:rsidR="00750C64" w:rsidRPr="00260AAB" w:rsidRDefault="00750C64" w:rsidP="00750C64">
      <w:pPr>
        <w:pStyle w:val="Normal12Hanging"/>
        <w:rPr>
          <w:szCs w:val="24"/>
        </w:rPr>
      </w:pPr>
      <w:r w:rsidRPr="00260AAB">
        <w:t>7.</w:t>
      </w:r>
      <w:r w:rsidRPr="00260AAB">
        <w:tab/>
        <w:t>noterer sig, at centret har generelle bestemmelser om opbygning og opretholdelse af en arbejdskultur baseret på værdighed og respekt med sigte på at forebygge og bekæmpe chikane; anerkender, at det giver mulighed for fortrolig rådgivning;</w:t>
      </w:r>
    </w:p>
    <w:p w14:paraId="2647F773" w14:textId="77777777" w:rsidR="00750C64" w:rsidRPr="00260AAB" w:rsidRDefault="00750C64" w:rsidP="00750C64">
      <w:pPr>
        <w:pStyle w:val="Normal12Hanging"/>
      </w:pPr>
      <w:r w:rsidRPr="00260AAB">
        <w:t>8.</w:t>
      </w:r>
      <w:r w:rsidRPr="00260AAB">
        <w:tab/>
        <w:t>glæder sig over Revisionsrettens forslag om også at offentliggøre stillingsopslag på Det Europæiske Personaleudvælgelseskontors websted med henblik på skabe større opmærksomhed herom; bemærker, at centret ifølge dets svar vil vurdere cost-benefit-forholdet for denne foranstaltning, og at det desuden har planer om at offentliggøre alle fremtidige ledige stillinger på den jobopslagstavle for agenturerne, som EU-agenturernes netværk har udviklet;</w:t>
      </w:r>
      <w:r w:rsidRPr="00260AAB">
        <w:rPr>
          <w:rStyle w:val="FootnoteReference"/>
          <w:sz w:val="23"/>
          <w:szCs w:val="23"/>
        </w:rPr>
        <w:t xml:space="preserve"> </w:t>
      </w:r>
    </w:p>
    <w:p w14:paraId="31ECC621" w14:textId="77777777" w:rsidR="00750C64" w:rsidRPr="00260AAB" w:rsidRDefault="00750C64" w:rsidP="00750C64">
      <w:pPr>
        <w:pStyle w:val="Normal12Hanging"/>
        <w:ind w:left="0" w:firstLine="0"/>
        <w:rPr>
          <w:b/>
          <w:i/>
        </w:rPr>
      </w:pPr>
      <w:r w:rsidRPr="00260AAB">
        <w:rPr>
          <w:b/>
          <w:i/>
        </w:rPr>
        <w:t>Udbud</w:t>
      </w:r>
    </w:p>
    <w:p w14:paraId="6379A12D" w14:textId="5DB6C796" w:rsidR="00750C64" w:rsidRPr="00260AAB" w:rsidRDefault="00750C64" w:rsidP="00750C64">
      <w:pPr>
        <w:pStyle w:val="Normal12Hanging"/>
      </w:pPr>
      <w:r w:rsidRPr="00260AAB">
        <w:t>9.</w:t>
      </w:r>
      <w:r w:rsidRPr="00260AAB">
        <w:tab/>
        <w:t>noterer sig med tilfredshed, at centret har indført en udbudsplan, som blev gennemført med succes i tæ</w:t>
      </w:r>
      <w:r w:rsidR="00B3389D">
        <w:t>t samarbejde med alle enheder;</w:t>
      </w:r>
    </w:p>
    <w:p w14:paraId="4C29163C" w14:textId="77777777" w:rsidR="00750C64" w:rsidRPr="00260AAB" w:rsidRDefault="00750C64" w:rsidP="00750C64">
      <w:pPr>
        <w:pStyle w:val="Normal12Hanging"/>
      </w:pPr>
      <w:r w:rsidRPr="00260AAB">
        <w:t>10.</w:t>
      </w:r>
      <w:r w:rsidRPr="00260AAB">
        <w:tab/>
        <w:t>bemærker, at centret ifølge Revisionsrettens beretning ved udgangen af 2017 endnu ikke havde anvendt nogen af de redskaber, som Kommissionen havde iværksat med det formål at indføre en fælles løsning for elektronisk udveksling af oplysninger med tredjeparter, der deltager i offentlige indkøbsprocedurer (e-procurement); bemærker, at centret ifølge centrets svar har indført de nødvendige redskaber til elektronisk fakturering ("e-invoicing") og har planlagt de forberedende foranstaltninger, der er nødvendige for at kunne anvende elektroniske udbudsbekendtgørelser ("e-tendering") og elektronisk afgivelse af tilbud ("e-submission") fra oktober 2018 som krævet i de relevante retlige rammer; opfordrer centret til at aflægge rapport til dechargemyndigheden om de fremskridt, der er gjort i denne henseende;</w:t>
      </w:r>
    </w:p>
    <w:p w14:paraId="5F46E24C" w14:textId="77777777" w:rsidR="00750C64" w:rsidRPr="00260AAB" w:rsidRDefault="00750C64" w:rsidP="00750C64">
      <w:pPr>
        <w:pStyle w:val="Normal12Hanging"/>
        <w:ind w:left="357" w:hanging="357"/>
        <w:rPr>
          <w:b/>
          <w:i/>
          <w:szCs w:val="24"/>
        </w:rPr>
      </w:pPr>
      <w:r w:rsidRPr="00260AAB">
        <w:rPr>
          <w:b/>
          <w:i/>
          <w:szCs w:val="24"/>
        </w:rPr>
        <w:t>Forebyggelse og håndtering af interessekonflikter samt gennemsigtighed</w:t>
      </w:r>
    </w:p>
    <w:p w14:paraId="3D646A08" w14:textId="77777777" w:rsidR="00750C64" w:rsidRPr="00260AAB" w:rsidRDefault="00750C64" w:rsidP="00750C64">
      <w:pPr>
        <w:pStyle w:val="Normal12Hanging"/>
      </w:pPr>
      <w:r w:rsidRPr="00260AAB">
        <w:t>11.</w:t>
      </w:r>
      <w:r w:rsidRPr="00260AAB">
        <w:tab/>
        <w:t>noterer sig, at der ifølge Revisionsrettens beretning er behov for at styrke regnskabsførerens uafhængighed ved at lade ham rapportere direkte til centrets direktør og bestyrelse; bemærker, at de nuværende organisatoriske rammer ifølge centret svar ikke har påvirket regnskabsførerens uafhængighed; bemærker endvidere, at centret imidlertid er parat til at følge op på Revisionsrettens anbefaling;</w:t>
      </w:r>
      <w:r w:rsidRPr="00260AAB">
        <w:rPr>
          <w:sz w:val="23"/>
          <w:szCs w:val="23"/>
        </w:rPr>
        <w:t xml:space="preserve"> </w:t>
      </w:r>
    </w:p>
    <w:p w14:paraId="50448860" w14:textId="77777777" w:rsidR="00750C64" w:rsidRPr="00260AAB" w:rsidRDefault="00750C64" w:rsidP="00750C64">
      <w:pPr>
        <w:pStyle w:val="Normal12Hanging"/>
        <w:ind w:left="357" w:hanging="357"/>
        <w:rPr>
          <w:b/>
          <w:i/>
          <w:szCs w:val="24"/>
        </w:rPr>
      </w:pPr>
      <w:r w:rsidRPr="00260AAB">
        <w:rPr>
          <w:b/>
          <w:i/>
          <w:szCs w:val="24"/>
        </w:rPr>
        <w:lastRenderedPageBreak/>
        <w:t>Interne kontroller</w:t>
      </w:r>
    </w:p>
    <w:p w14:paraId="7030B20C" w14:textId="77777777" w:rsidR="00750C64" w:rsidRPr="00260AAB" w:rsidRDefault="00750C64" w:rsidP="00750C64">
      <w:pPr>
        <w:pStyle w:val="Normal12Hanging"/>
      </w:pPr>
      <w:r w:rsidRPr="00260AAB">
        <w:t>12.</w:t>
      </w:r>
      <w:r w:rsidRPr="00260AAB">
        <w:tab/>
        <w:t xml:space="preserve">bemærker, at Kommissionens Interne Revisionstjeneste (IAS) har skitseret, hvor vigtigt det er, at der foretages en analyse af behovet for dataindsamling og -validering samt kvalitetssikring af data, og at rammen for datakvalitetssikring samt dennes overensstemmelse med centrets strategi hen imod 2025 revideres; bemærker, at centret vedtog en handlingsplan for at imødekomme disse anbefalinger i december 2017; anmoder centret om at aflægge rapport til dechargemyndigheden om de fremskridt, der er gjort i denne forbindelse; </w:t>
      </w:r>
    </w:p>
    <w:p w14:paraId="172B7B23" w14:textId="77777777" w:rsidR="00750C64" w:rsidRPr="00260AAB" w:rsidRDefault="00750C64" w:rsidP="00750C64">
      <w:pPr>
        <w:pStyle w:val="Normal12Hanging"/>
      </w:pPr>
      <w:r w:rsidRPr="00260AAB">
        <w:t>13.</w:t>
      </w:r>
      <w:r w:rsidRPr="00260AAB">
        <w:tab/>
        <w:t xml:space="preserve">bemærker med beklagelse, at en af anbefalingerne, der blev klassificeret som "vigtig", og som indgik i IAS' revision af "budget og overvågning" i 2013, stadig ikke er gennemført fuldt ud; bemærker med bekymring, at en række anbefalinger hidrørende fra IAS' revision af IT-projektforvaltningen i 2015 ifølge Revisionsrettens beretning kun delvist er gennemført og stadig er i gang; opfordrer </w:t>
      </w:r>
      <w:r w:rsidRPr="00260AAB">
        <w:rPr>
          <w:snapToGrid w:val="0"/>
        </w:rPr>
        <w:t>centret til at aflægge rapport til dechargemyndigheden om gennemførelsen af disse anbefalinger;</w:t>
      </w:r>
    </w:p>
    <w:p w14:paraId="7A1F9C18" w14:textId="77777777" w:rsidR="00750C64" w:rsidRPr="00260AAB" w:rsidRDefault="00750C64" w:rsidP="00750C64">
      <w:pPr>
        <w:pStyle w:val="Normal12Centre"/>
      </w:pPr>
      <w:r w:rsidRPr="00260AAB">
        <w:t>o</w:t>
      </w:r>
    </w:p>
    <w:p w14:paraId="29B42F45" w14:textId="77777777" w:rsidR="00750C64" w:rsidRPr="00260AAB" w:rsidRDefault="00750C64" w:rsidP="00750C64">
      <w:pPr>
        <w:pStyle w:val="Normal12Centre"/>
      </w:pPr>
      <w:r w:rsidRPr="00260AAB">
        <w:t>o     o</w:t>
      </w:r>
    </w:p>
    <w:p w14:paraId="008628EF" w14:textId="77777777" w:rsidR="00750C64" w:rsidRPr="00260AAB" w:rsidRDefault="00750C64" w:rsidP="00750C64">
      <w:pPr>
        <w:pStyle w:val="Normal12Hanging"/>
      </w:pPr>
      <w:r w:rsidRPr="00260AAB">
        <w:t>14.</w:t>
      </w:r>
      <w:r w:rsidRPr="00260AAB">
        <w:tab/>
        <w:t>henviser med hensyn til de øvrige bemærkninger, der ledsager dechargeafgørelsen, og som er af horisontal karakter, til sin beslutning af ...2018</w:t>
      </w:r>
      <w:r w:rsidRPr="00260AAB">
        <w:rPr>
          <w:rStyle w:val="FootnoteReference"/>
        </w:rPr>
        <w:footnoteReference w:id="14"/>
      </w:r>
      <w:r w:rsidRPr="00260AAB">
        <w:t xml:space="preserve"> om agenturernes resultater, økonomiske forvaltning og kontrol.</w:t>
      </w:r>
    </w:p>
    <w:p w14:paraId="3207A137" w14:textId="77777777" w:rsidR="00750C64" w:rsidRPr="00260AAB" w:rsidRDefault="00750C64" w:rsidP="00750C64">
      <w:pPr>
        <w:sectPr w:rsidR="00750C64" w:rsidRPr="00260AAB" w:rsidSect="00260AA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pPr>
    </w:p>
    <w:p w14:paraId="4B65208B" w14:textId="69C09232" w:rsidR="00750C64" w:rsidRPr="00260AAB" w:rsidRDefault="00750C64" w:rsidP="00750C64"/>
    <w:p w14:paraId="1CDA91FB" w14:textId="124B68AB" w:rsidR="00750C64" w:rsidRPr="00260AAB" w:rsidRDefault="00750C64" w:rsidP="00750C64"/>
    <w:p w14:paraId="081F1D82" w14:textId="77777777" w:rsidR="00750C64" w:rsidRPr="00260AAB" w:rsidRDefault="00750C64" w:rsidP="00750C64">
      <w:pPr>
        <w:pStyle w:val="ZDate"/>
        <w:spacing w:after="480"/>
      </w:pPr>
      <w:r w:rsidRPr="00260AAB">
        <w:rPr>
          <w:rStyle w:val="HideTWBExt"/>
          <w:noProof w:val="0"/>
        </w:rPr>
        <w:t>&lt;Date&gt;</w:t>
      </w:r>
      <w:r w:rsidRPr="00260AAB">
        <w:rPr>
          <w:rStyle w:val="HideTWBInt"/>
        </w:rPr>
        <w:t>{17/01/2019}</w:t>
      </w:r>
      <w:r w:rsidRPr="00260AAB">
        <w:t>17.1.2019</w:t>
      </w:r>
      <w:r w:rsidRPr="00260AAB">
        <w:rPr>
          <w:rStyle w:val="HideTWBExt"/>
          <w:noProof w:val="0"/>
        </w:rPr>
        <w:t>&lt;/Date&gt;</w:t>
      </w:r>
    </w:p>
    <w:p w14:paraId="386C4719" w14:textId="626B67F7" w:rsidR="00750C64" w:rsidRPr="00260AAB" w:rsidRDefault="00750C64" w:rsidP="00750C64">
      <w:pPr>
        <w:pStyle w:val="PageHeading"/>
        <w:spacing w:before="0" w:after="720"/>
      </w:pPr>
      <w:bookmarkStart w:id="13" w:name="_Toc3886427"/>
      <w:r w:rsidRPr="00260AAB">
        <w:t xml:space="preserve">UDTALELSE </w:t>
      </w:r>
      <w:r w:rsidRPr="00260AAB">
        <w:rPr>
          <w:rStyle w:val="HideTWBExt"/>
          <w:noProof w:val="0"/>
        </w:rPr>
        <w:t>&lt;CommissionResp&gt;</w:t>
      </w:r>
      <w:bookmarkStart w:id="14" w:name="OpinionToc_1"/>
      <w:r w:rsidRPr="00260AAB">
        <w:rPr>
          <w:caps/>
        </w:rPr>
        <w:t>fra Udvalget om Borgernes Rettigheder og Retlige og Indre Anliggender</w:t>
      </w:r>
      <w:bookmarkEnd w:id="14"/>
      <w:bookmarkEnd w:id="13"/>
      <w:r w:rsidRPr="00260AAB">
        <w:rPr>
          <w:rStyle w:val="HideTWBExt"/>
          <w:noProof w:val="0"/>
        </w:rPr>
        <w:t>&lt;/CommissionResp&gt;</w:t>
      </w:r>
    </w:p>
    <w:p w14:paraId="2CF05E14" w14:textId="77777777" w:rsidR="00750C64" w:rsidRPr="00260AAB" w:rsidRDefault="00750C64" w:rsidP="00750C64">
      <w:pPr>
        <w:pStyle w:val="Cover24"/>
        <w:ind w:left="0"/>
      </w:pPr>
      <w:r w:rsidRPr="00260AAB">
        <w:rPr>
          <w:rStyle w:val="HideTWBExt"/>
          <w:noProof w:val="0"/>
        </w:rPr>
        <w:t>&lt;CommissionInt&gt;</w:t>
      </w:r>
      <w:r w:rsidRPr="00260AAB">
        <w:t>til Budgetkontroludvalget</w:t>
      </w:r>
      <w:r w:rsidRPr="00260AAB">
        <w:rPr>
          <w:rStyle w:val="HideTWBExt"/>
          <w:noProof w:val="0"/>
        </w:rPr>
        <w:t>&lt;/CommissionInt&gt;</w:t>
      </w:r>
    </w:p>
    <w:p w14:paraId="1C55F07F" w14:textId="77777777" w:rsidR="00750C64" w:rsidRPr="00260AAB" w:rsidRDefault="00750C64" w:rsidP="00750C64">
      <w:pPr>
        <w:pStyle w:val="CoverNormal"/>
        <w:ind w:left="0"/>
      </w:pPr>
      <w:r w:rsidRPr="00260AAB">
        <w:rPr>
          <w:rStyle w:val="HideTWBExt"/>
          <w:noProof w:val="0"/>
        </w:rPr>
        <w:t>&lt;Titre&gt;</w:t>
      </w:r>
      <w:r w:rsidRPr="00260AAB">
        <w:t xml:space="preserve">om decharge for gennemførelsen af budgettet for Det Europæiske Overvågningscenter for Narkotika og Narkotikamisbrug for regnskabsåret 2017 </w:t>
      </w:r>
      <w:r w:rsidRPr="00260AAB">
        <w:rPr>
          <w:rStyle w:val="HideTWBExt"/>
          <w:noProof w:val="0"/>
        </w:rPr>
        <w:t>&lt;/Titre&gt;</w:t>
      </w:r>
    </w:p>
    <w:p w14:paraId="27F7F9B3" w14:textId="77777777" w:rsidR="00750C64" w:rsidRPr="00260AAB" w:rsidRDefault="00750C64" w:rsidP="00750C64">
      <w:pPr>
        <w:pStyle w:val="Cover24"/>
        <w:ind w:left="0"/>
      </w:pPr>
      <w:r w:rsidRPr="00260AAB">
        <w:rPr>
          <w:rStyle w:val="HideTWBExt"/>
          <w:noProof w:val="0"/>
        </w:rPr>
        <w:t>&lt;DocRef&gt;</w:t>
      </w:r>
      <w:r w:rsidRPr="00260AAB">
        <w:t>(2018/2181(DEC))</w:t>
      </w:r>
      <w:r w:rsidRPr="00260AAB">
        <w:rPr>
          <w:rStyle w:val="HideTWBExt"/>
          <w:noProof w:val="0"/>
        </w:rPr>
        <w:t>&lt;/DocRef&gt;</w:t>
      </w:r>
    </w:p>
    <w:p w14:paraId="6F331F64" w14:textId="77777777" w:rsidR="00750C64" w:rsidRPr="00260AAB" w:rsidRDefault="00750C64" w:rsidP="00750C64">
      <w:pPr>
        <w:pStyle w:val="Cover24"/>
        <w:ind w:left="0"/>
      </w:pPr>
      <w:r w:rsidRPr="00260AAB">
        <w:t xml:space="preserve">Ordfører for udtalelse: </w:t>
      </w:r>
      <w:r w:rsidRPr="00260AAB">
        <w:rPr>
          <w:rStyle w:val="HideTWBExt"/>
          <w:noProof w:val="0"/>
        </w:rPr>
        <w:t>&lt;Depute&gt;</w:t>
      </w:r>
      <w:r w:rsidRPr="00260AAB">
        <w:t>Romeo Franz</w:t>
      </w:r>
      <w:r w:rsidRPr="00260AAB">
        <w:rPr>
          <w:rStyle w:val="HideTWBExt"/>
          <w:noProof w:val="0"/>
        </w:rPr>
        <w:t>&lt;/Depute&gt;</w:t>
      </w:r>
    </w:p>
    <w:p w14:paraId="17483797" w14:textId="77777777" w:rsidR="00750C64" w:rsidRPr="00260AAB" w:rsidRDefault="00750C64" w:rsidP="00750C64">
      <w:pPr>
        <w:pStyle w:val="CoverNormal"/>
        <w:ind w:left="0"/>
      </w:pPr>
    </w:p>
    <w:p w14:paraId="488963DD" w14:textId="4D805036" w:rsidR="00750C64" w:rsidRPr="00260AAB" w:rsidRDefault="00750C64" w:rsidP="00E856D2">
      <w:pPr>
        <w:widowControl/>
        <w:tabs>
          <w:tab w:val="center" w:pos="4677"/>
        </w:tabs>
      </w:pPr>
    </w:p>
    <w:p w14:paraId="59C8DE1D" w14:textId="60A65383" w:rsidR="00750C64" w:rsidRPr="00260AAB" w:rsidRDefault="00750C64" w:rsidP="00E856D2">
      <w:pPr>
        <w:widowControl/>
        <w:tabs>
          <w:tab w:val="center" w:pos="4677"/>
        </w:tabs>
      </w:pPr>
    </w:p>
    <w:p w14:paraId="09FDEDA8" w14:textId="4E920D85" w:rsidR="00750C64" w:rsidRPr="00260AAB" w:rsidRDefault="00750C64">
      <w:pPr>
        <w:pStyle w:val="PageHeadingNotTOC"/>
      </w:pPr>
      <w:r w:rsidRPr="00260AAB">
        <w:t>FORSLAG</w:t>
      </w:r>
    </w:p>
    <w:p w14:paraId="6D9307D1" w14:textId="77777777" w:rsidR="00750C64" w:rsidRPr="00260AAB" w:rsidRDefault="00750C64" w:rsidP="008313E7">
      <w:pPr>
        <w:pStyle w:val="Normal12"/>
      </w:pPr>
      <w:r w:rsidRPr="00260AAB">
        <w:t>Udvalget om Borgernes Rettigheder og Retlige og Indre Anliggender opfordrer Budgetkontroludvalget, som er korresponderende udvalg, til at optage følgende forslag i det beslutningsforslag, det vedtager:</w:t>
      </w:r>
    </w:p>
    <w:p w14:paraId="3C9FC933" w14:textId="77777777" w:rsidR="00750C64" w:rsidRPr="00260AAB" w:rsidRDefault="00750C64" w:rsidP="006C2D5F">
      <w:pPr>
        <w:pStyle w:val="Normal12Hanging"/>
      </w:pPr>
      <w:bookmarkStart w:id="15" w:name="restart"/>
      <w:r w:rsidRPr="00260AAB">
        <w:t>1.</w:t>
      </w:r>
      <w:r w:rsidRPr="00260AAB">
        <w:tab/>
        <w:t>glæder sig over Revisionsrettens konklusioner om, at årsregnskabet for Det Europæiske Overvågningscenter for Narkotika og Narkotikamisbrug ("centret") giver et retvisende billede af dets finansielle stilling pr. 31. december 2017, og at dets transaktioner er lovlige og formelt rigtige; glæder sig især over fraværet af bemærkninger fra Revisionsrettens side vedrørende den finansielle gennemførelse af centrets budget for 2017;</w:t>
      </w:r>
    </w:p>
    <w:p w14:paraId="58F66F22" w14:textId="77777777" w:rsidR="00750C64" w:rsidRPr="00260AAB" w:rsidRDefault="00750C64" w:rsidP="006C2D5F">
      <w:pPr>
        <w:pStyle w:val="Normal12Hanging"/>
      </w:pPr>
      <w:r w:rsidRPr="00260AAB">
        <w:t>2.</w:t>
      </w:r>
      <w:r w:rsidRPr="00260AAB">
        <w:tab/>
        <w:t>bemærker, at centrets regnskabsfører på nuværende tidspunkt rapporterer administrativt til lederen af Administration/Corporate Services i stedet for til centrets direktør, som Revisionsretten har anbefalet det for alle decentrale agenturer; bemærker, at den nuværende rapporteringslinje ifølge centret er tilpasset dets størrelse og ikke påvirker regnskabsførerens uafhængighed; anmoder ikke desto mindre om, at centret nøje følger Revisionsrettens anbefaling og lader regnskabsføreren rapportere direkte til centrets direktør for så vidt angår administrative anliggender og til bestyrelsen for så vidt angår funktionelle aspekter; opfordrer centret til at uddelegere sine regnskabsfunktioner til Kommissionens regnskabsfører på et kontraktmæssigt grundlag, da dette vil øge effektiviteten af udarbejdelsen af årsregnskabet og sikre dens pålidelighed;</w:t>
      </w:r>
    </w:p>
    <w:p w14:paraId="011261BE" w14:textId="77777777" w:rsidR="00750C64" w:rsidRPr="00260AAB" w:rsidRDefault="00750C64" w:rsidP="006C2D5F">
      <w:pPr>
        <w:pStyle w:val="Normal12Hanging"/>
      </w:pPr>
      <w:r w:rsidRPr="00260AAB">
        <w:t>3.</w:t>
      </w:r>
      <w:r w:rsidRPr="00260AAB">
        <w:tab/>
        <w:t xml:space="preserve">beklager, at den interne revisionstjenestes anbefaling fra januar 2016 om at forbedre centrets forvaltning af IT-projekter ikke kunne afsluttes inden udgangen af 2017; </w:t>
      </w:r>
      <w:r w:rsidRPr="00260AAB">
        <w:lastRenderedPageBreak/>
        <w:t>insisterer specifikt på, at centret udvikler en overordnet langsigtet strategisk vision for IT-systemer, der understøtter dets centrale operationelle processer, og at det vedtager IT-projekt- og systemstyringsmetoder, der er tilpasset dets behov; anmoder centret om at få afsluttet denne udestående revisionsanbefaling fra 2016 så hurtigt som muligt;</w:t>
      </w:r>
    </w:p>
    <w:p w14:paraId="393C6933" w14:textId="77777777" w:rsidR="00750C64" w:rsidRPr="00260AAB" w:rsidRDefault="00750C64" w:rsidP="006C2D5F">
      <w:pPr>
        <w:pStyle w:val="Normal12Hanging"/>
      </w:pPr>
      <w:r w:rsidRPr="00260AAB">
        <w:t>4.</w:t>
      </w:r>
      <w:r w:rsidRPr="00260AAB">
        <w:tab/>
        <w:t>noterer sig Revisionsrettens bemærkninger om offentliggørelse af stillingsopslag på Det Europæiske Personaleudvælgelseskontors (EPSO's) websted; anerkender centrets bekymringer med hensyn til yderligere oversættelsesomkostninger, fordi EPSO kræver offentliggørelse af stillingsopslag på alle EU-institutionernes officielle sprog; kræver derfor, at centret fortsat offentliggør alle dets stillingsopslag på den jobopslagstavle for agenturerne, som EU-agenturernes netværk har udviklet, og hvor det er relevant også på EPSO's websted;</w:t>
      </w:r>
    </w:p>
    <w:p w14:paraId="5D9CA5B0" w14:textId="77777777" w:rsidR="00750C64" w:rsidRPr="00260AAB" w:rsidRDefault="00750C64" w:rsidP="006C2D5F">
      <w:pPr>
        <w:pStyle w:val="Normal12Hanging"/>
      </w:pPr>
      <w:r w:rsidRPr="00260AAB">
        <w:t>5.</w:t>
      </w:r>
      <w:r w:rsidRPr="00260AAB">
        <w:tab/>
        <w:t>glæder sig over, at centret har forpligtet sig til at adressere de anbefalinger, som IAS har påpeget i sin revisionsrapport fra 2017 om "Management of Data Collection, Validation and Quality Assurance"; understreger vigtigheden af, at centret lever op til sine forpligtelser.</w:t>
      </w:r>
    </w:p>
    <w:p w14:paraId="5D8D4646" w14:textId="77777777" w:rsidR="00750C64" w:rsidRPr="00260AAB" w:rsidRDefault="00750C64" w:rsidP="006C2D5F">
      <w:pPr>
        <w:pStyle w:val="Normal12Hanging"/>
        <w:jc w:val="center"/>
        <w:rPr>
          <w:rFonts w:asciiTheme="minorBidi" w:hAnsiTheme="minorBidi" w:cstheme="minorBidi"/>
          <w:b/>
        </w:rPr>
      </w:pPr>
      <w:r w:rsidRPr="00260AAB">
        <w:br w:type="page"/>
      </w:r>
      <w:bookmarkEnd w:id="15"/>
      <w:r w:rsidRPr="00260AAB">
        <w:rPr>
          <w:rFonts w:asciiTheme="minorBidi" w:hAnsiTheme="minorBidi"/>
          <w:b/>
        </w:rPr>
        <w:lastRenderedPageBreak/>
        <w:t>OPLYSNINGER OM VEDTAGELSE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50C64" w:rsidRPr="00260AAB" w14:paraId="41805E5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CDD681" w14:textId="77777777" w:rsidR="00750C64" w:rsidRPr="00260AAB" w:rsidRDefault="00750C64">
            <w:pPr>
              <w:autoSpaceDE w:val="0"/>
              <w:autoSpaceDN w:val="0"/>
              <w:adjustRightInd w:val="0"/>
              <w:rPr>
                <w:b/>
                <w:bCs/>
                <w:color w:val="000000"/>
                <w:sz w:val="20"/>
              </w:rPr>
            </w:pPr>
            <w:r w:rsidRPr="00260AAB">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6AADBFE" w14:textId="77777777" w:rsidR="00750C64" w:rsidRPr="00260AAB" w:rsidRDefault="00750C64">
            <w:pPr>
              <w:autoSpaceDE w:val="0"/>
              <w:autoSpaceDN w:val="0"/>
              <w:adjustRightInd w:val="0"/>
              <w:rPr>
                <w:color w:val="000000"/>
                <w:sz w:val="20"/>
              </w:rPr>
            </w:pPr>
            <w:r w:rsidRPr="00260AAB">
              <w:rPr>
                <w:color w:val="000000"/>
                <w:sz w:val="20"/>
              </w:rPr>
              <w:t>10.1.2019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3C683E7" w14:textId="77777777" w:rsidR="00750C64" w:rsidRPr="00260AAB" w:rsidRDefault="00750C6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1BF0C96" w14:textId="77777777" w:rsidR="00750C64" w:rsidRPr="00260AAB" w:rsidRDefault="00750C6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9529DE7" w14:textId="77777777" w:rsidR="00750C64" w:rsidRPr="00260AAB" w:rsidRDefault="00750C64">
            <w:pPr>
              <w:autoSpaceDE w:val="0"/>
              <w:autoSpaceDN w:val="0"/>
              <w:adjustRightInd w:val="0"/>
              <w:rPr>
                <w:rFonts w:ascii="sans-serif" w:hAnsi="sans-serif" w:cs="sans-serif"/>
                <w:color w:val="000000"/>
                <w:szCs w:val="24"/>
              </w:rPr>
            </w:pPr>
          </w:p>
        </w:tc>
      </w:tr>
      <w:tr w:rsidR="00750C64" w:rsidRPr="00260AAB" w14:paraId="302DEF0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B0FF82" w14:textId="77777777" w:rsidR="00750C64" w:rsidRPr="00260AAB" w:rsidRDefault="00750C64">
            <w:pPr>
              <w:autoSpaceDE w:val="0"/>
              <w:autoSpaceDN w:val="0"/>
              <w:adjustRightInd w:val="0"/>
              <w:rPr>
                <w:b/>
                <w:bCs/>
                <w:color w:val="000000"/>
                <w:sz w:val="20"/>
              </w:rPr>
            </w:pPr>
            <w:r w:rsidRPr="00260AAB">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5470361" w14:textId="77777777" w:rsidR="00750C64" w:rsidRPr="00260AAB" w:rsidRDefault="00750C64">
            <w:pPr>
              <w:autoSpaceDE w:val="0"/>
              <w:autoSpaceDN w:val="0"/>
              <w:adjustRightInd w:val="0"/>
              <w:rPr>
                <w:color w:val="000000"/>
                <w:sz w:val="20"/>
              </w:rPr>
            </w:pPr>
            <w:r w:rsidRPr="00260AAB">
              <w:rPr>
                <w:color w:val="000000"/>
                <w:sz w:val="20"/>
              </w:rPr>
              <w:t>+:</w:t>
            </w:r>
          </w:p>
          <w:p w14:paraId="50598278" w14:textId="77777777" w:rsidR="00750C64" w:rsidRPr="00260AAB" w:rsidRDefault="00750C64">
            <w:pPr>
              <w:autoSpaceDE w:val="0"/>
              <w:autoSpaceDN w:val="0"/>
              <w:adjustRightInd w:val="0"/>
              <w:rPr>
                <w:color w:val="000000"/>
                <w:sz w:val="20"/>
              </w:rPr>
            </w:pPr>
            <w:r w:rsidRPr="00260AAB">
              <w:rPr>
                <w:color w:val="000000"/>
                <w:sz w:val="20"/>
              </w:rPr>
              <w:t>–:</w:t>
            </w:r>
          </w:p>
          <w:p w14:paraId="14EF1475" w14:textId="77777777" w:rsidR="00750C64" w:rsidRPr="00260AAB" w:rsidRDefault="00750C64">
            <w:pPr>
              <w:autoSpaceDE w:val="0"/>
              <w:autoSpaceDN w:val="0"/>
              <w:adjustRightInd w:val="0"/>
              <w:rPr>
                <w:color w:val="000000"/>
                <w:sz w:val="20"/>
              </w:rPr>
            </w:pPr>
            <w:r w:rsidRPr="00260AA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F07E55" w14:textId="77777777" w:rsidR="00750C64" w:rsidRPr="00260AAB" w:rsidRDefault="00750C64">
            <w:pPr>
              <w:autoSpaceDE w:val="0"/>
              <w:autoSpaceDN w:val="0"/>
              <w:adjustRightInd w:val="0"/>
              <w:rPr>
                <w:color w:val="000000"/>
                <w:sz w:val="20"/>
              </w:rPr>
            </w:pPr>
            <w:r w:rsidRPr="00260AAB">
              <w:rPr>
                <w:color w:val="000000"/>
                <w:sz w:val="20"/>
              </w:rPr>
              <w:t>43</w:t>
            </w:r>
          </w:p>
          <w:p w14:paraId="4F2B54B3" w14:textId="77777777" w:rsidR="00750C64" w:rsidRPr="00260AAB" w:rsidRDefault="00750C64">
            <w:pPr>
              <w:autoSpaceDE w:val="0"/>
              <w:autoSpaceDN w:val="0"/>
              <w:adjustRightInd w:val="0"/>
              <w:rPr>
                <w:color w:val="000000"/>
                <w:sz w:val="20"/>
              </w:rPr>
            </w:pPr>
            <w:r w:rsidRPr="00260AAB">
              <w:rPr>
                <w:color w:val="000000"/>
                <w:sz w:val="20"/>
              </w:rPr>
              <w:t>2</w:t>
            </w:r>
          </w:p>
          <w:p w14:paraId="4C5D3E5A" w14:textId="77777777" w:rsidR="00750C64" w:rsidRPr="00260AAB" w:rsidRDefault="00750C64">
            <w:pPr>
              <w:autoSpaceDE w:val="0"/>
              <w:autoSpaceDN w:val="0"/>
              <w:adjustRightInd w:val="0"/>
              <w:rPr>
                <w:color w:val="000000"/>
                <w:sz w:val="20"/>
              </w:rPr>
            </w:pPr>
            <w:r w:rsidRPr="00260AAB">
              <w:rPr>
                <w:color w:val="000000"/>
                <w:sz w:val="20"/>
              </w:rPr>
              <w:t>1</w:t>
            </w:r>
          </w:p>
        </w:tc>
      </w:tr>
      <w:tr w:rsidR="00750C64" w:rsidRPr="00260AAB" w14:paraId="7AE9F45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38457F" w14:textId="77777777" w:rsidR="00750C64" w:rsidRPr="00260AAB" w:rsidRDefault="00750C64">
            <w:pPr>
              <w:autoSpaceDE w:val="0"/>
              <w:autoSpaceDN w:val="0"/>
              <w:adjustRightInd w:val="0"/>
              <w:rPr>
                <w:b/>
                <w:bCs/>
                <w:color w:val="000000"/>
                <w:sz w:val="20"/>
              </w:rPr>
            </w:pPr>
            <w:r w:rsidRPr="00260AAB">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CF0470" w14:textId="77777777" w:rsidR="00750C64" w:rsidRPr="00260AAB" w:rsidRDefault="00750C64">
            <w:pPr>
              <w:autoSpaceDE w:val="0"/>
              <w:autoSpaceDN w:val="0"/>
              <w:adjustRightInd w:val="0"/>
              <w:rPr>
                <w:color w:val="000000"/>
                <w:sz w:val="20"/>
              </w:rPr>
            </w:pPr>
            <w:r w:rsidRPr="00260AAB">
              <w:rPr>
                <w:color w:val="000000"/>
                <w:sz w:val="20"/>
              </w:rPr>
              <w:t>Asim Ademov, Martina Anderson, Heinz K. Becker, Monika Beňová, Michał Boni, Caterina Chinnici, Rachida Dati, Frank Engel, Laura Ferrara, Romeo Franz, Kinga Gál, Ana Gomes, Nathalie Griesbeck, Sylvie Guillaume, Monika Hohlmeier, Sophia in ‘t Veld, Cécile Kashetu Kyenge, Monica Macovei, Roberta Metsola, Claude Moraes, Ivari Padar, Judith Sargentini, Csaba Sógor, Helga Stevens, Traian Ungureanu, Bodil Valero, Marie-Christine Vergiat, Udo Voigt, Josef Weidenholzer, Cecilia Wikström, Kristina Winberg, Tomáš Zdechovský, Auke Zijlstra</w:t>
            </w:r>
          </w:p>
        </w:tc>
      </w:tr>
      <w:tr w:rsidR="00750C64" w:rsidRPr="00260AAB" w14:paraId="23B5079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C5045AF" w14:textId="77777777" w:rsidR="00750C64" w:rsidRPr="00260AAB" w:rsidRDefault="00750C64">
            <w:pPr>
              <w:autoSpaceDE w:val="0"/>
              <w:autoSpaceDN w:val="0"/>
              <w:adjustRightInd w:val="0"/>
              <w:rPr>
                <w:b/>
                <w:bCs/>
                <w:color w:val="000000"/>
                <w:sz w:val="20"/>
              </w:rPr>
            </w:pPr>
            <w:r w:rsidRPr="00260AAB">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E8E49E1" w14:textId="77777777" w:rsidR="00750C64" w:rsidRPr="00260AAB" w:rsidRDefault="00750C64">
            <w:pPr>
              <w:autoSpaceDE w:val="0"/>
              <w:autoSpaceDN w:val="0"/>
              <w:adjustRightInd w:val="0"/>
              <w:rPr>
                <w:color w:val="000000"/>
                <w:sz w:val="20"/>
              </w:rPr>
            </w:pPr>
            <w:r w:rsidRPr="00260AAB">
              <w:rPr>
                <w:color w:val="000000"/>
                <w:sz w:val="20"/>
              </w:rPr>
              <w:t>Dennis de Jong, Anna Hedh, Lívia Járóka, Marek Jurek, Jean Lambert, Jeroen Lenaers, Andrejs Mamikins, Angelika Mlinar, Maite Pagazaurtundúa Ruiz, Christine Revault d’Allonnes Bonnefoy</w:t>
            </w:r>
          </w:p>
        </w:tc>
      </w:tr>
      <w:tr w:rsidR="00750C64" w:rsidRPr="00260AAB" w14:paraId="7AB7A40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2F1174D" w14:textId="77777777" w:rsidR="00750C64" w:rsidRPr="00260AAB" w:rsidRDefault="00750C64">
            <w:pPr>
              <w:autoSpaceDE w:val="0"/>
              <w:autoSpaceDN w:val="0"/>
              <w:adjustRightInd w:val="0"/>
              <w:rPr>
                <w:b/>
                <w:bCs/>
                <w:color w:val="000000"/>
                <w:sz w:val="20"/>
              </w:rPr>
            </w:pPr>
            <w:r w:rsidRPr="00260AAB">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617D0F2" w14:textId="77777777" w:rsidR="00750C64" w:rsidRPr="00260AAB" w:rsidRDefault="00750C64">
            <w:pPr>
              <w:autoSpaceDE w:val="0"/>
              <w:autoSpaceDN w:val="0"/>
              <w:adjustRightInd w:val="0"/>
              <w:rPr>
                <w:color w:val="000000"/>
                <w:sz w:val="20"/>
              </w:rPr>
            </w:pPr>
            <w:r w:rsidRPr="00260AAB">
              <w:rPr>
                <w:color w:val="000000"/>
                <w:sz w:val="20"/>
              </w:rPr>
              <w:t>Norbert Erdős, Fernando Ruas, Adam Szejnfeld</w:t>
            </w:r>
          </w:p>
        </w:tc>
      </w:tr>
    </w:tbl>
    <w:p w14:paraId="721BE798" w14:textId="77777777" w:rsidR="00750C64" w:rsidRPr="00260AAB" w:rsidRDefault="00750C64" w:rsidP="006C2D5F"/>
    <w:p w14:paraId="3390B0A0" w14:textId="77777777" w:rsidR="00750C64" w:rsidRPr="00260AAB" w:rsidRDefault="00750C64" w:rsidP="00C2406B">
      <w:pPr>
        <w:pStyle w:val="PageHeadingNotTOC"/>
      </w:pPr>
      <w:r w:rsidRPr="00260AAB">
        <w:br w:type="page"/>
      </w:r>
      <w:r w:rsidRPr="00260AAB">
        <w:lastRenderedPageBreak/>
        <w:t>ENDELIG AFSTEMNING VED NAVNEOPRÅB</w:t>
      </w:r>
      <w:r w:rsidRPr="00260AAB">
        <w:br/>
        <w:t>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50C64" w:rsidRPr="00260AAB" w14:paraId="2187FCBC" w14:textId="77777777" w:rsidTr="003044A8">
        <w:trPr>
          <w:cantSplit/>
        </w:trPr>
        <w:tc>
          <w:tcPr>
            <w:tcW w:w="1701" w:type="dxa"/>
            <w:shd w:val="pct10" w:color="000000" w:fill="FFFFFF"/>
            <w:vAlign w:val="center"/>
          </w:tcPr>
          <w:p w14:paraId="50D4AE16" w14:textId="77777777" w:rsidR="00750C64" w:rsidRPr="00260AAB" w:rsidRDefault="00750C64" w:rsidP="003044A8">
            <w:pPr>
              <w:spacing w:before="120" w:after="120"/>
              <w:jc w:val="center"/>
              <w:rPr>
                <w:b/>
                <w:sz w:val="20"/>
              </w:rPr>
            </w:pPr>
            <w:r w:rsidRPr="00260AAB">
              <w:rPr>
                <w:b/>
                <w:sz w:val="20"/>
              </w:rPr>
              <w:t>43</w:t>
            </w:r>
          </w:p>
        </w:tc>
        <w:tc>
          <w:tcPr>
            <w:tcW w:w="7371" w:type="dxa"/>
            <w:shd w:val="pct10" w:color="000000" w:fill="FFFFFF"/>
          </w:tcPr>
          <w:p w14:paraId="0A27522B" w14:textId="77777777" w:rsidR="00750C64" w:rsidRPr="00260AAB" w:rsidRDefault="00750C64" w:rsidP="003044A8">
            <w:pPr>
              <w:spacing w:before="120" w:after="120"/>
              <w:jc w:val="center"/>
              <w:rPr>
                <w:rFonts w:ascii="Arial" w:hAnsi="Arial" w:cs="Arial"/>
                <w:b/>
                <w:sz w:val="28"/>
                <w:szCs w:val="28"/>
              </w:rPr>
            </w:pPr>
            <w:r w:rsidRPr="00260AAB">
              <w:rPr>
                <w:rFonts w:ascii="Arial" w:hAnsi="Arial"/>
                <w:b/>
                <w:sz w:val="28"/>
                <w:szCs w:val="28"/>
              </w:rPr>
              <w:t>+</w:t>
            </w:r>
          </w:p>
        </w:tc>
      </w:tr>
      <w:tr w:rsidR="00750C64" w:rsidRPr="00260AAB" w14:paraId="467C7411" w14:textId="77777777" w:rsidTr="003044A8">
        <w:trPr>
          <w:cantSplit/>
        </w:trPr>
        <w:tc>
          <w:tcPr>
            <w:tcW w:w="1701" w:type="dxa"/>
            <w:shd w:val="clear" w:color="auto" w:fill="FFFFFF"/>
          </w:tcPr>
          <w:p w14:paraId="78F78C37" w14:textId="77777777" w:rsidR="00750C64" w:rsidRPr="00260AAB" w:rsidRDefault="00750C64" w:rsidP="003044A8">
            <w:pPr>
              <w:spacing w:before="120" w:after="120"/>
              <w:rPr>
                <w:sz w:val="20"/>
              </w:rPr>
            </w:pPr>
            <w:r w:rsidRPr="00260AAB">
              <w:rPr>
                <w:sz w:val="20"/>
              </w:rPr>
              <w:t>ALDE</w:t>
            </w:r>
          </w:p>
        </w:tc>
        <w:tc>
          <w:tcPr>
            <w:tcW w:w="7371" w:type="dxa"/>
            <w:shd w:val="clear" w:color="auto" w:fill="FFFFFF"/>
          </w:tcPr>
          <w:p w14:paraId="4BCB049A" w14:textId="77777777" w:rsidR="00750C64" w:rsidRPr="00260AAB" w:rsidRDefault="00750C64" w:rsidP="003044A8">
            <w:pPr>
              <w:spacing w:before="120" w:after="120"/>
              <w:rPr>
                <w:sz w:val="20"/>
              </w:rPr>
            </w:pPr>
            <w:r w:rsidRPr="00260AAB">
              <w:rPr>
                <w:sz w:val="20"/>
              </w:rPr>
              <w:t>Nathalie Griesbeck, Sophia in 't Veld, Angelika Mlinar, Maite Pagazaurtundúa Ruiz, Cecilia Wikström</w:t>
            </w:r>
          </w:p>
        </w:tc>
      </w:tr>
      <w:tr w:rsidR="00750C64" w:rsidRPr="00260AAB" w14:paraId="0C679E01" w14:textId="77777777" w:rsidTr="003044A8">
        <w:trPr>
          <w:cantSplit/>
        </w:trPr>
        <w:tc>
          <w:tcPr>
            <w:tcW w:w="1701" w:type="dxa"/>
            <w:shd w:val="clear" w:color="auto" w:fill="FFFFFF"/>
          </w:tcPr>
          <w:p w14:paraId="2F7D8E23" w14:textId="77777777" w:rsidR="00750C64" w:rsidRPr="00260AAB" w:rsidRDefault="00750C64" w:rsidP="003044A8">
            <w:pPr>
              <w:spacing w:before="120" w:after="120"/>
              <w:rPr>
                <w:sz w:val="20"/>
              </w:rPr>
            </w:pPr>
            <w:r w:rsidRPr="00260AAB">
              <w:rPr>
                <w:sz w:val="20"/>
              </w:rPr>
              <w:t>ECR</w:t>
            </w:r>
          </w:p>
        </w:tc>
        <w:tc>
          <w:tcPr>
            <w:tcW w:w="7371" w:type="dxa"/>
            <w:shd w:val="clear" w:color="auto" w:fill="FFFFFF"/>
          </w:tcPr>
          <w:p w14:paraId="7EC2A602" w14:textId="77777777" w:rsidR="00750C64" w:rsidRPr="00260AAB" w:rsidRDefault="00750C64" w:rsidP="003044A8">
            <w:pPr>
              <w:spacing w:before="120" w:after="120"/>
              <w:rPr>
                <w:sz w:val="20"/>
              </w:rPr>
            </w:pPr>
            <w:r w:rsidRPr="00260AAB">
              <w:rPr>
                <w:sz w:val="20"/>
              </w:rPr>
              <w:t>Marek Jurek, Monica Macovei, Helga Stevens</w:t>
            </w:r>
          </w:p>
        </w:tc>
      </w:tr>
      <w:tr w:rsidR="00750C64" w:rsidRPr="00260AAB" w14:paraId="66A00AB6" w14:textId="77777777" w:rsidTr="003044A8">
        <w:trPr>
          <w:cantSplit/>
        </w:trPr>
        <w:tc>
          <w:tcPr>
            <w:tcW w:w="1701" w:type="dxa"/>
            <w:shd w:val="clear" w:color="auto" w:fill="FFFFFF"/>
          </w:tcPr>
          <w:p w14:paraId="7E2548D4" w14:textId="77777777" w:rsidR="00750C64" w:rsidRPr="00260AAB" w:rsidRDefault="00750C64" w:rsidP="003044A8">
            <w:pPr>
              <w:spacing w:before="120" w:after="120"/>
              <w:rPr>
                <w:sz w:val="20"/>
              </w:rPr>
            </w:pPr>
            <w:r w:rsidRPr="00260AAB">
              <w:rPr>
                <w:sz w:val="20"/>
              </w:rPr>
              <w:t>EFDD</w:t>
            </w:r>
          </w:p>
        </w:tc>
        <w:tc>
          <w:tcPr>
            <w:tcW w:w="7371" w:type="dxa"/>
            <w:shd w:val="clear" w:color="auto" w:fill="FFFFFF"/>
          </w:tcPr>
          <w:p w14:paraId="7767DD41" w14:textId="77777777" w:rsidR="00750C64" w:rsidRPr="00260AAB" w:rsidRDefault="00750C64" w:rsidP="003044A8">
            <w:pPr>
              <w:spacing w:before="120" w:after="120"/>
              <w:rPr>
                <w:sz w:val="20"/>
              </w:rPr>
            </w:pPr>
            <w:r w:rsidRPr="00260AAB">
              <w:rPr>
                <w:sz w:val="20"/>
              </w:rPr>
              <w:t>Laura Ferrara</w:t>
            </w:r>
          </w:p>
        </w:tc>
      </w:tr>
      <w:tr w:rsidR="00750C64" w:rsidRPr="00260AAB" w14:paraId="60AA5A1D" w14:textId="77777777" w:rsidTr="003044A8">
        <w:trPr>
          <w:cantSplit/>
        </w:trPr>
        <w:tc>
          <w:tcPr>
            <w:tcW w:w="1701" w:type="dxa"/>
            <w:shd w:val="clear" w:color="auto" w:fill="FFFFFF"/>
          </w:tcPr>
          <w:p w14:paraId="24C7CAF3" w14:textId="77777777" w:rsidR="00750C64" w:rsidRPr="00260AAB" w:rsidRDefault="00750C64" w:rsidP="003044A8">
            <w:pPr>
              <w:spacing w:before="120" w:after="120"/>
              <w:rPr>
                <w:sz w:val="20"/>
              </w:rPr>
            </w:pPr>
            <w:r w:rsidRPr="00260AAB">
              <w:rPr>
                <w:sz w:val="20"/>
              </w:rPr>
              <w:t>GUE/NGL</w:t>
            </w:r>
          </w:p>
        </w:tc>
        <w:tc>
          <w:tcPr>
            <w:tcW w:w="7371" w:type="dxa"/>
            <w:shd w:val="clear" w:color="auto" w:fill="FFFFFF"/>
          </w:tcPr>
          <w:p w14:paraId="1FC19629" w14:textId="77777777" w:rsidR="00750C64" w:rsidRPr="00260AAB" w:rsidRDefault="00750C64" w:rsidP="003044A8">
            <w:pPr>
              <w:spacing w:before="120" w:after="120"/>
              <w:rPr>
                <w:sz w:val="20"/>
              </w:rPr>
            </w:pPr>
            <w:r w:rsidRPr="00260AAB">
              <w:rPr>
                <w:sz w:val="20"/>
              </w:rPr>
              <w:t>Martina Anderson, Dennis de Jong, Marie-Christine Vergiat</w:t>
            </w:r>
          </w:p>
        </w:tc>
      </w:tr>
      <w:tr w:rsidR="00750C64" w:rsidRPr="00260AAB" w14:paraId="162FCD99" w14:textId="77777777" w:rsidTr="003044A8">
        <w:trPr>
          <w:cantSplit/>
        </w:trPr>
        <w:tc>
          <w:tcPr>
            <w:tcW w:w="1701" w:type="dxa"/>
            <w:shd w:val="clear" w:color="auto" w:fill="FFFFFF"/>
          </w:tcPr>
          <w:p w14:paraId="025005B9" w14:textId="77777777" w:rsidR="00750C64" w:rsidRPr="00260AAB" w:rsidRDefault="00750C64" w:rsidP="003044A8">
            <w:pPr>
              <w:spacing w:before="120" w:after="120"/>
              <w:rPr>
                <w:sz w:val="20"/>
              </w:rPr>
            </w:pPr>
            <w:r w:rsidRPr="00260AAB">
              <w:rPr>
                <w:sz w:val="20"/>
              </w:rPr>
              <w:t>PPE</w:t>
            </w:r>
          </w:p>
        </w:tc>
        <w:tc>
          <w:tcPr>
            <w:tcW w:w="7371" w:type="dxa"/>
            <w:shd w:val="clear" w:color="auto" w:fill="FFFFFF"/>
          </w:tcPr>
          <w:p w14:paraId="52F82EFF" w14:textId="77777777" w:rsidR="00750C64" w:rsidRPr="00260AAB" w:rsidRDefault="00750C64" w:rsidP="003044A8">
            <w:pPr>
              <w:spacing w:before="120" w:after="120"/>
              <w:rPr>
                <w:sz w:val="20"/>
              </w:rPr>
            </w:pPr>
            <w:r w:rsidRPr="00260AAB">
              <w:rPr>
                <w:sz w:val="20"/>
              </w:rPr>
              <w:t>Asim Ademov, Heinz K. Becker, Michał Boni, Rachida Dati, Frank Engel, Norbert Erdős, Kinga Gál, Monika Hohlmeier, Lívia Járóka, Jeroen Lenaers, Roberta Metsola, Fernando Ruas, Csaba Sógor, Adam Szejnfeld, Traian Ungureanu, Tomáš Zdechovský</w:t>
            </w:r>
          </w:p>
        </w:tc>
      </w:tr>
      <w:tr w:rsidR="00750C64" w:rsidRPr="00260AAB" w14:paraId="5E7C2BAE" w14:textId="77777777" w:rsidTr="003044A8">
        <w:trPr>
          <w:cantSplit/>
        </w:trPr>
        <w:tc>
          <w:tcPr>
            <w:tcW w:w="1701" w:type="dxa"/>
            <w:shd w:val="clear" w:color="auto" w:fill="FFFFFF"/>
          </w:tcPr>
          <w:p w14:paraId="42EF32B6" w14:textId="77777777" w:rsidR="00750C64" w:rsidRPr="00260AAB" w:rsidRDefault="00750C64" w:rsidP="003044A8">
            <w:pPr>
              <w:spacing w:before="120" w:after="120"/>
              <w:rPr>
                <w:sz w:val="20"/>
              </w:rPr>
            </w:pPr>
            <w:r w:rsidRPr="00260AAB">
              <w:rPr>
                <w:sz w:val="20"/>
              </w:rPr>
              <w:t>S&amp;D</w:t>
            </w:r>
          </w:p>
        </w:tc>
        <w:tc>
          <w:tcPr>
            <w:tcW w:w="7371" w:type="dxa"/>
            <w:shd w:val="clear" w:color="auto" w:fill="FFFFFF"/>
          </w:tcPr>
          <w:p w14:paraId="6D793892" w14:textId="77777777" w:rsidR="00750C64" w:rsidRPr="00260AAB" w:rsidRDefault="00750C64" w:rsidP="003044A8">
            <w:pPr>
              <w:spacing w:before="120" w:after="120"/>
              <w:rPr>
                <w:sz w:val="20"/>
              </w:rPr>
            </w:pPr>
            <w:r w:rsidRPr="00260AAB">
              <w:rPr>
                <w:sz w:val="20"/>
              </w:rPr>
              <w:t>Monika Beňová, Caterina Chinnici, Ana Gomes, Sylvie Guillaume, Anna Hedh, Cécile Kashetu Kyenge, Andrejs Mamikins, Claude Moraes, Ivari Padar, Christine Revault d'Allonnes Bonnefoy, Josef Weidenholzer</w:t>
            </w:r>
          </w:p>
        </w:tc>
      </w:tr>
      <w:tr w:rsidR="00750C64" w:rsidRPr="00260AAB" w14:paraId="5904E8E4" w14:textId="77777777" w:rsidTr="003044A8">
        <w:trPr>
          <w:cantSplit/>
        </w:trPr>
        <w:tc>
          <w:tcPr>
            <w:tcW w:w="1701" w:type="dxa"/>
            <w:shd w:val="clear" w:color="auto" w:fill="FFFFFF"/>
          </w:tcPr>
          <w:p w14:paraId="5CA488C0" w14:textId="77777777" w:rsidR="00750C64" w:rsidRPr="00260AAB" w:rsidRDefault="00750C64" w:rsidP="003044A8">
            <w:pPr>
              <w:spacing w:before="120" w:after="120"/>
              <w:rPr>
                <w:sz w:val="20"/>
              </w:rPr>
            </w:pPr>
            <w:r w:rsidRPr="00260AAB">
              <w:rPr>
                <w:sz w:val="20"/>
              </w:rPr>
              <w:t>VERTS/ALE</w:t>
            </w:r>
          </w:p>
        </w:tc>
        <w:tc>
          <w:tcPr>
            <w:tcW w:w="7371" w:type="dxa"/>
            <w:shd w:val="clear" w:color="auto" w:fill="FFFFFF"/>
          </w:tcPr>
          <w:p w14:paraId="2F1F2616" w14:textId="77777777" w:rsidR="00750C64" w:rsidRPr="00260AAB" w:rsidRDefault="00750C64" w:rsidP="003044A8">
            <w:pPr>
              <w:spacing w:before="120" w:after="120"/>
              <w:rPr>
                <w:sz w:val="20"/>
              </w:rPr>
            </w:pPr>
            <w:r w:rsidRPr="00260AAB">
              <w:rPr>
                <w:sz w:val="20"/>
              </w:rPr>
              <w:t>Romeo Franz, Jean Lambert, Judith Sargentini, Bodil Valero</w:t>
            </w:r>
          </w:p>
        </w:tc>
      </w:tr>
    </w:tbl>
    <w:p w14:paraId="2C6756EF" w14:textId="77777777" w:rsidR="00750C64" w:rsidRPr="00260AAB" w:rsidRDefault="00750C64" w:rsidP="006C2D5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50C64" w:rsidRPr="00260AAB" w14:paraId="60DF3EB8" w14:textId="77777777" w:rsidTr="003044A8">
        <w:trPr>
          <w:cantSplit/>
        </w:trPr>
        <w:tc>
          <w:tcPr>
            <w:tcW w:w="1701" w:type="dxa"/>
            <w:shd w:val="pct10" w:color="000000" w:fill="FFFFFF"/>
            <w:vAlign w:val="center"/>
          </w:tcPr>
          <w:p w14:paraId="137EDC14" w14:textId="77777777" w:rsidR="00750C64" w:rsidRPr="00260AAB" w:rsidRDefault="00750C64" w:rsidP="003044A8">
            <w:pPr>
              <w:spacing w:before="120" w:after="120"/>
              <w:jc w:val="center"/>
              <w:rPr>
                <w:b/>
                <w:sz w:val="16"/>
              </w:rPr>
            </w:pPr>
            <w:r w:rsidRPr="00260AAB">
              <w:rPr>
                <w:b/>
                <w:sz w:val="20"/>
              </w:rPr>
              <w:t>2</w:t>
            </w:r>
          </w:p>
        </w:tc>
        <w:tc>
          <w:tcPr>
            <w:tcW w:w="7371" w:type="dxa"/>
            <w:shd w:val="pct10" w:color="000000" w:fill="FFFFFF"/>
          </w:tcPr>
          <w:p w14:paraId="04CDA929" w14:textId="77777777" w:rsidR="00750C64" w:rsidRPr="00260AAB" w:rsidRDefault="00750C64" w:rsidP="003044A8">
            <w:pPr>
              <w:spacing w:before="120" w:after="120"/>
              <w:jc w:val="center"/>
              <w:rPr>
                <w:sz w:val="28"/>
                <w:szCs w:val="28"/>
              </w:rPr>
            </w:pPr>
            <w:r w:rsidRPr="00260AAB">
              <w:rPr>
                <w:rFonts w:ascii="Arial" w:hAnsi="Arial"/>
                <w:b/>
                <w:sz w:val="28"/>
                <w:szCs w:val="28"/>
              </w:rPr>
              <w:t>-</w:t>
            </w:r>
          </w:p>
        </w:tc>
      </w:tr>
      <w:tr w:rsidR="00750C64" w:rsidRPr="00260AAB" w14:paraId="67264A2E" w14:textId="77777777" w:rsidTr="003044A8">
        <w:trPr>
          <w:cantSplit/>
        </w:trPr>
        <w:tc>
          <w:tcPr>
            <w:tcW w:w="1701" w:type="dxa"/>
            <w:shd w:val="clear" w:color="auto" w:fill="FFFFFF"/>
          </w:tcPr>
          <w:p w14:paraId="6F75F4DA" w14:textId="77777777" w:rsidR="00750C64" w:rsidRPr="00260AAB" w:rsidRDefault="00750C64" w:rsidP="003044A8">
            <w:pPr>
              <w:spacing w:before="120" w:after="120"/>
              <w:rPr>
                <w:sz w:val="20"/>
              </w:rPr>
            </w:pPr>
            <w:r w:rsidRPr="00260AAB">
              <w:rPr>
                <w:sz w:val="20"/>
              </w:rPr>
              <w:t>ENF</w:t>
            </w:r>
          </w:p>
        </w:tc>
        <w:tc>
          <w:tcPr>
            <w:tcW w:w="7371" w:type="dxa"/>
            <w:shd w:val="clear" w:color="auto" w:fill="FFFFFF"/>
          </w:tcPr>
          <w:p w14:paraId="1B3F5180" w14:textId="77777777" w:rsidR="00750C64" w:rsidRPr="00260AAB" w:rsidRDefault="00750C64" w:rsidP="003044A8">
            <w:pPr>
              <w:spacing w:before="120" w:after="120"/>
              <w:rPr>
                <w:sz w:val="20"/>
              </w:rPr>
            </w:pPr>
            <w:r w:rsidRPr="00260AAB">
              <w:rPr>
                <w:sz w:val="20"/>
              </w:rPr>
              <w:t>Auke Zijlstra</w:t>
            </w:r>
          </w:p>
        </w:tc>
      </w:tr>
      <w:tr w:rsidR="00750C64" w:rsidRPr="00260AAB" w14:paraId="449A0982" w14:textId="77777777" w:rsidTr="003044A8">
        <w:trPr>
          <w:cantSplit/>
        </w:trPr>
        <w:tc>
          <w:tcPr>
            <w:tcW w:w="1701" w:type="dxa"/>
            <w:shd w:val="clear" w:color="auto" w:fill="FFFFFF"/>
          </w:tcPr>
          <w:p w14:paraId="42F8A6C5" w14:textId="77777777" w:rsidR="00750C64" w:rsidRPr="00260AAB" w:rsidRDefault="00750C64" w:rsidP="003044A8">
            <w:pPr>
              <w:spacing w:before="120" w:after="120"/>
              <w:rPr>
                <w:sz w:val="20"/>
              </w:rPr>
            </w:pPr>
            <w:r w:rsidRPr="00260AAB">
              <w:rPr>
                <w:sz w:val="20"/>
              </w:rPr>
              <w:t>NI</w:t>
            </w:r>
          </w:p>
        </w:tc>
        <w:tc>
          <w:tcPr>
            <w:tcW w:w="7371" w:type="dxa"/>
            <w:shd w:val="clear" w:color="auto" w:fill="FFFFFF"/>
          </w:tcPr>
          <w:p w14:paraId="5822A829" w14:textId="77777777" w:rsidR="00750C64" w:rsidRPr="00260AAB" w:rsidRDefault="00750C64" w:rsidP="003044A8">
            <w:pPr>
              <w:spacing w:before="120" w:after="120"/>
              <w:rPr>
                <w:sz w:val="20"/>
              </w:rPr>
            </w:pPr>
            <w:r w:rsidRPr="00260AAB">
              <w:rPr>
                <w:sz w:val="20"/>
              </w:rPr>
              <w:t>Udo Voigt</w:t>
            </w:r>
          </w:p>
        </w:tc>
      </w:tr>
    </w:tbl>
    <w:p w14:paraId="646B872F" w14:textId="77777777" w:rsidR="00750C64" w:rsidRPr="00260AAB" w:rsidRDefault="00750C64" w:rsidP="006C2D5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50C64" w:rsidRPr="00260AAB" w14:paraId="658892D5" w14:textId="77777777" w:rsidTr="003044A8">
        <w:trPr>
          <w:cantSplit/>
        </w:trPr>
        <w:tc>
          <w:tcPr>
            <w:tcW w:w="1701" w:type="dxa"/>
            <w:shd w:val="pct10" w:color="000000" w:fill="FFFFFF"/>
            <w:vAlign w:val="center"/>
          </w:tcPr>
          <w:p w14:paraId="0C2DF071" w14:textId="77777777" w:rsidR="00750C64" w:rsidRPr="00260AAB" w:rsidRDefault="00750C64" w:rsidP="003044A8">
            <w:pPr>
              <w:spacing w:before="120" w:after="120"/>
              <w:jc w:val="center"/>
              <w:rPr>
                <w:b/>
                <w:sz w:val="16"/>
              </w:rPr>
            </w:pPr>
            <w:r w:rsidRPr="00260AAB">
              <w:rPr>
                <w:b/>
                <w:sz w:val="20"/>
              </w:rPr>
              <w:t>1</w:t>
            </w:r>
          </w:p>
        </w:tc>
        <w:tc>
          <w:tcPr>
            <w:tcW w:w="7371" w:type="dxa"/>
            <w:shd w:val="pct10" w:color="000000" w:fill="FFFFFF"/>
          </w:tcPr>
          <w:p w14:paraId="596DD4C6" w14:textId="77777777" w:rsidR="00750C64" w:rsidRPr="00260AAB" w:rsidRDefault="00750C64" w:rsidP="003044A8">
            <w:pPr>
              <w:spacing w:before="120" w:after="120"/>
              <w:jc w:val="center"/>
              <w:rPr>
                <w:sz w:val="28"/>
                <w:szCs w:val="28"/>
              </w:rPr>
            </w:pPr>
            <w:r w:rsidRPr="00260AAB">
              <w:rPr>
                <w:rFonts w:ascii="Arial" w:hAnsi="Arial"/>
                <w:b/>
                <w:sz w:val="28"/>
                <w:szCs w:val="28"/>
              </w:rPr>
              <w:t>0</w:t>
            </w:r>
          </w:p>
        </w:tc>
      </w:tr>
      <w:tr w:rsidR="00750C64" w:rsidRPr="00260AAB" w14:paraId="55EABCFB" w14:textId="77777777" w:rsidTr="003044A8">
        <w:trPr>
          <w:cantSplit/>
        </w:trPr>
        <w:tc>
          <w:tcPr>
            <w:tcW w:w="1701" w:type="dxa"/>
            <w:shd w:val="clear" w:color="auto" w:fill="FFFFFF"/>
          </w:tcPr>
          <w:p w14:paraId="4375EC97" w14:textId="77777777" w:rsidR="00750C64" w:rsidRPr="00260AAB" w:rsidRDefault="00750C64" w:rsidP="003044A8">
            <w:pPr>
              <w:spacing w:before="120" w:after="120"/>
              <w:rPr>
                <w:sz w:val="20"/>
              </w:rPr>
            </w:pPr>
            <w:r w:rsidRPr="00260AAB">
              <w:rPr>
                <w:sz w:val="20"/>
              </w:rPr>
              <w:t>ECR</w:t>
            </w:r>
          </w:p>
        </w:tc>
        <w:tc>
          <w:tcPr>
            <w:tcW w:w="7371" w:type="dxa"/>
            <w:shd w:val="clear" w:color="auto" w:fill="FFFFFF"/>
          </w:tcPr>
          <w:p w14:paraId="1E023652" w14:textId="77777777" w:rsidR="00750C64" w:rsidRPr="00260AAB" w:rsidRDefault="00750C64" w:rsidP="003044A8">
            <w:pPr>
              <w:spacing w:before="120" w:after="120"/>
              <w:rPr>
                <w:sz w:val="20"/>
              </w:rPr>
            </w:pPr>
            <w:r w:rsidRPr="00260AAB">
              <w:rPr>
                <w:sz w:val="20"/>
              </w:rPr>
              <w:t>Kristina Winberg</w:t>
            </w:r>
          </w:p>
        </w:tc>
      </w:tr>
    </w:tbl>
    <w:p w14:paraId="2960D72E" w14:textId="77777777" w:rsidR="00750C64" w:rsidRPr="00260AAB" w:rsidRDefault="00750C64" w:rsidP="00147FBF">
      <w:pPr>
        <w:pStyle w:val="Normal12"/>
      </w:pPr>
    </w:p>
    <w:p w14:paraId="032BCC11" w14:textId="77777777" w:rsidR="00750C64" w:rsidRPr="00260AAB" w:rsidRDefault="00750C64" w:rsidP="00B735E3">
      <w:r w:rsidRPr="00260AAB">
        <w:t>Tegnforklaring:</w:t>
      </w:r>
    </w:p>
    <w:p w14:paraId="42405F2C" w14:textId="77777777" w:rsidR="00750C64" w:rsidRPr="00260AAB" w:rsidRDefault="00750C64" w:rsidP="00B735E3">
      <w:pPr>
        <w:pStyle w:val="NormalTabs"/>
      </w:pPr>
      <w:r w:rsidRPr="00260AAB">
        <w:t>+</w:t>
      </w:r>
      <w:r w:rsidRPr="00260AAB">
        <w:tab/>
        <w:t>:</w:t>
      </w:r>
      <w:r w:rsidRPr="00260AAB">
        <w:tab/>
        <w:t>for</w:t>
      </w:r>
    </w:p>
    <w:p w14:paraId="3A900144" w14:textId="77777777" w:rsidR="00750C64" w:rsidRPr="00260AAB" w:rsidRDefault="00750C64" w:rsidP="00B735E3">
      <w:pPr>
        <w:pStyle w:val="NormalTabs"/>
      </w:pPr>
      <w:r w:rsidRPr="00260AAB">
        <w:t>-</w:t>
      </w:r>
      <w:r w:rsidRPr="00260AAB">
        <w:tab/>
        <w:t>:</w:t>
      </w:r>
      <w:r w:rsidRPr="00260AAB">
        <w:tab/>
        <w:t>imod</w:t>
      </w:r>
    </w:p>
    <w:p w14:paraId="418D55DC" w14:textId="77777777" w:rsidR="00750C64" w:rsidRPr="00260AAB" w:rsidRDefault="00750C64" w:rsidP="00B735E3">
      <w:pPr>
        <w:pStyle w:val="NormalTabs"/>
      </w:pPr>
      <w:r w:rsidRPr="00260AAB">
        <w:t>0</w:t>
      </w:r>
      <w:r w:rsidRPr="00260AAB">
        <w:tab/>
        <w:t>:</w:t>
      </w:r>
      <w:r w:rsidRPr="00260AAB">
        <w:tab/>
        <w:t>hverken/eller</w:t>
      </w:r>
    </w:p>
    <w:p w14:paraId="6623AFB0" w14:textId="77777777" w:rsidR="00750C64" w:rsidRPr="00260AAB" w:rsidRDefault="00750C64" w:rsidP="00AD5932"/>
    <w:p w14:paraId="0217D9D1" w14:textId="77777777" w:rsidR="00750C64" w:rsidRPr="00260AAB" w:rsidRDefault="00750C64" w:rsidP="006C2D5F"/>
    <w:p w14:paraId="1BB57DFE" w14:textId="2C083919" w:rsidR="00750C64" w:rsidRPr="00260AAB" w:rsidRDefault="00750C64" w:rsidP="00750C64">
      <w:pPr>
        <w:sectPr w:rsidR="00750C64" w:rsidRPr="00260AAB" w:rsidSect="00750C64">
          <w:footnotePr>
            <w:numRestart w:val="eachPage"/>
          </w:footnotePr>
          <w:endnotePr>
            <w:numFmt w:val="decimal"/>
          </w:endnotePr>
          <w:pgSz w:w="11906" w:h="16838" w:code="9"/>
          <w:pgMar w:top="1134" w:right="1418" w:bottom="1418" w:left="1418" w:header="567" w:footer="567" w:gutter="0"/>
          <w:cols w:space="720"/>
          <w:noEndnote/>
          <w:docGrid w:linePitch="326"/>
        </w:sectPr>
      </w:pPr>
    </w:p>
    <w:p w14:paraId="3C917DD9" w14:textId="2F46880D" w:rsidR="003F04D8" w:rsidRPr="00260AAB" w:rsidRDefault="003F04D8" w:rsidP="003F04D8"/>
    <w:p w14:paraId="737ABF51" w14:textId="3DAD4FAF" w:rsidR="003F04D8" w:rsidRPr="00260AAB" w:rsidRDefault="003F04D8" w:rsidP="003F04D8">
      <w:pPr>
        <w:pStyle w:val="PageHeading"/>
      </w:pPr>
      <w:bookmarkStart w:id="16" w:name="ProcPageRR"/>
      <w:bookmarkStart w:id="17" w:name="_Toc3886428"/>
      <w:r w:rsidRPr="00260AAB">
        <w:t>OPLYSNINGER OM VEDTAGELSE I KORRESPONDERENDE UDVALG</w:t>
      </w:r>
      <w:bookmarkEnd w:id="1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F04D8" w:rsidRPr="00260AAB" w14:paraId="6946541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70A759F" w14:textId="77777777" w:rsidR="003F04D8" w:rsidRPr="00260AAB" w:rsidRDefault="003F04D8">
            <w:pPr>
              <w:autoSpaceDE w:val="0"/>
              <w:autoSpaceDN w:val="0"/>
              <w:adjustRightInd w:val="0"/>
              <w:rPr>
                <w:b/>
                <w:bCs/>
                <w:color w:val="000000"/>
                <w:sz w:val="20"/>
              </w:rPr>
            </w:pPr>
            <w:r w:rsidRPr="00260AAB">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74F1D84" w14:textId="77777777" w:rsidR="003F04D8" w:rsidRPr="00260AAB" w:rsidRDefault="003F04D8">
            <w:pPr>
              <w:autoSpaceDE w:val="0"/>
              <w:autoSpaceDN w:val="0"/>
              <w:adjustRightInd w:val="0"/>
              <w:rPr>
                <w:color w:val="000000"/>
                <w:sz w:val="20"/>
              </w:rPr>
            </w:pPr>
            <w:r w:rsidRPr="00260AAB">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12C391B" w14:textId="77777777" w:rsidR="003F04D8" w:rsidRPr="00260AAB" w:rsidRDefault="003F04D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89786DF" w14:textId="77777777" w:rsidR="003F04D8" w:rsidRPr="00260AAB" w:rsidRDefault="003F04D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1DC61F" w14:textId="77777777" w:rsidR="003F04D8" w:rsidRPr="00260AAB" w:rsidRDefault="003F04D8">
            <w:pPr>
              <w:autoSpaceDE w:val="0"/>
              <w:autoSpaceDN w:val="0"/>
              <w:adjustRightInd w:val="0"/>
              <w:rPr>
                <w:rFonts w:ascii="sans-serif" w:hAnsi="sans-serif" w:cs="sans-serif"/>
                <w:color w:val="000000"/>
                <w:szCs w:val="24"/>
              </w:rPr>
            </w:pPr>
          </w:p>
        </w:tc>
      </w:tr>
      <w:tr w:rsidR="003F04D8" w:rsidRPr="00260AAB" w14:paraId="5A39817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A143B50" w14:textId="77777777" w:rsidR="003F04D8" w:rsidRPr="00260AAB" w:rsidRDefault="003F04D8">
            <w:pPr>
              <w:autoSpaceDE w:val="0"/>
              <w:autoSpaceDN w:val="0"/>
              <w:adjustRightInd w:val="0"/>
              <w:rPr>
                <w:b/>
                <w:bCs/>
                <w:color w:val="000000"/>
                <w:sz w:val="20"/>
              </w:rPr>
            </w:pPr>
            <w:r w:rsidRPr="00260AAB">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53440CF" w14:textId="77777777" w:rsidR="003F04D8" w:rsidRPr="00260AAB" w:rsidRDefault="003F04D8">
            <w:pPr>
              <w:autoSpaceDE w:val="0"/>
              <w:autoSpaceDN w:val="0"/>
              <w:adjustRightInd w:val="0"/>
              <w:rPr>
                <w:color w:val="000000"/>
                <w:sz w:val="20"/>
              </w:rPr>
            </w:pPr>
            <w:r w:rsidRPr="00260AAB">
              <w:rPr>
                <w:color w:val="000000"/>
                <w:sz w:val="20"/>
              </w:rPr>
              <w:t>+:</w:t>
            </w:r>
          </w:p>
          <w:p w14:paraId="40A70962" w14:textId="77777777" w:rsidR="003F04D8" w:rsidRPr="00260AAB" w:rsidRDefault="003F04D8">
            <w:pPr>
              <w:autoSpaceDE w:val="0"/>
              <w:autoSpaceDN w:val="0"/>
              <w:adjustRightInd w:val="0"/>
              <w:rPr>
                <w:color w:val="000000"/>
                <w:sz w:val="20"/>
              </w:rPr>
            </w:pPr>
            <w:r w:rsidRPr="00260AAB">
              <w:rPr>
                <w:color w:val="000000"/>
                <w:sz w:val="20"/>
              </w:rPr>
              <w:t>–:</w:t>
            </w:r>
          </w:p>
          <w:p w14:paraId="631FD9AE" w14:textId="77777777" w:rsidR="003F04D8" w:rsidRPr="00260AAB" w:rsidRDefault="003F04D8">
            <w:pPr>
              <w:autoSpaceDE w:val="0"/>
              <w:autoSpaceDN w:val="0"/>
              <w:adjustRightInd w:val="0"/>
              <w:rPr>
                <w:color w:val="000000"/>
                <w:sz w:val="20"/>
              </w:rPr>
            </w:pPr>
            <w:r w:rsidRPr="00260AA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7EEC353" w14:textId="77777777" w:rsidR="003F04D8" w:rsidRPr="00260AAB" w:rsidRDefault="003F04D8">
            <w:pPr>
              <w:autoSpaceDE w:val="0"/>
              <w:autoSpaceDN w:val="0"/>
              <w:adjustRightInd w:val="0"/>
              <w:rPr>
                <w:color w:val="000000"/>
                <w:sz w:val="20"/>
              </w:rPr>
            </w:pPr>
            <w:r w:rsidRPr="00260AAB">
              <w:rPr>
                <w:color w:val="000000"/>
                <w:sz w:val="20"/>
              </w:rPr>
              <w:t>20</w:t>
            </w:r>
          </w:p>
          <w:p w14:paraId="7DC81C31" w14:textId="77777777" w:rsidR="003F04D8" w:rsidRPr="00260AAB" w:rsidRDefault="003F04D8">
            <w:pPr>
              <w:autoSpaceDE w:val="0"/>
              <w:autoSpaceDN w:val="0"/>
              <w:adjustRightInd w:val="0"/>
              <w:rPr>
                <w:color w:val="000000"/>
                <w:sz w:val="20"/>
              </w:rPr>
            </w:pPr>
            <w:r w:rsidRPr="00260AAB">
              <w:rPr>
                <w:color w:val="000000"/>
                <w:sz w:val="20"/>
              </w:rPr>
              <w:t>1</w:t>
            </w:r>
          </w:p>
          <w:p w14:paraId="00EE8A3A" w14:textId="77777777" w:rsidR="003F04D8" w:rsidRPr="00260AAB" w:rsidRDefault="003F04D8">
            <w:pPr>
              <w:autoSpaceDE w:val="0"/>
              <w:autoSpaceDN w:val="0"/>
              <w:adjustRightInd w:val="0"/>
              <w:rPr>
                <w:color w:val="000000"/>
                <w:sz w:val="20"/>
              </w:rPr>
            </w:pPr>
            <w:r w:rsidRPr="00260AAB">
              <w:rPr>
                <w:color w:val="000000"/>
                <w:sz w:val="20"/>
              </w:rPr>
              <w:t>0</w:t>
            </w:r>
          </w:p>
        </w:tc>
      </w:tr>
      <w:tr w:rsidR="003F04D8" w:rsidRPr="00260AAB" w14:paraId="2140BAE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B280353" w14:textId="77777777" w:rsidR="003F04D8" w:rsidRPr="00260AAB" w:rsidRDefault="003F04D8">
            <w:pPr>
              <w:autoSpaceDE w:val="0"/>
              <w:autoSpaceDN w:val="0"/>
              <w:adjustRightInd w:val="0"/>
              <w:rPr>
                <w:b/>
                <w:bCs/>
                <w:color w:val="000000"/>
                <w:sz w:val="20"/>
              </w:rPr>
            </w:pPr>
            <w:r w:rsidRPr="00260AAB">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91477B1" w14:textId="77777777" w:rsidR="003F04D8" w:rsidRPr="00260AAB" w:rsidRDefault="003F04D8">
            <w:pPr>
              <w:autoSpaceDE w:val="0"/>
              <w:autoSpaceDN w:val="0"/>
              <w:adjustRightInd w:val="0"/>
              <w:rPr>
                <w:color w:val="000000"/>
                <w:sz w:val="20"/>
              </w:rPr>
            </w:pPr>
            <w:r w:rsidRPr="00260AAB">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Tomáš Zdechovský, Joachim Zeller</w:t>
            </w:r>
          </w:p>
        </w:tc>
      </w:tr>
      <w:tr w:rsidR="003F04D8" w:rsidRPr="00260AAB" w14:paraId="68FBA32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B4F4EFE" w14:textId="77777777" w:rsidR="003F04D8" w:rsidRPr="00260AAB" w:rsidRDefault="003F04D8">
            <w:pPr>
              <w:autoSpaceDE w:val="0"/>
              <w:autoSpaceDN w:val="0"/>
              <w:adjustRightInd w:val="0"/>
              <w:rPr>
                <w:b/>
                <w:bCs/>
                <w:color w:val="000000"/>
                <w:sz w:val="20"/>
              </w:rPr>
            </w:pPr>
            <w:r w:rsidRPr="00260AAB">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C9631A7" w14:textId="77777777" w:rsidR="003F04D8" w:rsidRPr="00260AAB" w:rsidRDefault="003F04D8">
            <w:pPr>
              <w:autoSpaceDE w:val="0"/>
              <w:autoSpaceDN w:val="0"/>
              <w:adjustRightInd w:val="0"/>
              <w:rPr>
                <w:color w:val="000000"/>
                <w:sz w:val="20"/>
              </w:rPr>
            </w:pPr>
            <w:r w:rsidRPr="00260AAB">
              <w:rPr>
                <w:color w:val="000000"/>
                <w:sz w:val="20"/>
              </w:rPr>
              <w:t>Karin Kadenbach</w:t>
            </w:r>
          </w:p>
        </w:tc>
      </w:tr>
      <w:tr w:rsidR="003F04D8" w:rsidRPr="00260AAB" w14:paraId="55A7F32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8AF77C0" w14:textId="77777777" w:rsidR="003F04D8" w:rsidRPr="00260AAB" w:rsidRDefault="003F04D8">
            <w:pPr>
              <w:autoSpaceDE w:val="0"/>
              <w:autoSpaceDN w:val="0"/>
              <w:adjustRightInd w:val="0"/>
              <w:rPr>
                <w:b/>
                <w:bCs/>
                <w:color w:val="000000"/>
                <w:sz w:val="20"/>
              </w:rPr>
            </w:pPr>
            <w:r w:rsidRPr="00260AAB">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E91AD09" w14:textId="77777777" w:rsidR="003F04D8" w:rsidRPr="00260AAB" w:rsidRDefault="003F04D8">
            <w:pPr>
              <w:autoSpaceDE w:val="0"/>
              <w:autoSpaceDN w:val="0"/>
              <w:adjustRightInd w:val="0"/>
              <w:rPr>
                <w:color w:val="000000"/>
                <w:sz w:val="20"/>
              </w:rPr>
            </w:pPr>
            <w:r w:rsidRPr="00260AAB">
              <w:rPr>
                <w:color w:val="000000"/>
                <w:sz w:val="20"/>
              </w:rPr>
              <w:t>Petra Kammerevert</w:t>
            </w:r>
          </w:p>
        </w:tc>
      </w:tr>
    </w:tbl>
    <w:p w14:paraId="27282AE9" w14:textId="77777777" w:rsidR="003F04D8" w:rsidRPr="00260AAB" w:rsidRDefault="003F04D8">
      <w:pPr>
        <w:autoSpaceDE w:val="0"/>
        <w:autoSpaceDN w:val="0"/>
        <w:adjustRightInd w:val="0"/>
        <w:rPr>
          <w:rFonts w:ascii="Arial" w:hAnsi="Arial" w:cs="Arial"/>
          <w:szCs w:val="24"/>
        </w:rPr>
      </w:pPr>
    </w:p>
    <w:bookmarkEnd w:id="16"/>
    <w:p w14:paraId="4247C3F1" w14:textId="77777777" w:rsidR="00750C64" w:rsidRPr="00260AAB" w:rsidRDefault="00750C64" w:rsidP="00750C64">
      <w:pPr>
        <w:sectPr w:rsidR="00750C64" w:rsidRPr="00260AAB" w:rsidSect="00750C64">
          <w:footerReference w:type="default" r:id="rId14"/>
          <w:footerReference w:type="first" r:id="rId15"/>
          <w:footnotePr>
            <w:numRestart w:val="eachPage"/>
          </w:footnotePr>
          <w:endnotePr>
            <w:numFmt w:val="decimal"/>
          </w:endnotePr>
          <w:pgSz w:w="11906" w:h="16838" w:code="9"/>
          <w:pgMar w:top="1134" w:right="1418" w:bottom="1418" w:left="1418" w:header="567" w:footer="567" w:gutter="0"/>
          <w:cols w:space="720"/>
          <w:noEndnote/>
          <w:docGrid w:linePitch="326"/>
        </w:sectPr>
      </w:pPr>
    </w:p>
    <w:p w14:paraId="6D3D996F" w14:textId="5634BFED" w:rsidR="00750C64" w:rsidRPr="00260AAB" w:rsidRDefault="00750C64" w:rsidP="00750C64"/>
    <w:p w14:paraId="1656EC6C" w14:textId="478F3615" w:rsidR="00750C64" w:rsidRPr="00260AAB" w:rsidRDefault="00750C64" w:rsidP="00AD5932">
      <w:pPr>
        <w:pStyle w:val="PageHeading"/>
        <w:rPr>
          <w:szCs w:val="24"/>
        </w:rPr>
      </w:pPr>
      <w:bookmarkStart w:id="18" w:name="RollCallPageRR"/>
      <w:bookmarkStart w:id="19" w:name="_Toc3886429"/>
      <w:r w:rsidRPr="00260AAB">
        <w:t>ENDELIG AFSTEMNING VED NAVNEOPRÅB</w:t>
      </w:r>
      <w:r w:rsidRPr="00260AAB">
        <w:br/>
        <w:t>I KORRESPONDERENDE UDVALG</w:t>
      </w:r>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50C64" w:rsidRPr="00260AAB" w14:paraId="459CF58C" w14:textId="77777777" w:rsidTr="005F636B">
        <w:trPr>
          <w:cantSplit/>
        </w:trPr>
        <w:tc>
          <w:tcPr>
            <w:tcW w:w="1701" w:type="dxa"/>
            <w:shd w:val="pct10" w:color="000000" w:fill="FFFFFF"/>
            <w:vAlign w:val="center"/>
          </w:tcPr>
          <w:p w14:paraId="115A4B09" w14:textId="77777777" w:rsidR="00750C64" w:rsidRPr="00260AAB" w:rsidRDefault="00750C64" w:rsidP="005F636B">
            <w:pPr>
              <w:spacing w:before="120" w:after="120"/>
              <w:jc w:val="center"/>
              <w:rPr>
                <w:b/>
                <w:sz w:val="20"/>
              </w:rPr>
            </w:pPr>
            <w:r w:rsidRPr="00260AAB">
              <w:rPr>
                <w:b/>
                <w:sz w:val="20"/>
              </w:rPr>
              <w:t>20</w:t>
            </w:r>
          </w:p>
        </w:tc>
        <w:tc>
          <w:tcPr>
            <w:tcW w:w="7371" w:type="dxa"/>
            <w:shd w:val="pct10" w:color="000000" w:fill="FFFFFF"/>
          </w:tcPr>
          <w:p w14:paraId="4FFD5B1B" w14:textId="77777777" w:rsidR="00750C64" w:rsidRPr="00260AAB" w:rsidRDefault="00750C64" w:rsidP="005F636B">
            <w:pPr>
              <w:spacing w:before="120" w:after="120"/>
              <w:jc w:val="center"/>
              <w:rPr>
                <w:rFonts w:ascii="Arial" w:hAnsi="Arial" w:cs="Arial"/>
                <w:b/>
                <w:sz w:val="28"/>
                <w:szCs w:val="28"/>
              </w:rPr>
            </w:pPr>
            <w:r w:rsidRPr="00260AAB">
              <w:rPr>
                <w:rFonts w:ascii="Arial" w:hAnsi="Arial"/>
                <w:b/>
                <w:sz w:val="28"/>
                <w:szCs w:val="28"/>
              </w:rPr>
              <w:t>+</w:t>
            </w:r>
          </w:p>
        </w:tc>
      </w:tr>
      <w:tr w:rsidR="00750C64" w:rsidRPr="00260AAB" w14:paraId="65C57546" w14:textId="77777777" w:rsidTr="005F636B">
        <w:trPr>
          <w:cantSplit/>
        </w:trPr>
        <w:tc>
          <w:tcPr>
            <w:tcW w:w="1701" w:type="dxa"/>
            <w:shd w:val="clear" w:color="auto" w:fill="FFFFFF"/>
          </w:tcPr>
          <w:p w14:paraId="3184D46D" w14:textId="77777777" w:rsidR="00750C64" w:rsidRPr="00260AAB" w:rsidRDefault="00750C64" w:rsidP="005F636B">
            <w:pPr>
              <w:spacing w:before="120" w:after="120"/>
              <w:rPr>
                <w:sz w:val="20"/>
              </w:rPr>
            </w:pPr>
            <w:r w:rsidRPr="00260AAB">
              <w:rPr>
                <w:sz w:val="20"/>
              </w:rPr>
              <w:t>ALDE</w:t>
            </w:r>
          </w:p>
        </w:tc>
        <w:tc>
          <w:tcPr>
            <w:tcW w:w="7371" w:type="dxa"/>
            <w:shd w:val="clear" w:color="auto" w:fill="FFFFFF"/>
          </w:tcPr>
          <w:p w14:paraId="4FD627E6" w14:textId="77777777" w:rsidR="00750C64" w:rsidRPr="00260AAB" w:rsidRDefault="00750C64" w:rsidP="005F636B">
            <w:pPr>
              <w:spacing w:before="120" w:after="120"/>
              <w:rPr>
                <w:sz w:val="20"/>
              </w:rPr>
            </w:pPr>
            <w:r w:rsidRPr="00260AAB">
              <w:rPr>
                <w:sz w:val="20"/>
              </w:rPr>
              <w:t>Nedzhmi Ali, Martina Dlabajová, Wolf Klinz</w:t>
            </w:r>
          </w:p>
        </w:tc>
      </w:tr>
      <w:tr w:rsidR="00750C64" w:rsidRPr="00260AAB" w14:paraId="2624CE50" w14:textId="77777777" w:rsidTr="005F636B">
        <w:trPr>
          <w:cantSplit/>
        </w:trPr>
        <w:tc>
          <w:tcPr>
            <w:tcW w:w="1701" w:type="dxa"/>
            <w:shd w:val="clear" w:color="auto" w:fill="FFFFFF"/>
          </w:tcPr>
          <w:p w14:paraId="6330ECA6" w14:textId="77777777" w:rsidR="00750C64" w:rsidRPr="00260AAB" w:rsidRDefault="00750C64" w:rsidP="005F636B">
            <w:pPr>
              <w:spacing w:before="120" w:after="120"/>
              <w:rPr>
                <w:sz w:val="20"/>
              </w:rPr>
            </w:pPr>
            <w:r w:rsidRPr="00260AAB">
              <w:rPr>
                <w:sz w:val="20"/>
              </w:rPr>
              <w:t>ECR</w:t>
            </w:r>
          </w:p>
        </w:tc>
        <w:tc>
          <w:tcPr>
            <w:tcW w:w="7371" w:type="dxa"/>
            <w:shd w:val="clear" w:color="auto" w:fill="FFFFFF"/>
          </w:tcPr>
          <w:p w14:paraId="66F37D8F" w14:textId="77777777" w:rsidR="00750C64" w:rsidRPr="00260AAB" w:rsidRDefault="00750C64" w:rsidP="005F636B">
            <w:pPr>
              <w:spacing w:before="120" w:after="120"/>
              <w:rPr>
                <w:sz w:val="20"/>
              </w:rPr>
            </w:pPr>
            <w:r w:rsidRPr="00260AAB">
              <w:rPr>
                <w:sz w:val="20"/>
              </w:rPr>
              <w:t>Monica Macovei</w:t>
            </w:r>
          </w:p>
        </w:tc>
      </w:tr>
      <w:tr w:rsidR="00750C64" w:rsidRPr="00260AAB" w14:paraId="00F3EF84" w14:textId="77777777" w:rsidTr="005F636B">
        <w:trPr>
          <w:cantSplit/>
        </w:trPr>
        <w:tc>
          <w:tcPr>
            <w:tcW w:w="1701" w:type="dxa"/>
            <w:shd w:val="clear" w:color="auto" w:fill="FFFFFF"/>
          </w:tcPr>
          <w:p w14:paraId="6D0B9419" w14:textId="77777777" w:rsidR="00750C64" w:rsidRPr="00260AAB" w:rsidRDefault="00750C64" w:rsidP="005F636B">
            <w:pPr>
              <w:spacing w:before="120" w:after="120"/>
              <w:rPr>
                <w:sz w:val="20"/>
              </w:rPr>
            </w:pPr>
            <w:r w:rsidRPr="00260AAB">
              <w:rPr>
                <w:sz w:val="20"/>
              </w:rPr>
              <w:t>EFDD</w:t>
            </w:r>
          </w:p>
        </w:tc>
        <w:tc>
          <w:tcPr>
            <w:tcW w:w="7371" w:type="dxa"/>
            <w:shd w:val="clear" w:color="auto" w:fill="FFFFFF"/>
          </w:tcPr>
          <w:p w14:paraId="703D7665" w14:textId="77777777" w:rsidR="00750C64" w:rsidRPr="00260AAB" w:rsidRDefault="00750C64" w:rsidP="005F636B">
            <w:pPr>
              <w:spacing w:before="120" w:after="120"/>
              <w:rPr>
                <w:sz w:val="20"/>
              </w:rPr>
            </w:pPr>
            <w:r w:rsidRPr="00260AAB">
              <w:rPr>
                <w:sz w:val="20"/>
              </w:rPr>
              <w:t>Marco Valli</w:t>
            </w:r>
          </w:p>
        </w:tc>
      </w:tr>
      <w:tr w:rsidR="00750C64" w:rsidRPr="00260AAB" w14:paraId="6580EE6C" w14:textId="77777777" w:rsidTr="005F636B">
        <w:trPr>
          <w:cantSplit/>
        </w:trPr>
        <w:tc>
          <w:tcPr>
            <w:tcW w:w="1701" w:type="dxa"/>
            <w:shd w:val="clear" w:color="auto" w:fill="FFFFFF"/>
          </w:tcPr>
          <w:p w14:paraId="293840F2" w14:textId="77777777" w:rsidR="00750C64" w:rsidRPr="00260AAB" w:rsidRDefault="00750C64" w:rsidP="005F636B">
            <w:pPr>
              <w:spacing w:before="120" w:after="120"/>
              <w:rPr>
                <w:sz w:val="20"/>
              </w:rPr>
            </w:pPr>
            <w:r w:rsidRPr="00260AAB">
              <w:rPr>
                <w:sz w:val="20"/>
              </w:rPr>
              <w:t>GUE/NGL</w:t>
            </w:r>
          </w:p>
        </w:tc>
        <w:tc>
          <w:tcPr>
            <w:tcW w:w="7371" w:type="dxa"/>
            <w:shd w:val="clear" w:color="auto" w:fill="FFFFFF"/>
          </w:tcPr>
          <w:p w14:paraId="6E203AE9" w14:textId="77777777" w:rsidR="00750C64" w:rsidRPr="00260AAB" w:rsidRDefault="00750C64" w:rsidP="005F636B">
            <w:pPr>
              <w:spacing w:before="120" w:after="120"/>
              <w:rPr>
                <w:sz w:val="20"/>
              </w:rPr>
            </w:pPr>
            <w:r w:rsidRPr="00260AAB">
              <w:rPr>
                <w:sz w:val="20"/>
              </w:rPr>
              <w:t>Dennis de Jong</w:t>
            </w:r>
          </w:p>
        </w:tc>
      </w:tr>
      <w:tr w:rsidR="00750C64" w:rsidRPr="00260AAB" w14:paraId="149E03A5" w14:textId="77777777" w:rsidTr="005F636B">
        <w:trPr>
          <w:cantSplit/>
        </w:trPr>
        <w:tc>
          <w:tcPr>
            <w:tcW w:w="1701" w:type="dxa"/>
            <w:shd w:val="clear" w:color="auto" w:fill="FFFFFF"/>
          </w:tcPr>
          <w:p w14:paraId="1E478B84" w14:textId="77777777" w:rsidR="00750C64" w:rsidRPr="00260AAB" w:rsidRDefault="00750C64" w:rsidP="005F636B">
            <w:pPr>
              <w:spacing w:before="120" w:after="120"/>
              <w:rPr>
                <w:sz w:val="20"/>
              </w:rPr>
            </w:pPr>
            <w:r w:rsidRPr="00260AAB">
              <w:rPr>
                <w:sz w:val="20"/>
              </w:rPr>
              <w:t>PPE</w:t>
            </w:r>
          </w:p>
        </w:tc>
        <w:tc>
          <w:tcPr>
            <w:tcW w:w="7371" w:type="dxa"/>
            <w:shd w:val="clear" w:color="auto" w:fill="FFFFFF"/>
          </w:tcPr>
          <w:p w14:paraId="39BFF81B" w14:textId="77777777" w:rsidR="00750C64" w:rsidRPr="00260AAB" w:rsidRDefault="00750C64" w:rsidP="005F636B">
            <w:pPr>
              <w:spacing w:before="120" w:after="120"/>
              <w:rPr>
                <w:sz w:val="20"/>
              </w:rPr>
            </w:pPr>
            <w:r w:rsidRPr="00260AAB">
              <w:rPr>
                <w:sz w:val="20"/>
              </w:rPr>
              <w:t>Tamás Deutsch, Ingeborg Gräßle, José Ignacio Salafranca Sánchez-Neyra, Petri Sarvamaa, Claudia Schmidt, Tomáš Zdechovský, Joachim Zeller</w:t>
            </w:r>
          </w:p>
        </w:tc>
      </w:tr>
      <w:tr w:rsidR="00750C64" w:rsidRPr="00260AAB" w14:paraId="0B17F011" w14:textId="77777777" w:rsidTr="005F636B">
        <w:trPr>
          <w:cantSplit/>
        </w:trPr>
        <w:tc>
          <w:tcPr>
            <w:tcW w:w="1701" w:type="dxa"/>
            <w:shd w:val="clear" w:color="auto" w:fill="FFFFFF"/>
          </w:tcPr>
          <w:p w14:paraId="0CFE90A2" w14:textId="77777777" w:rsidR="00750C64" w:rsidRPr="00260AAB" w:rsidRDefault="00750C64" w:rsidP="005F636B">
            <w:pPr>
              <w:spacing w:before="120" w:after="120"/>
              <w:rPr>
                <w:sz w:val="20"/>
              </w:rPr>
            </w:pPr>
            <w:r w:rsidRPr="00260AAB">
              <w:rPr>
                <w:sz w:val="20"/>
              </w:rPr>
              <w:t>S&amp;D</w:t>
            </w:r>
          </w:p>
        </w:tc>
        <w:tc>
          <w:tcPr>
            <w:tcW w:w="7371" w:type="dxa"/>
            <w:shd w:val="clear" w:color="auto" w:fill="FFFFFF"/>
          </w:tcPr>
          <w:p w14:paraId="1CFF5977" w14:textId="77777777" w:rsidR="00750C64" w:rsidRPr="00260AAB" w:rsidRDefault="00750C64" w:rsidP="005F636B">
            <w:pPr>
              <w:spacing w:before="120" w:after="120"/>
              <w:rPr>
                <w:sz w:val="20"/>
              </w:rPr>
            </w:pPr>
            <w:r w:rsidRPr="00260AAB">
              <w:rPr>
                <w:sz w:val="20"/>
              </w:rPr>
              <w:t>Inés Ayala Sender, Zigmantas Balčytis, Karin Kadenbach, Petra Kammerevert, Georgi Pirinski, Derek Vaughan</w:t>
            </w:r>
          </w:p>
        </w:tc>
      </w:tr>
      <w:tr w:rsidR="00750C64" w:rsidRPr="00260AAB" w14:paraId="1311B9D1" w14:textId="77777777" w:rsidTr="005F636B">
        <w:trPr>
          <w:cantSplit/>
        </w:trPr>
        <w:tc>
          <w:tcPr>
            <w:tcW w:w="1701" w:type="dxa"/>
            <w:shd w:val="clear" w:color="auto" w:fill="FFFFFF"/>
          </w:tcPr>
          <w:p w14:paraId="30617ABE" w14:textId="77777777" w:rsidR="00750C64" w:rsidRPr="00260AAB" w:rsidRDefault="00750C64" w:rsidP="005F636B">
            <w:pPr>
              <w:spacing w:before="120" w:after="120"/>
              <w:rPr>
                <w:sz w:val="20"/>
              </w:rPr>
            </w:pPr>
            <w:r w:rsidRPr="00260AAB">
              <w:rPr>
                <w:sz w:val="20"/>
              </w:rPr>
              <w:t>VERTS/ALE</w:t>
            </w:r>
          </w:p>
        </w:tc>
        <w:tc>
          <w:tcPr>
            <w:tcW w:w="7371" w:type="dxa"/>
            <w:shd w:val="clear" w:color="auto" w:fill="FFFFFF"/>
          </w:tcPr>
          <w:p w14:paraId="26AE9834" w14:textId="77777777" w:rsidR="00750C64" w:rsidRPr="00260AAB" w:rsidRDefault="00750C64" w:rsidP="005F636B">
            <w:pPr>
              <w:spacing w:before="120" w:after="120"/>
              <w:rPr>
                <w:sz w:val="20"/>
              </w:rPr>
            </w:pPr>
            <w:r w:rsidRPr="00260AAB">
              <w:rPr>
                <w:sz w:val="20"/>
              </w:rPr>
              <w:t>Bart Staes</w:t>
            </w:r>
          </w:p>
        </w:tc>
      </w:tr>
    </w:tbl>
    <w:p w14:paraId="2A123FDF" w14:textId="77777777" w:rsidR="00750C64" w:rsidRPr="00260AAB" w:rsidRDefault="00750C64" w:rsidP="00750C6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50C64" w:rsidRPr="00260AAB" w14:paraId="4DD0B66A" w14:textId="77777777" w:rsidTr="005F636B">
        <w:trPr>
          <w:cantSplit/>
        </w:trPr>
        <w:tc>
          <w:tcPr>
            <w:tcW w:w="1701" w:type="dxa"/>
            <w:shd w:val="pct10" w:color="000000" w:fill="FFFFFF"/>
            <w:vAlign w:val="center"/>
          </w:tcPr>
          <w:p w14:paraId="192929A7" w14:textId="77777777" w:rsidR="00750C64" w:rsidRPr="00260AAB" w:rsidRDefault="00750C64" w:rsidP="005F636B">
            <w:pPr>
              <w:spacing w:before="120" w:after="120"/>
              <w:jc w:val="center"/>
              <w:rPr>
                <w:b/>
                <w:sz w:val="20"/>
              </w:rPr>
            </w:pPr>
            <w:r w:rsidRPr="00260AAB">
              <w:rPr>
                <w:b/>
                <w:sz w:val="20"/>
              </w:rPr>
              <w:t>1</w:t>
            </w:r>
          </w:p>
        </w:tc>
        <w:tc>
          <w:tcPr>
            <w:tcW w:w="7371" w:type="dxa"/>
            <w:shd w:val="pct10" w:color="000000" w:fill="FFFFFF"/>
          </w:tcPr>
          <w:p w14:paraId="5B2FA4C3" w14:textId="77777777" w:rsidR="00750C64" w:rsidRPr="00260AAB" w:rsidRDefault="00750C64" w:rsidP="005F636B">
            <w:pPr>
              <w:spacing w:before="120" w:after="120"/>
              <w:jc w:val="center"/>
              <w:rPr>
                <w:sz w:val="28"/>
                <w:szCs w:val="28"/>
              </w:rPr>
            </w:pPr>
            <w:r w:rsidRPr="00260AAB">
              <w:rPr>
                <w:rFonts w:ascii="Arial" w:hAnsi="Arial"/>
                <w:b/>
                <w:sz w:val="28"/>
                <w:szCs w:val="28"/>
              </w:rPr>
              <w:t>-</w:t>
            </w:r>
          </w:p>
        </w:tc>
      </w:tr>
      <w:tr w:rsidR="00750C64" w:rsidRPr="00260AAB" w14:paraId="1B7C3795" w14:textId="77777777" w:rsidTr="005F636B">
        <w:trPr>
          <w:cantSplit/>
        </w:trPr>
        <w:tc>
          <w:tcPr>
            <w:tcW w:w="1701" w:type="dxa"/>
            <w:shd w:val="clear" w:color="auto" w:fill="FFFFFF"/>
          </w:tcPr>
          <w:p w14:paraId="5AF2D7B9" w14:textId="77777777" w:rsidR="00750C64" w:rsidRPr="00260AAB" w:rsidRDefault="00750C64" w:rsidP="005F636B">
            <w:pPr>
              <w:spacing w:before="120" w:after="120"/>
              <w:rPr>
                <w:sz w:val="20"/>
              </w:rPr>
            </w:pPr>
            <w:r w:rsidRPr="00260AAB">
              <w:rPr>
                <w:sz w:val="20"/>
              </w:rPr>
              <w:t>ENF</w:t>
            </w:r>
          </w:p>
        </w:tc>
        <w:tc>
          <w:tcPr>
            <w:tcW w:w="7371" w:type="dxa"/>
            <w:shd w:val="clear" w:color="auto" w:fill="FFFFFF"/>
          </w:tcPr>
          <w:p w14:paraId="314ABE88" w14:textId="77777777" w:rsidR="00750C64" w:rsidRPr="00260AAB" w:rsidRDefault="00750C64" w:rsidP="005F636B">
            <w:pPr>
              <w:spacing w:before="120" w:after="120"/>
              <w:rPr>
                <w:sz w:val="20"/>
              </w:rPr>
            </w:pPr>
            <w:r w:rsidRPr="00260AAB">
              <w:rPr>
                <w:sz w:val="20"/>
              </w:rPr>
              <w:t>Jean-François Jalkh</w:t>
            </w:r>
          </w:p>
        </w:tc>
      </w:tr>
    </w:tbl>
    <w:p w14:paraId="076D103F" w14:textId="77777777" w:rsidR="00750C64" w:rsidRPr="00260AAB" w:rsidRDefault="00750C64" w:rsidP="00750C6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50C64" w:rsidRPr="00260AAB" w14:paraId="6759659B" w14:textId="77777777" w:rsidTr="005F636B">
        <w:trPr>
          <w:cantSplit/>
        </w:trPr>
        <w:tc>
          <w:tcPr>
            <w:tcW w:w="1701" w:type="dxa"/>
            <w:shd w:val="pct10" w:color="000000" w:fill="FFFFFF"/>
            <w:vAlign w:val="center"/>
          </w:tcPr>
          <w:p w14:paraId="7E14EE71" w14:textId="77777777" w:rsidR="00750C64" w:rsidRPr="00260AAB" w:rsidRDefault="00750C64" w:rsidP="005F636B">
            <w:pPr>
              <w:spacing w:before="120" w:after="120"/>
              <w:jc w:val="center"/>
              <w:rPr>
                <w:b/>
                <w:sz w:val="20"/>
              </w:rPr>
            </w:pPr>
            <w:r w:rsidRPr="00260AAB">
              <w:rPr>
                <w:b/>
                <w:sz w:val="20"/>
              </w:rPr>
              <w:t>0</w:t>
            </w:r>
          </w:p>
        </w:tc>
        <w:tc>
          <w:tcPr>
            <w:tcW w:w="7371" w:type="dxa"/>
            <w:shd w:val="pct10" w:color="000000" w:fill="FFFFFF"/>
          </w:tcPr>
          <w:p w14:paraId="040C4FAD" w14:textId="77777777" w:rsidR="00750C64" w:rsidRPr="00260AAB" w:rsidRDefault="00750C64" w:rsidP="005F636B">
            <w:pPr>
              <w:spacing w:before="120" w:after="120"/>
              <w:jc w:val="center"/>
              <w:rPr>
                <w:sz w:val="28"/>
                <w:szCs w:val="28"/>
              </w:rPr>
            </w:pPr>
            <w:r w:rsidRPr="00260AAB">
              <w:rPr>
                <w:rFonts w:ascii="Arial" w:hAnsi="Arial"/>
                <w:b/>
                <w:sz w:val="28"/>
                <w:szCs w:val="28"/>
              </w:rPr>
              <w:t>0</w:t>
            </w:r>
          </w:p>
        </w:tc>
      </w:tr>
      <w:tr w:rsidR="00750C64" w:rsidRPr="00260AAB" w14:paraId="5A2A25C5" w14:textId="77777777" w:rsidTr="005F636B">
        <w:trPr>
          <w:cantSplit/>
        </w:trPr>
        <w:tc>
          <w:tcPr>
            <w:tcW w:w="1701" w:type="dxa"/>
            <w:shd w:val="clear" w:color="auto" w:fill="FFFFFF"/>
          </w:tcPr>
          <w:p w14:paraId="6B9BC944" w14:textId="77777777" w:rsidR="00750C64" w:rsidRPr="00260AAB" w:rsidRDefault="00750C64" w:rsidP="005F636B">
            <w:pPr>
              <w:spacing w:before="120" w:after="120"/>
              <w:rPr>
                <w:sz w:val="20"/>
              </w:rPr>
            </w:pPr>
          </w:p>
        </w:tc>
        <w:tc>
          <w:tcPr>
            <w:tcW w:w="7371" w:type="dxa"/>
            <w:shd w:val="clear" w:color="auto" w:fill="FFFFFF"/>
          </w:tcPr>
          <w:p w14:paraId="52852D5D" w14:textId="77777777" w:rsidR="00750C64" w:rsidRPr="00260AAB" w:rsidRDefault="00750C64" w:rsidP="005F636B">
            <w:pPr>
              <w:spacing w:before="120" w:after="120"/>
              <w:rPr>
                <w:sz w:val="20"/>
              </w:rPr>
            </w:pPr>
          </w:p>
        </w:tc>
      </w:tr>
    </w:tbl>
    <w:p w14:paraId="402EAD07" w14:textId="77777777" w:rsidR="00750C64" w:rsidRPr="00260AAB" w:rsidRDefault="00750C64" w:rsidP="00147FBF">
      <w:pPr>
        <w:pStyle w:val="Normal12"/>
      </w:pPr>
    </w:p>
    <w:p w14:paraId="59B0CC45" w14:textId="4CF8419B" w:rsidR="00750C64" w:rsidRPr="00260AAB" w:rsidRDefault="00750C64" w:rsidP="00B735E3">
      <w:r w:rsidRPr="00260AAB">
        <w:t>Tegnforklaring:</w:t>
      </w:r>
    </w:p>
    <w:p w14:paraId="6E996508" w14:textId="0B216D0B" w:rsidR="00750C64" w:rsidRPr="00260AAB" w:rsidRDefault="00750C64" w:rsidP="00B735E3">
      <w:pPr>
        <w:pStyle w:val="NormalTabs"/>
      </w:pPr>
      <w:r w:rsidRPr="00260AAB">
        <w:t>+</w:t>
      </w:r>
      <w:r w:rsidRPr="00260AAB">
        <w:tab/>
        <w:t>:</w:t>
      </w:r>
      <w:r w:rsidRPr="00260AAB">
        <w:tab/>
        <w:t>for</w:t>
      </w:r>
    </w:p>
    <w:p w14:paraId="0DC5C850" w14:textId="517338E6" w:rsidR="00750C64" w:rsidRPr="00260AAB" w:rsidRDefault="00750C64" w:rsidP="00B735E3">
      <w:pPr>
        <w:pStyle w:val="NormalTabs"/>
      </w:pPr>
      <w:r w:rsidRPr="00260AAB">
        <w:t>-</w:t>
      </w:r>
      <w:r w:rsidRPr="00260AAB">
        <w:tab/>
        <w:t>:</w:t>
      </w:r>
      <w:r w:rsidRPr="00260AAB">
        <w:tab/>
        <w:t>imod</w:t>
      </w:r>
    </w:p>
    <w:p w14:paraId="77A267D2" w14:textId="4FE4798C" w:rsidR="00750C64" w:rsidRPr="00260AAB" w:rsidRDefault="00750C64" w:rsidP="00B735E3">
      <w:pPr>
        <w:pStyle w:val="NormalTabs"/>
      </w:pPr>
      <w:r w:rsidRPr="00260AAB">
        <w:t>0</w:t>
      </w:r>
      <w:r w:rsidRPr="00260AAB">
        <w:tab/>
        <w:t>:</w:t>
      </w:r>
      <w:r w:rsidRPr="00260AAB">
        <w:tab/>
        <w:t>hverken/eller</w:t>
      </w:r>
    </w:p>
    <w:p w14:paraId="2C75DD6C" w14:textId="77777777" w:rsidR="00750C64" w:rsidRPr="00260AAB" w:rsidRDefault="00750C64" w:rsidP="00AD5932"/>
    <w:p w14:paraId="02055CD0" w14:textId="77777777" w:rsidR="00841D8C" w:rsidRPr="00260AAB" w:rsidRDefault="00841D8C" w:rsidP="00750C64">
      <w:bookmarkStart w:id="20" w:name="_GoBack"/>
      <w:bookmarkEnd w:id="18"/>
      <w:bookmarkEnd w:id="20"/>
    </w:p>
    <w:sectPr w:rsidR="00841D8C" w:rsidRPr="00260AAB" w:rsidSect="00750C64">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32AC3" w14:textId="77777777" w:rsidR="005E7355" w:rsidRPr="00260AAB" w:rsidRDefault="005E7355">
      <w:r w:rsidRPr="00260AAB">
        <w:separator/>
      </w:r>
    </w:p>
  </w:endnote>
  <w:endnote w:type="continuationSeparator" w:id="0">
    <w:p w14:paraId="6B6F0A83" w14:textId="77777777" w:rsidR="005E7355" w:rsidRPr="00260AAB" w:rsidRDefault="005E7355">
      <w:r w:rsidRPr="00260A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9CA4" w14:textId="1AB43700" w:rsidR="00260AAB" w:rsidRPr="00260AAB" w:rsidRDefault="00260AAB" w:rsidP="00260AAB">
    <w:pPr>
      <w:pStyle w:val="Footer"/>
    </w:pPr>
    <w:r w:rsidRPr="00260AAB">
      <w:t>PE</w:t>
    </w:r>
    <w:r w:rsidRPr="00260AAB">
      <w:rPr>
        <w:rStyle w:val="HideTWBExt"/>
        <w:noProof w:val="0"/>
      </w:rPr>
      <w:t>&lt;NoPE&gt;</w:t>
    </w:r>
    <w:r w:rsidRPr="00260AAB">
      <w:t>626.800</w:t>
    </w:r>
    <w:r w:rsidRPr="00260AAB">
      <w:rPr>
        <w:rStyle w:val="HideTWBExt"/>
        <w:noProof w:val="0"/>
      </w:rPr>
      <w:t>&lt;/NoPE&gt;&lt;Version&gt;</w:t>
    </w:r>
    <w:r w:rsidRPr="00260AAB">
      <w:t>v02-00</w:t>
    </w:r>
    <w:r w:rsidRPr="00260AAB">
      <w:rPr>
        <w:rStyle w:val="HideTWBExt"/>
        <w:noProof w:val="0"/>
      </w:rPr>
      <w:t>&lt;/Version&gt;</w:t>
    </w:r>
    <w:r w:rsidRPr="00260AAB">
      <w:tab/>
    </w:r>
    <w:r w:rsidRPr="00260AAB">
      <w:fldChar w:fldCharType="begin"/>
    </w:r>
    <w:r w:rsidRPr="00260AAB">
      <w:instrText xml:space="preserve"> PAGE  \* MERGEFORMAT </w:instrText>
    </w:r>
    <w:r w:rsidRPr="00260AAB">
      <w:fldChar w:fldCharType="separate"/>
    </w:r>
    <w:r w:rsidR="00B3389D">
      <w:rPr>
        <w:noProof/>
      </w:rPr>
      <w:t>14</w:t>
    </w:r>
    <w:r w:rsidRPr="00260AAB">
      <w:fldChar w:fldCharType="end"/>
    </w:r>
    <w:r w:rsidRPr="00260AAB">
      <w:t>/</w:t>
    </w:r>
    <w:fldSimple w:instr=" NUMPAGES  \* MERGEFORMAT ">
      <w:r w:rsidR="00B3389D">
        <w:rPr>
          <w:noProof/>
        </w:rPr>
        <w:t>15</w:t>
      </w:r>
    </w:fldSimple>
    <w:r w:rsidRPr="00260AAB">
      <w:tab/>
    </w:r>
    <w:r w:rsidRPr="00260AAB">
      <w:rPr>
        <w:rStyle w:val="HideTWBExt"/>
        <w:noProof w:val="0"/>
      </w:rPr>
      <w:t>&lt;PathFdR&gt;</w:t>
    </w:r>
    <w:r w:rsidRPr="00260AAB">
      <w:t>RR\1178390DA.docx</w:t>
    </w:r>
    <w:r w:rsidRPr="00260AAB">
      <w:rPr>
        <w:rStyle w:val="HideTWBExt"/>
        <w:noProof w:val="0"/>
      </w:rPr>
      <w:t>&lt;/PathFdR&gt;</w:t>
    </w:r>
  </w:p>
  <w:p w14:paraId="28590F70" w14:textId="5DE3BD55" w:rsidR="00750C64" w:rsidRPr="00260AAB" w:rsidRDefault="00260AAB" w:rsidP="00260AAB">
    <w:pPr>
      <w:pStyle w:val="Footer2"/>
    </w:pPr>
    <w:r w:rsidRPr="00260AAB">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E8DA" w14:textId="452C4283" w:rsidR="00260AAB" w:rsidRPr="00260AAB" w:rsidRDefault="00260AAB" w:rsidP="00260AAB">
    <w:pPr>
      <w:pStyle w:val="Footer"/>
    </w:pPr>
    <w:r w:rsidRPr="00260AAB">
      <w:rPr>
        <w:rStyle w:val="HideTWBExt"/>
        <w:noProof w:val="0"/>
      </w:rPr>
      <w:t>&lt;PathFdR&gt;</w:t>
    </w:r>
    <w:r w:rsidRPr="00260AAB">
      <w:t>RR\1178390DA.docx</w:t>
    </w:r>
    <w:r w:rsidRPr="00260AAB">
      <w:rPr>
        <w:rStyle w:val="HideTWBExt"/>
        <w:noProof w:val="0"/>
      </w:rPr>
      <w:t>&lt;/PathFdR&gt;</w:t>
    </w:r>
    <w:r w:rsidRPr="00260AAB">
      <w:tab/>
    </w:r>
    <w:r w:rsidRPr="00260AAB">
      <w:fldChar w:fldCharType="begin"/>
    </w:r>
    <w:r w:rsidRPr="00260AAB">
      <w:instrText xml:space="preserve"> PAGE  \* MERGEFORMAT </w:instrText>
    </w:r>
    <w:r w:rsidRPr="00260AAB">
      <w:fldChar w:fldCharType="separate"/>
    </w:r>
    <w:r w:rsidR="00B3389D">
      <w:rPr>
        <w:noProof/>
      </w:rPr>
      <w:t>13</w:t>
    </w:r>
    <w:r w:rsidRPr="00260AAB">
      <w:fldChar w:fldCharType="end"/>
    </w:r>
    <w:r w:rsidRPr="00260AAB">
      <w:t>/</w:t>
    </w:r>
    <w:fldSimple w:instr=" NUMPAGES  \* MERGEFORMAT ">
      <w:r w:rsidR="00B3389D">
        <w:rPr>
          <w:noProof/>
        </w:rPr>
        <w:t>15</w:t>
      </w:r>
    </w:fldSimple>
    <w:r w:rsidRPr="00260AAB">
      <w:tab/>
      <w:t>PE</w:t>
    </w:r>
    <w:r w:rsidRPr="00260AAB">
      <w:rPr>
        <w:rStyle w:val="HideTWBExt"/>
        <w:noProof w:val="0"/>
      </w:rPr>
      <w:t>&lt;NoPE&gt;</w:t>
    </w:r>
    <w:r w:rsidRPr="00260AAB">
      <w:t>626.800</w:t>
    </w:r>
    <w:r w:rsidRPr="00260AAB">
      <w:rPr>
        <w:rStyle w:val="HideTWBExt"/>
        <w:noProof w:val="0"/>
      </w:rPr>
      <w:t>&lt;/NoPE&gt;&lt;Version&gt;</w:t>
    </w:r>
    <w:r w:rsidRPr="00260AAB">
      <w:t>v02-00</w:t>
    </w:r>
    <w:r w:rsidRPr="00260AAB">
      <w:rPr>
        <w:rStyle w:val="HideTWBExt"/>
        <w:noProof w:val="0"/>
      </w:rPr>
      <w:t>&lt;/Version&gt;</w:t>
    </w:r>
  </w:p>
  <w:p w14:paraId="04031346" w14:textId="13CD1967" w:rsidR="00750C64" w:rsidRPr="00260AAB" w:rsidRDefault="00260AAB" w:rsidP="00260AAB">
    <w:pPr>
      <w:pStyle w:val="Footer2"/>
    </w:pPr>
    <w:r w:rsidRPr="00260AAB">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E710" w14:textId="77777777" w:rsidR="00260AAB" w:rsidRPr="00260AAB" w:rsidRDefault="00260AAB" w:rsidP="00260AAB">
    <w:pPr>
      <w:pStyle w:val="Footer"/>
    </w:pPr>
    <w:r w:rsidRPr="00260AAB">
      <w:rPr>
        <w:rStyle w:val="HideTWBExt"/>
        <w:noProof w:val="0"/>
      </w:rPr>
      <w:t>&lt;PathFdR&gt;</w:t>
    </w:r>
    <w:r w:rsidRPr="00260AAB">
      <w:t>RR\1178390DA.docx</w:t>
    </w:r>
    <w:r w:rsidRPr="00260AAB">
      <w:rPr>
        <w:rStyle w:val="HideTWBExt"/>
        <w:noProof w:val="0"/>
      </w:rPr>
      <w:t>&lt;/PathFdR&gt;</w:t>
    </w:r>
    <w:r w:rsidRPr="00260AAB">
      <w:tab/>
    </w:r>
    <w:r w:rsidRPr="00260AAB">
      <w:tab/>
      <w:t>PE</w:t>
    </w:r>
    <w:r w:rsidRPr="00260AAB">
      <w:rPr>
        <w:rStyle w:val="HideTWBExt"/>
        <w:noProof w:val="0"/>
      </w:rPr>
      <w:t>&lt;NoPE&gt;</w:t>
    </w:r>
    <w:r w:rsidRPr="00260AAB">
      <w:t>626.800</w:t>
    </w:r>
    <w:r w:rsidRPr="00260AAB">
      <w:rPr>
        <w:rStyle w:val="HideTWBExt"/>
        <w:noProof w:val="0"/>
      </w:rPr>
      <w:t>&lt;/NoPE&gt;&lt;Version&gt;</w:t>
    </w:r>
    <w:r w:rsidRPr="00260AAB">
      <w:t>v02-00</w:t>
    </w:r>
    <w:r w:rsidRPr="00260AAB">
      <w:rPr>
        <w:rStyle w:val="HideTWBExt"/>
        <w:noProof w:val="0"/>
      </w:rPr>
      <w:t>&lt;/Version&gt;</w:t>
    </w:r>
  </w:p>
  <w:p w14:paraId="6224FF41" w14:textId="6B0670B0" w:rsidR="00750C64" w:rsidRPr="00260AAB" w:rsidRDefault="00260AAB" w:rsidP="00260AAB">
    <w:pPr>
      <w:pStyle w:val="Footer2"/>
      <w:tabs>
        <w:tab w:val="center" w:pos="4535"/>
      </w:tabs>
    </w:pPr>
    <w:r w:rsidRPr="00260AAB">
      <w:t>DA</w:t>
    </w:r>
    <w:r w:rsidRPr="00260AAB">
      <w:tab/>
    </w:r>
    <w:r w:rsidRPr="00260AAB">
      <w:rPr>
        <w:b w:val="0"/>
        <w:i/>
        <w:color w:val="C0C0C0"/>
        <w:sz w:val="22"/>
      </w:rPr>
      <w:t>Forenet i mangfoldighed</w:t>
    </w:r>
    <w:r w:rsidRPr="00260AAB">
      <w:tab/>
      <w:t>DA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6A6E" w14:textId="3F5B5544" w:rsidR="00260AAB" w:rsidRDefault="00260AAB" w:rsidP="00260AAB">
    <w:pPr>
      <w:pStyle w:val="Footer"/>
      <w:rPr>
        <w:lang w:val="pt-PT"/>
      </w:rPr>
    </w:pPr>
    <w:r w:rsidRPr="00260AAB">
      <w:rPr>
        <w:rStyle w:val="HideTWBExt"/>
      </w:rPr>
      <w:t>&lt;PathFdR&gt;</w:t>
    </w:r>
    <w:r>
      <w:rPr>
        <w:lang w:val="pt-PT"/>
      </w:rPr>
      <w:t>RR\1178390DA.docx</w:t>
    </w:r>
    <w:r w:rsidRPr="00260AAB">
      <w:rPr>
        <w:rStyle w:val="HideTWBExt"/>
      </w:rPr>
      <w:t>&lt;/PathFdR&gt;</w:t>
    </w:r>
    <w:r>
      <w:rPr>
        <w:lang w:val="pt-PT"/>
      </w:rPr>
      <w:tab/>
    </w:r>
    <w:r>
      <w:rPr>
        <w:lang w:val="pt-PT"/>
      </w:rPr>
      <w:fldChar w:fldCharType="begin"/>
    </w:r>
    <w:r>
      <w:rPr>
        <w:lang w:val="pt-PT"/>
      </w:rPr>
      <w:instrText xml:space="preserve"> PAGE  \* MERGEFORMAT </w:instrText>
    </w:r>
    <w:r>
      <w:rPr>
        <w:lang w:val="pt-PT"/>
      </w:rPr>
      <w:fldChar w:fldCharType="separate"/>
    </w:r>
    <w:r w:rsidR="00B3389D">
      <w:rPr>
        <w:noProof/>
        <w:lang w:val="pt-PT"/>
      </w:rPr>
      <w:t>15</w:t>
    </w:r>
    <w:r>
      <w:rPr>
        <w:lang w:val="pt-PT"/>
      </w:rPr>
      <w:fldChar w:fldCharType="end"/>
    </w:r>
    <w:r>
      <w:rPr>
        <w:lang w:val="pt-PT"/>
      </w:rPr>
      <w:t>/</w:t>
    </w:r>
    <w:r>
      <w:rPr>
        <w:lang w:val="pt-PT"/>
      </w:rPr>
      <w:fldChar w:fldCharType="begin"/>
    </w:r>
    <w:r>
      <w:rPr>
        <w:lang w:val="pt-PT"/>
      </w:rPr>
      <w:instrText xml:space="preserve"> NUMPAGES  \* MERGEFORMAT </w:instrText>
    </w:r>
    <w:r>
      <w:rPr>
        <w:lang w:val="pt-PT"/>
      </w:rPr>
      <w:fldChar w:fldCharType="separate"/>
    </w:r>
    <w:r w:rsidR="00B3389D">
      <w:rPr>
        <w:noProof/>
        <w:lang w:val="pt-PT"/>
      </w:rPr>
      <w:t>15</w:t>
    </w:r>
    <w:r>
      <w:rPr>
        <w:lang w:val="pt-PT"/>
      </w:rPr>
      <w:fldChar w:fldCharType="end"/>
    </w:r>
    <w:r>
      <w:rPr>
        <w:lang w:val="pt-PT"/>
      </w:rPr>
      <w:tab/>
      <w:t>PE</w:t>
    </w:r>
    <w:r w:rsidRPr="00260AAB">
      <w:rPr>
        <w:rStyle w:val="HideTWBExt"/>
      </w:rPr>
      <w:t>&lt;NoPE&gt;</w:t>
    </w:r>
    <w:r>
      <w:rPr>
        <w:lang w:val="pt-PT"/>
      </w:rPr>
      <w:t>626.800</w:t>
    </w:r>
    <w:r w:rsidRPr="00260AAB">
      <w:rPr>
        <w:rStyle w:val="HideTWBExt"/>
      </w:rPr>
      <w:t>&lt;/NoPE&gt;&lt;Version&gt;</w:t>
    </w:r>
    <w:r>
      <w:rPr>
        <w:lang w:val="pt-PT"/>
      </w:rPr>
      <w:t>v02-00</w:t>
    </w:r>
    <w:r w:rsidRPr="00260AAB">
      <w:rPr>
        <w:rStyle w:val="HideTWBExt"/>
      </w:rPr>
      <w:t>&lt;/Version&gt;</w:t>
    </w:r>
  </w:p>
  <w:p w14:paraId="7E428B74" w14:textId="31F24549" w:rsidR="00390068" w:rsidRPr="00870806" w:rsidRDefault="00260AAB" w:rsidP="00260AAB">
    <w:pPr>
      <w:pStyle w:val="Footer2"/>
      <w:rPr>
        <w:lang w:val="pt-PT"/>
      </w:rPr>
    </w:pPr>
    <w:r>
      <w:rPr>
        <w:lang w:val="pt-PT"/>
      </w:rPr>
      <w:tab/>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2B69" w14:textId="77777777" w:rsidR="003F04D8" w:rsidRDefault="003F04D8" w:rsidP="003F04D8">
    <w:pPr>
      <w:pStyle w:val="Footer"/>
    </w:pPr>
    <w:r w:rsidRPr="003F04D8">
      <w:rPr>
        <w:rStyle w:val="HideTWBExt"/>
      </w:rPr>
      <w:t>&lt;PathFdR&gt;</w:t>
    </w:r>
    <w:r>
      <w:t>RR\1178390DA.docx</w:t>
    </w:r>
    <w:r w:rsidRPr="003F04D8">
      <w:rPr>
        <w:rStyle w:val="HideTWBExt"/>
      </w:rPr>
      <w:t>&lt;/PathFdR&gt;</w:t>
    </w:r>
    <w:r>
      <w:tab/>
    </w:r>
    <w:r>
      <w:tab/>
      <w:t>PE</w:t>
    </w:r>
    <w:r w:rsidRPr="003F04D8">
      <w:rPr>
        <w:rStyle w:val="HideTWBExt"/>
      </w:rPr>
      <w:t>&lt;NoPE&gt;</w:t>
    </w:r>
    <w:r>
      <w:t>626.800</w:t>
    </w:r>
    <w:r w:rsidRPr="003F04D8">
      <w:rPr>
        <w:rStyle w:val="HideTWBExt"/>
      </w:rPr>
      <w:t>&lt;/NoPE&gt;&lt;Version&gt;</w:t>
    </w:r>
    <w:r>
      <w:t>v02-00</w:t>
    </w:r>
    <w:r w:rsidRPr="003F04D8">
      <w:rPr>
        <w:rStyle w:val="HideTWBExt"/>
      </w:rPr>
      <w:t>&lt;/Version&gt;</w:t>
    </w:r>
  </w:p>
  <w:p w14:paraId="2CF19869" w14:textId="5AD3B3E0" w:rsidR="00390068" w:rsidRPr="00330989" w:rsidRDefault="003F04D8" w:rsidP="003F04D8">
    <w:pPr>
      <w:pStyle w:val="Footer2"/>
      <w:tabs>
        <w:tab w:val="center" w:pos="4535"/>
      </w:tabs>
    </w:pPr>
    <w:r>
      <w:t>DA</w:t>
    </w:r>
    <w:r>
      <w:tab/>
    </w:r>
    <w:r w:rsidRPr="003F04D8">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203D4" w14:textId="77777777" w:rsidR="005E7355" w:rsidRPr="00260AAB" w:rsidRDefault="005E7355">
      <w:r w:rsidRPr="00260AAB">
        <w:separator/>
      </w:r>
    </w:p>
  </w:footnote>
  <w:footnote w:type="continuationSeparator" w:id="0">
    <w:p w14:paraId="643C8548" w14:textId="77777777" w:rsidR="005E7355" w:rsidRPr="00260AAB" w:rsidRDefault="005E7355">
      <w:r w:rsidRPr="00260AAB">
        <w:continuationSeparator/>
      </w:r>
    </w:p>
  </w:footnote>
  <w:footnote w:id="1">
    <w:p w14:paraId="7E753D64" w14:textId="77777777" w:rsidR="00750C64" w:rsidRPr="00260AAB" w:rsidRDefault="00750C64" w:rsidP="00750C64">
      <w:pPr>
        <w:pStyle w:val="FootnoteText"/>
      </w:pPr>
      <w:r w:rsidRPr="00260AAB">
        <w:rPr>
          <w:rStyle w:val="FootnoteReference"/>
        </w:rPr>
        <w:footnoteRef/>
      </w:r>
      <w:r w:rsidRPr="00260AAB">
        <w:t xml:space="preserve"> EUT C 434 af 30.11.2018, s. 149.</w:t>
      </w:r>
    </w:p>
  </w:footnote>
  <w:footnote w:id="2">
    <w:p w14:paraId="72C11199" w14:textId="77777777" w:rsidR="00750C64" w:rsidRPr="00260AAB" w:rsidRDefault="00750C64" w:rsidP="00750C64">
      <w:pPr>
        <w:pStyle w:val="FootnoteText"/>
      </w:pPr>
      <w:r w:rsidRPr="00260AAB">
        <w:rPr>
          <w:rStyle w:val="FootnoteReference"/>
        </w:rPr>
        <w:footnoteRef/>
      </w:r>
      <w:r w:rsidRPr="00260AAB">
        <w:t xml:space="preserve"> EUT C 434 af 30.11.2018, s. 149.</w:t>
      </w:r>
    </w:p>
  </w:footnote>
  <w:footnote w:id="3">
    <w:p w14:paraId="73CD068D" w14:textId="77777777" w:rsidR="00750C64" w:rsidRPr="00260AAB" w:rsidRDefault="00750C64" w:rsidP="00750C64">
      <w:pPr>
        <w:pStyle w:val="FootnoteText"/>
      </w:pPr>
      <w:r w:rsidRPr="00260AAB">
        <w:rPr>
          <w:rStyle w:val="FootnoteReference"/>
        </w:rPr>
        <w:footnoteRef/>
      </w:r>
      <w:r w:rsidRPr="00260AAB">
        <w:t xml:space="preserve"> EUT L 298 af 26.9.2012, s. 1.</w:t>
      </w:r>
    </w:p>
  </w:footnote>
  <w:footnote w:id="4">
    <w:p w14:paraId="1B8145B0" w14:textId="77777777" w:rsidR="00750C64" w:rsidRPr="00260AAB" w:rsidRDefault="00750C64" w:rsidP="00750C64">
      <w:pPr>
        <w:pStyle w:val="FootnoteText"/>
      </w:pPr>
      <w:r w:rsidRPr="00260AAB">
        <w:rPr>
          <w:rStyle w:val="FootnoteReference"/>
        </w:rPr>
        <w:footnoteRef/>
      </w:r>
      <w:r w:rsidRPr="00260AAB">
        <w:t xml:space="preserve"> EUT L 193 af 30.7.2018, s. 1.</w:t>
      </w:r>
    </w:p>
  </w:footnote>
  <w:footnote w:id="5">
    <w:p w14:paraId="495B2B28" w14:textId="77777777" w:rsidR="00750C64" w:rsidRPr="00260AAB" w:rsidRDefault="00750C64" w:rsidP="00750C64">
      <w:pPr>
        <w:pStyle w:val="FootnoteText"/>
      </w:pPr>
      <w:r w:rsidRPr="00260AAB">
        <w:rPr>
          <w:rStyle w:val="FootnoteReference"/>
        </w:rPr>
        <w:footnoteRef/>
      </w:r>
      <w:r w:rsidRPr="00260AAB">
        <w:t xml:space="preserve"> EUT L 376 af 27.12.9.2006, s. 1.</w:t>
      </w:r>
    </w:p>
  </w:footnote>
  <w:footnote w:id="6">
    <w:p w14:paraId="49937C8A" w14:textId="77777777" w:rsidR="00750C64" w:rsidRPr="00260AAB" w:rsidRDefault="00750C64" w:rsidP="00750C64">
      <w:pPr>
        <w:pStyle w:val="FootnoteText"/>
      </w:pPr>
      <w:r w:rsidRPr="00260AAB">
        <w:rPr>
          <w:rStyle w:val="FootnoteReference"/>
        </w:rPr>
        <w:footnoteRef/>
      </w:r>
      <w:r w:rsidRPr="00260AAB">
        <w:t xml:space="preserve"> EUT L 328 af 7.12.2013, s. 42.</w:t>
      </w:r>
    </w:p>
  </w:footnote>
  <w:footnote w:id="7">
    <w:p w14:paraId="3A1DA043" w14:textId="77777777" w:rsidR="00750C64" w:rsidRPr="00260AAB" w:rsidRDefault="00750C64" w:rsidP="00750C64">
      <w:pPr>
        <w:pStyle w:val="FootnoteText"/>
      </w:pPr>
      <w:r w:rsidRPr="00260AAB">
        <w:rPr>
          <w:rStyle w:val="FootnoteReference"/>
        </w:rPr>
        <w:footnoteRef/>
      </w:r>
      <w:r w:rsidRPr="00260AAB">
        <w:t xml:space="preserve"> EUT C 434 af 30.11.2018, s. 149.</w:t>
      </w:r>
    </w:p>
  </w:footnote>
  <w:footnote w:id="8">
    <w:p w14:paraId="1D99F3EC" w14:textId="77777777" w:rsidR="00750C64" w:rsidRPr="00260AAB" w:rsidRDefault="00750C64" w:rsidP="00750C64">
      <w:pPr>
        <w:pStyle w:val="FootnoteText"/>
      </w:pPr>
      <w:r w:rsidRPr="00260AAB">
        <w:rPr>
          <w:rStyle w:val="FootnoteReference"/>
        </w:rPr>
        <w:footnoteRef/>
      </w:r>
      <w:r w:rsidRPr="00260AAB">
        <w:t xml:space="preserve"> EUT C 434 af 30.11.2018, s. 149.</w:t>
      </w:r>
    </w:p>
  </w:footnote>
  <w:footnote w:id="9">
    <w:p w14:paraId="362F6673" w14:textId="77777777" w:rsidR="00750C64" w:rsidRPr="00260AAB" w:rsidRDefault="00750C64" w:rsidP="00750C64">
      <w:pPr>
        <w:pStyle w:val="FootnoteText"/>
      </w:pPr>
      <w:r w:rsidRPr="00260AAB">
        <w:rPr>
          <w:rStyle w:val="FootnoteReference"/>
        </w:rPr>
        <w:footnoteRef/>
      </w:r>
      <w:r w:rsidRPr="00260AAB">
        <w:t xml:space="preserve"> EUT L 298 af 26.9.2012, s. 1.</w:t>
      </w:r>
    </w:p>
  </w:footnote>
  <w:footnote w:id="10">
    <w:p w14:paraId="537A08B7" w14:textId="77777777" w:rsidR="00750C64" w:rsidRPr="00260AAB" w:rsidRDefault="00750C64" w:rsidP="00750C64">
      <w:pPr>
        <w:pStyle w:val="FootnoteText"/>
      </w:pPr>
      <w:r w:rsidRPr="00260AAB">
        <w:rPr>
          <w:rStyle w:val="FootnoteReference"/>
        </w:rPr>
        <w:footnoteRef/>
      </w:r>
      <w:r w:rsidRPr="00260AAB">
        <w:t xml:space="preserve"> EUT L 193 af 30.7.2018, s. 1.</w:t>
      </w:r>
    </w:p>
  </w:footnote>
  <w:footnote w:id="11">
    <w:p w14:paraId="0BAD4480" w14:textId="77777777" w:rsidR="00750C64" w:rsidRPr="00260AAB" w:rsidRDefault="00750C64" w:rsidP="00750C64">
      <w:pPr>
        <w:pStyle w:val="FootnoteText"/>
      </w:pPr>
      <w:r w:rsidRPr="00260AAB">
        <w:rPr>
          <w:rStyle w:val="FootnoteReference"/>
        </w:rPr>
        <w:footnoteRef/>
      </w:r>
      <w:r w:rsidRPr="00260AAB">
        <w:t xml:space="preserve"> EUT L 376 af 27.12.9.2006, s. 1.</w:t>
      </w:r>
    </w:p>
  </w:footnote>
  <w:footnote w:id="12">
    <w:p w14:paraId="1129AB2F" w14:textId="77777777" w:rsidR="00750C64" w:rsidRPr="00260AAB" w:rsidRDefault="00750C64" w:rsidP="00750C64">
      <w:pPr>
        <w:pStyle w:val="FootnoteText"/>
      </w:pPr>
      <w:r w:rsidRPr="00260AAB">
        <w:rPr>
          <w:rStyle w:val="FootnoteReference"/>
        </w:rPr>
        <w:footnoteRef/>
      </w:r>
      <w:r w:rsidRPr="00260AAB">
        <w:t xml:space="preserve"> EUT L 328 af 7.12.2013, s. 42.</w:t>
      </w:r>
    </w:p>
  </w:footnote>
  <w:footnote w:id="13">
    <w:p w14:paraId="0698E4E6" w14:textId="77777777" w:rsidR="00750C64" w:rsidRPr="00260AAB" w:rsidRDefault="00750C64" w:rsidP="00750C64">
      <w:pPr>
        <w:pStyle w:val="FootnoteText"/>
      </w:pPr>
      <w:r w:rsidRPr="00260AAB">
        <w:rPr>
          <w:rStyle w:val="FootnoteReference"/>
        </w:rPr>
        <w:footnoteRef/>
      </w:r>
      <w:r w:rsidRPr="00260AAB">
        <w:t xml:space="preserve"> EUT C 25 af 24.1.2018, s. 1.</w:t>
      </w:r>
    </w:p>
  </w:footnote>
  <w:footnote w:id="14">
    <w:p w14:paraId="3291EF39" w14:textId="77777777" w:rsidR="00750C64" w:rsidRPr="00260AAB" w:rsidRDefault="00750C64" w:rsidP="00750C64">
      <w:pPr>
        <w:pStyle w:val="FootnoteText"/>
      </w:pPr>
      <w:r w:rsidRPr="00260AAB">
        <w:rPr>
          <w:rStyle w:val="FootnoteReference"/>
        </w:rPr>
        <w:footnoteRef/>
      </w:r>
      <w:r w:rsidRPr="00260AAB">
        <w:t xml:space="preserve"> Vedtagne tekster, P8_TA(2019)0000.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B47F" w14:textId="77777777" w:rsidR="00B3389D" w:rsidRDefault="00B33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DCD7B" w14:textId="77777777" w:rsidR="00B3389D" w:rsidRDefault="00B33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F7F8" w14:textId="77777777" w:rsidR="00B3389D" w:rsidRDefault="00B33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4DB0B236">
      <w:start w:val="1"/>
      <w:numFmt w:val="upperLetter"/>
      <w:lvlText w:val="%1."/>
      <w:lvlJc w:val="left"/>
      <w:pPr>
        <w:tabs>
          <w:tab w:val="num" w:pos="360"/>
        </w:tabs>
        <w:ind w:left="360" w:hanging="360"/>
      </w:pPr>
      <w:rPr>
        <w:rFonts w:hint="default"/>
      </w:rPr>
    </w:lvl>
    <w:lvl w:ilvl="1" w:tplc="55AC0930" w:tentative="1">
      <w:start w:val="1"/>
      <w:numFmt w:val="lowerLetter"/>
      <w:lvlText w:val="%2."/>
      <w:lvlJc w:val="left"/>
      <w:pPr>
        <w:tabs>
          <w:tab w:val="num" w:pos="1080"/>
        </w:tabs>
        <w:ind w:left="1080" w:hanging="360"/>
      </w:pPr>
    </w:lvl>
    <w:lvl w:ilvl="2" w:tplc="F4701338" w:tentative="1">
      <w:start w:val="1"/>
      <w:numFmt w:val="lowerRoman"/>
      <w:lvlText w:val="%3."/>
      <w:lvlJc w:val="right"/>
      <w:pPr>
        <w:tabs>
          <w:tab w:val="num" w:pos="1800"/>
        </w:tabs>
        <w:ind w:left="1800" w:hanging="180"/>
      </w:pPr>
    </w:lvl>
    <w:lvl w:ilvl="3" w:tplc="B14C1F54" w:tentative="1">
      <w:start w:val="1"/>
      <w:numFmt w:val="decimal"/>
      <w:lvlText w:val="%4."/>
      <w:lvlJc w:val="left"/>
      <w:pPr>
        <w:tabs>
          <w:tab w:val="num" w:pos="2520"/>
        </w:tabs>
        <w:ind w:left="2520" w:hanging="360"/>
      </w:pPr>
    </w:lvl>
    <w:lvl w:ilvl="4" w:tplc="656071EA" w:tentative="1">
      <w:start w:val="1"/>
      <w:numFmt w:val="lowerLetter"/>
      <w:lvlText w:val="%5."/>
      <w:lvlJc w:val="left"/>
      <w:pPr>
        <w:tabs>
          <w:tab w:val="num" w:pos="3240"/>
        </w:tabs>
        <w:ind w:left="3240" w:hanging="360"/>
      </w:pPr>
    </w:lvl>
    <w:lvl w:ilvl="5" w:tplc="8ADEE700" w:tentative="1">
      <w:start w:val="1"/>
      <w:numFmt w:val="lowerRoman"/>
      <w:lvlText w:val="%6."/>
      <w:lvlJc w:val="right"/>
      <w:pPr>
        <w:tabs>
          <w:tab w:val="num" w:pos="3960"/>
        </w:tabs>
        <w:ind w:left="3960" w:hanging="180"/>
      </w:pPr>
    </w:lvl>
    <w:lvl w:ilvl="6" w:tplc="8FAC33F0" w:tentative="1">
      <w:start w:val="1"/>
      <w:numFmt w:val="decimal"/>
      <w:lvlText w:val="%7."/>
      <w:lvlJc w:val="left"/>
      <w:pPr>
        <w:tabs>
          <w:tab w:val="num" w:pos="4680"/>
        </w:tabs>
        <w:ind w:left="4680" w:hanging="360"/>
      </w:pPr>
    </w:lvl>
    <w:lvl w:ilvl="7" w:tplc="F2B6EA96" w:tentative="1">
      <w:start w:val="1"/>
      <w:numFmt w:val="lowerLetter"/>
      <w:lvlText w:val="%8."/>
      <w:lvlJc w:val="left"/>
      <w:pPr>
        <w:tabs>
          <w:tab w:val="num" w:pos="5400"/>
        </w:tabs>
        <w:ind w:left="5400" w:hanging="360"/>
      </w:pPr>
    </w:lvl>
    <w:lvl w:ilvl="8" w:tplc="3D428C5A"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E3EA24EC">
      <w:start w:val="1"/>
      <w:numFmt w:val="decimal"/>
      <w:lvlText w:val="%1."/>
      <w:lvlJc w:val="left"/>
      <w:pPr>
        <w:tabs>
          <w:tab w:val="num" w:pos="720"/>
        </w:tabs>
        <w:ind w:left="720" w:hanging="360"/>
      </w:pPr>
    </w:lvl>
    <w:lvl w:ilvl="1" w:tplc="C77EC6CC" w:tentative="1">
      <w:start w:val="1"/>
      <w:numFmt w:val="lowerLetter"/>
      <w:lvlText w:val="%2."/>
      <w:lvlJc w:val="left"/>
      <w:pPr>
        <w:tabs>
          <w:tab w:val="num" w:pos="1440"/>
        </w:tabs>
        <w:ind w:left="1440" w:hanging="360"/>
      </w:pPr>
    </w:lvl>
    <w:lvl w:ilvl="2" w:tplc="33689B1A" w:tentative="1">
      <w:start w:val="1"/>
      <w:numFmt w:val="lowerRoman"/>
      <w:lvlText w:val="%3."/>
      <w:lvlJc w:val="right"/>
      <w:pPr>
        <w:tabs>
          <w:tab w:val="num" w:pos="2160"/>
        </w:tabs>
        <w:ind w:left="2160" w:hanging="180"/>
      </w:pPr>
    </w:lvl>
    <w:lvl w:ilvl="3" w:tplc="9D6EF404" w:tentative="1">
      <w:start w:val="1"/>
      <w:numFmt w:val="decimal"/>
      <w:lvlText w:val="%4."/>
      <w:lvlJc w:val="left"/>
      <w:pPr>
        <w:tabs>
          <w:tab w:val="num" w:pos="2880"/>
        </w:tabs>
        <w:ind w:left="2880" w:hanging="360"/>
      </w:pPr>
    </w:lvl>
    <w:lvl w:ilvl="4" w:tplc="E0CCB056" w:tentative="1">
      <w:start w:val="1"/>
      <w:numFmt w:val="lowerLetter"/>
      <w:lvlText w:val="%5."/>
      <w:lvlJc w:val="left"/>
      <w:pPr>
        <w:tabs>
          <w:tab w:val="num" w:pos="3600"/>
        </w:tabs>
        <w:ind w:left="3600" w:hanging="360"/>
      </w:pPr>
    </w:lvl>
    <w:lvl w:ilvl="5" w:tplc="660C3988" w:tentative="1">
      <w:start w:val="1"/>
      <w:numFmt w:val="lowerRoman"/>
      <w:lvlText w:val="%6."/>
      <w:lvlJc w:val="right"/>
      <w:pPr>
        <w:tabs>
          <w:tab w:val="num" w:pos="4320"/>
        </w:tabs>
        <w:ind w:left="4320" w:hanging="180"/>
      </w:pPr>
    </w:lvl>
    <w:lvl w:ilvl="6" w:tplc="61E026FC" w:tentative="1">
      <w:start w:val="1"/>
      <w:numFmt w:val="decimal"/>
      <w:lvlText w:val="%7."/>
      <w:lvlJc w:val="left"/>
      <w:pPr>
        <w:tabs>
          <w:tab w:val="num" w:pos="5040"/>
        </w:tabs>
        <w:ind w:left="5040" w:hanging="360"/>
      </w:pPr>
    </w:lvl>
    <w:lvl w:ilvl="7" w:tplc="DA02097C" w:tentative="1">
      <w:start w:val="1"/>
      <w:numFmt w:val="lowerLetter"/>
      <w:lvlText w:val="%8."/>
      <w:lvlJc w:val="left"/>
      <w:pPr>
        <w:tabs>
          <w:tab w:val="num" w:pos="5760"/>
        </w:tabs>
        <w:ind w:left="5760" w:hanging="360"/>
      </w:pPr>
    </w:lvl>
    <w:lvl w:ilvl="8" w:tplc="2C7E378C"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2KEY" w:val="LIBE"/>
    <w:docVar w:name="COM3KEY" w:val="ENVI"/>
    <w:docVar w:name="COMOPINMNU" w:val=" 3"/>
    <w:docVar w:name="CopyToNetwork" w:val="-1"/>
    <w:docVar w:name="DECISIONMNU" w:val=" 3"/>
    <w:docVar w:name="ETMNU" w:val=" 1"/>
    <w:docVar w:name="FN1DT" w:val="04/10/2018"/>
    <w:docVar w:name="FN2DT" w:val="04/10/2018"/>
    <w:docVar w:name="LastEditedSection" w:val=" 1"/>
    <w:docVar w:name="OBSERVATIONSMNU" w:val=" 1"/>
    <w:docVar w:name="OPIN2MNU" w:val=" 1"/>
    <w:docVar w:name="STOREDT" w:val="12/02/2019"/>
    <w:docVar w:name="strDocTypeID" w:val="PR_DEC_Agencies"/>
    <w:docVar w:name="strSubDir" w:val="1178"/>
    <w:docVar w:name="TITLEMNU" w:val=" 24"/>
    <w:docVar w:name="TXTBUDYEAR" w:val="2017"/>
    <w:docVar w:name="TXTFN1" w:val="357"/>
    <w:docVar w:name="TXTFN2" w:val="357"/>
    <w:docVar w:name="TXTLANGUE" w:val="DA"/>
    <w:docVar w:name="TXTLANGUEMIN" w:val="da"/>
    <w:docVar w:name="TXTNRC" w:val="0332/2018"/>
    <w:docVar w:name="TXTNRCOUNC" w:val="0000/2019"/>
    <w:docVar w:name="TXTNRDEC" w:val="2018/2181"/>
    <w:docVar w:name="TXTNRPE" w:val="626.800"/>
    <w:docVar w:name="TXTNRTA" w:val="(2018)0000"/>
    <w:docVar w:name="TXTPEorAP" w:val="PE"/>
    <w:docVar w:name="TXTPG1" w:val="1"/>
    <w:docVar w:name="TXTPG2" w:val="9"/>
    <w:docVar w:name="TXTROUTE" w:val="RR\1178390DA.docx"/>
    <w:docVar w:name="TXTVERSION" w:val="02-00"/>
  </w:docVars>
  <w:rsids>
    <w:rsidRoot w:val="005E7355"/>
    <w:rsid w:val="00002C51"/>
    <w:rsid w:val="00090E0B"/>
    <w:rsid w:val="000A05D5"/>
    <w:rsid w:val="000B47E5"/>
    <w:rsid w:val="000D7678"/>
    <w:rsid w:val="000E223D"/>
    <w:rsid w:val="000E4EA7"/>
    <w:rsid w:val="00104CB9"/>
    <w:rsid w:val="00116CB4"/>
    <w:rsid w:val="00150EC1"/>
    <w:rsid w:val="0017746B"/>
    <w:rsid w:val="001B4494"/>
    <w:rsid w:val="001E1032"/>
    <w:rsid w:val="00202D84"/>
    <w:rsid w:val="00253648"/>
    <w:rsid w:val="00256BE3"/>
    <w:rsid w:val="00256E0A"/>
    <w:rsid w:val="00260AAB"/>
    <w:rsid w:val="00276092"/>
    <w:rsid w:val="002949DB"/>
    <w:rsid w:val="002D6EA9"/>
    <w:rsid w:val="0031254A"/>
    <w:rsid w:val="00330989"/>
    <w:rsid w:val="00335B47"/>
    <w:rsid w:val="0035396E"/>
    <w:rsid w:val="00381864"/>
    <w:rsid w:val="00390068"/>
    <w:rsid w:val="003B5D11"/>
    <w:rsid w:val="003D353C"/>
    <w:rsid w:val="003E25A9"/>
    <w:rsid w:val="003E2DC8"/>
    <w:rsid w:val="003E735B"/>
    <w:rsid w:val="003F04D8"/>
    <w:rsid w:val="003F0E64"/>
    <w:rsid w:val="00413713"/>
    <w:rsid w:val="004651E1"/>
    <w:rsid w:val="00483597"/>
    <w:rsid w:val="004A34BF"/>
    <w:rsid w:val="004A480C"/>
    <w:rsid w:val="004C6C3F"/>
    <w:rsid w:val="004D13BA"/>
    <w:rsid w:val="00550E6B"/>
    <w:rsid w:val="00564DB0"/>
    <w:rsid w:val="00595F9A"/>
    <w:rsid w:val="005A3D7F"/>
    <w:rsid w:val="005A6CAE"/>
    <w:rsid w:val="005B2950"/>
    <w:rsid w:val="005C689E"/>
    <w:rsid w:val="005D3E9F"/>
    <w:rsid w:val="005E7355"/>
    <w:rsid w:val="005E7E89"/>
    <w:rsid w:val="0063324A"/>
    <w:rsid w:val="00643EBE"/>
    <w:rsid w:val="00653F7B"/>
    <w:rsid w:val="0066045F"/>
    <w:rsid w:val="006835EB"/>
    <w:rsid w:val="006B0ED0"/>
    <w:rsid w:val="006D37D7"/>
    <w:rsid w:val="006D4388"/>
    <w:rsid w:val="006D5743"/>
    <w:rsid w:val="0071091B"/>
    <w:rsid w:val="0074309C"/>
    <w:rsid w:val="0074734C"/>
    <w:rsid w:val="00750C64"/>
    <w:rsid w:val="007A312E"/>
    <w:rsid w:val="007A4AC9"/>
    <w:rsid w:val="007C3B7E"/>
    <w:rsid w:val="007D1E61"/>
    <w:rsid w:val="007E2834"/>
    <w:rsid w:val="0081446A"/>
    <w:rsid w:val="00841D8C"/>
    <w:rsid w:val="00870806"/>
    <w:rsid w:val="00895F7F"/>
    <w:rsid w:val="008A23A3"/>
    <w:rsid w:val="008B7B1D"/>
    <w:rsid w:val="008D205E"/>
    <w:rsid w:val="008D2063"/>
    <w:rsid w:val="00916826"/>
    <w:rsid w:val="00921E0E"/>
    <w:rsid w:val="0093422F"/>
    <w:rsid w:val="00947D32"/>
    <w:rsid w:val="00950104"/>
    <w:rsid w:val="009807D1"/>
    <w:rsid w:val="009A1AE4"/>
    <w:rsid w:val="009B566F"/>
    <w:rsid w:val="009C06AB"/>
    <w:rsid w:val="009D053D"/>
    <w:rsid w:val="009D386D"/>
    <w:rsid w:val="00A273FA"/>
    <w:rsid w:val="00A35902"/>
    <w:rsid w:val="00A84FF1"/>
    <w:rsid w:val="00A95064"/>
    <w:rsid w:val="00AB4789"/>
    <w:rsid w:val="00AD2ECC"/>
    <w:rsid w:val="00AD3D29"/>
    <w:rsid w:val="00AD758D"/>
    <w:rsid w:val="00B3389D"/>
    <w:rsid w:val="00B553CB"/>
    <w:rsid w:val="00B627F2"/>
    <w:rsid w:val="00B6540D"/>
    <w:rsid w:val="00B75AA6"/>
    <w:rsid w:val="00B844BC"/>
    <w:rsid w:val="00BA46FB"/>
    <w:rsid w:val="00BB09B0"/>
    <w:rsid w:val="00BD13C4"/>
    <w:rsid w:val="00BE0DC4"/>
    <w:rsid w:val="00BF0771"/>
    <w:rsid w:val="00C1531C"/>
    <w:rsid w:val="00C3005F"/>
    <w:rsid w:val="00C46F6A"/>
    <w:rsid w:val="00C56953"/>
    <w:rsid w:val="00C607B5"/>
    <w:rsid w:val="00C63401"/>
    <w:rsid w:val="00CB6B29"/>
    <w:rsid w:val="00CF07EC"/>
    <w:rsid w:val="00D05CBA"/>
    <w:rsid w:val="00D46466"/>
    <w:rsid w:val="00D74CC3"/>
    <w:rsid w:val="00DF7BA5"/>
    <w:rsid w:val="00E356B1"/>
    <w:rsid w:val="00E44A07"/>
    <w:rsid w:val="00E50576"/>
    <w:rsid w:val="00E57A6C"/>
    <w:rsid w:val="00EB31C4"/>
    <w:rsid w:val="00EC2CAC"/>
    <w:rsid w:val="00F02E0E"/>
    <w:rsid w:val="00F0381D"/>
    <w:rsid w:val="00F21C7F"/>
    <w:rsid w:val="00F60797"/>
    <w:rsid w:val="00F71101"/>
    <w:rsid w:val="00F9531F"/>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B5CF0"/>
  <w15:chartTrackingRefBased/>
  <w15:docId w15:val="{D5941ED2-6DB0-4683-8377-A924BA9E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9C06AB"/>
    <w:rPr>
      <w:sz w:val="20"/>
    </w:rPr>
  </w:style>
  <w:style w:type="character" w:customStyle="1" w:styleId="FootnoteTextChar">
    <w:name w:val="Footnote Text Char"/>
    <w:basedOn w:val="DefaultParagraphFont"/>
    <w:link w:val="FootnoteText"/>
    <w:rsid w:val="009C06AB"/>
  </w:style>
  <w:style w:type="character" w:styleId="FootnoteReference">
    <w:name w:val="footnote reference"/>
    <w:basedOn w:val="DefaultParagraphFont"/>
    <w:rsid w:val="009C06AB"/>
    <w:rPr>
      <w:vertAlign w:val="superscript"/>
    </w:rPr>
  </w:style>
  <w:style w:type="paragraph" w:styleId="BalloonText">
    <w:name w:val="Balloon Text"/>
    <w:basedOn w:val="Normal"/>
    <w:link w:val="BalloonTextChar"/>
    <w:rsid w:val="000E223D"/>
    <w:rPr>
      <w:rFonts w:ascii="Segoe UI" w:hAnsi="Segoe UI" w:cs="Segoe UI"/>
      <w:sz w:val="18"/>
      <w:szCs w:val="18"/>
    </w:rPr>
  </w:style>
  <w:style w:type="character" w:customStyle="1" w:styleId="BalloonTextChar">
    <w:name w:val="Balloon Text Char"/>
    <w:basedOn w:val="DefaultParagraphFont"/>
    <w:link w:val="BalloonText"/>
    <w:rsid w:val="000E223D"/>
    <w:rPr>
      <w:rFonts w:ascii="Segoe UI" w:hAnsi="Segoe UI" w:cs="Segoe UI"/>
      <w:sz w:val="18"/>
      <w:szCs w:val="18"/>
    </w:rPr>
  </w:style>
  <w:style w:type="character" w:styleId="CommentReference">
    <w:name w:val="annotation reference"/>
    <w:basedOn w:val="DefaultParagraphFont"/>
    <w:rsid w:val="00256E0A"/>
    <w:rPr>
      <w:sz w:val="16"/>
      <w:szCs w:val="16"/>
    </w:rPr>
  </w:style>
  <w:style w:type="paragraph" w:styleId="CommentText">
    <w:name w:val="annotation text"/>
    <w:basedOn w:val="Normal"/>
    <w:link w:val="CommentTextChar"/>
    <w:rsid w:val="00256E0A"/>
    <w:rPr>
      <w:sz w:val="20"/>
    </w:rPr>
  </w:style>
  <w:style w:type="character" w:customStyle="1" w:styleId="CommentTextChar">
    <w:name w:val="Comment Text Char"/>
    <w:basedOn w:val="DefaultParagraphFont"/>
    <w:link w:val="CommentText"/>
    <w:rsid w:val="00256E0A"/>
  </w:style>
  <w:style w:type="paragraph" w:styleId="CommentSubject">
    <w:name w:val="annotation subject"/>
    <w:basedOn w:val="CommentText"/>
    <w:next w:val="CommentText"/>
    <w:link w:val="CommentSubjectChar"/>
    <w:rsid w:val="00256E0A"/>
    <w:rPr>
      <w:b/>
      <w:bCs/>
    </w:rPr>
  </w:style>
  <w:style w:type="character" w:customStyle="1" w:styleId="CommentSubjectChar">
    <w:name w:val="Comment Subject Char"/>
    <w:basedOn w:val="CommentTextChar"/>
    <w:link w:val="CommentSubject"/>
    <w:rsid w:val="00256E0A"/>
    <w:rPr>
      <w:b/>
      <w:bCs/>
    </w:rPr>
  </w:style>
  <w:style w:type="paragraph" w:customStyle="1" w:styleId="PageHeadingNotTOC">
    <w:name w:val="PageHeadingNotTOC"/>
    <w:basedOn w:val="Normal12a12b"/>
    <w:rsid w:val="00750C64"/>
    <w:pPr>
      <w:keepNext/>
      <w:jc w:val="center"/>
    </w:pPr>
    <w:rPr>
      <w:rFonts w:ascii="Arial" w:hAnsi="Arial"/>
      <w:b/>
    </w:rPr>
  </w:style>
  <w:style w:type="paragraph" w:customStyle="1" w:styleId="NormalTabs">
    <w:name w:val="NormalTabs"/>
    <w:basedOn w:val="Normal"/>
    <w:qFormat/>
    <w:rsid w:val="00750C64"/>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229118463">
      <w:bodyDiv w:val="1"/>
      <w:marLeft w:val="0"/>
      <w:marRight w:val="0"/>
      <w:marTop w:val="0"/>
      <w:marBottom w:val="0"/>
      <w:divBdr>
        <w:top w:val="none" w:sz="0" w:space="0" w:color="auto"/>
        <w:left w:val="none" w:sz="0" w:space="0" w:color="auto"/>
        <w:bottom w:val="none" w:sz="0" w:space="0" w:color="auto"/>
        <w:right w:val="none" w:sz="0" w:space="0" w:color="auto"/>
      </w:divBdr>
    </w:div>
    <w:div w:id="408620506">
      <w:bodyDiv w:val="1"/>
      <w:marLeft w:val="0"/>
      <w:marRight w:val="0"/>
      <w:marTop w:val="0"/>
      <w:marBottom w:val="0"/>
      <w:divBdr>
        <w:top w:val="none" w:sz="0" w:space="0" w:color="auto"/>
        <w:left w:val="none" w:sz="0" w:space="0" w:color="auto"/>
        <w:bottom w:val="none" w:sz="0" w:space="0" w:color="auto"/>
        <w:right w:val="none" w:sz="0" w:space="0" w:color="auto"/>
      </w:divBdr>
    </w:div>
    <w:div w:id="581566956">
      <w:bodyDiv w:val="1"/>
      <w:marLeft w:val="0"/>
      <w:marRight w:val="0"/>
      <w:marTop w:val="0"/>
      <w:marBottom w:val="0"/>
      <w:divBdr>
        <w:top w:val="none" w:sz="0" w:space="0" w:color="auto"/>
        <w:left w:val="none" w:sz="0" w:space="0" w:color="auto"/>
        <w:bottom w:val="none" w:sz="0" w:space="0" w:color="auto"/>
        <w:right w:val="none" w:sz="0" w:space="0" w:color="auto"/>
      </w:divBdr>
    </w:div>
    <w:div w:id="12789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2690</Words>
  <Characters>17164</Characters>
  <Application>Microsoft Office Word</Application>
  <DocSecurity>0</DocSecurity>
  <Lines>429</Lines>
  <Paragraphs>223</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MAGUIRE Marcia</dc:creator>
  <cp:keywords/>
  <dc:description/>
  <cp:lastModifiedBy>HEINSOEE Katja</cp:lastModifiedBy>
  <cp:revision>2</cp:revision>
  <cp:lastPrinted>2018-12-10T14:29:00Z</cp:lastPrinted>
  <dcterms:created xsi:type="dcterms:W3CDTF">2019-03-19T10:13:00Z</dcterms:created>
  <dcterms:modified xsi:type="dcterms:W3CDTF">2019-03-19T10:13:00Z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1178390</vt:lpwstr>
  </property>
  <property fmtid="{D5CDD505-2E9C-101B-9397-08002B2CF9AE}" pid="5" name="&lt;Type&gt;">
    <vt:lpwstr>RR</vt:lpwstr>
  </property>
  <property fmtid="{D5CDD505-2E9C-101B-9397-08002B2CF9AE}" pid="6" name="&lt;ModelCod&gt;">
    <vt:lpwstr>\\eiciBRUpr1\pdocep$\DocEP\DOCS\General\PR\PR_BUD\DEC\PR_DEC_Agencies.dot(07/06/2018 20:01:22)</vt:lpwstr>
  </property>
  <property fmtid="{D5CDD505-2E9C-101B-9397-08002B2CF9AE}" pid="7" name="&lt;ModelTra&gt;">
    <vt:lpwstr>\\eiciBRUpr1\pdocep$\DocEP\TRANSFIL\EN\PR_DEC_Agencies.EN(07/06/2018 19:59:36)</vt:lpwstr>
  </property>
  <property fmtid="{D5CDD505-2E9C-101B-9397-08002B2CF9AE}" pid="8" name="&lt;Model&gt;">
    <vt:lpwstr>PR_DEC_Agencies</vt:lpwstr>
  </property>
  <property fmtid="{D5CDD505-2E9C-101B-9397-08002B2CF9AE}" pid="9" name="FooterPath">
    <vt:lpwstr>RR\1178390DA.docx</vt:lpwstr>
  </property>
  <property fmtid="{D5CDD505-2E9C-101B-9397-08002B2CF9AE}" pid="10" name="PE number">
    <vt:lpwstr>626.800</vt:lpwstr>
  </property>
  <property fmtid="{D5CDD505-2E9C-101B-9397-08002B2CF9AE}" pid="11" name="SubscribeElise">
    <vt:lpwstr/>
  </property>
  <property fmtid="{D5CDD505-2E9C-101B-9397-08002B2CF9AE}" pid="12" name="SendToEpades">
    <vt:lpwstr>OK - 2018/12/10 15:33</vt:lpwstr>
  </property>
  <property fmtid="{D5CDD505-2E9C-101B-9397-08002B2CF9AE}" pid="13" name="Bookout">
    <vt:lpwstr>OK - 2019/03/19 11:13</vt:lpwstr>
  </property>
  <property fmtid="{D5CDD505-2E9C-101B-9397-08002B2CF9AE}" pid="14" name="SDLStudio">
    <vt:lpwstr/>
  </property>
  <property fmtid="{D5CDD505-2E9C-101B-9397-08002B2CF9AE}" pid="15" name="&lt;Extension&gt;">
    <vt:lpwstr>DA</vt:lpwstr>
  </property>
</Properties>
</file>