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A4" w:rsidRDefault="00DC37A4" w:rsidP="00DC37A4">
      <w:pPr>
        <w:tabs>
          <w:tab w:val="right" w:pos="9184"/>
        </w:tabs>
      </w:pPr>
    </w:p>
    <w:p w:rsidR="00DC37A4" w:rsidRDefault="00DC37A4" w:rsidP="00DC37A4">
      <w:pPr>
        <w:tabs>
          <w:tab w:val="right" w:pos="9184"/>
        </w:tabs>
      </w:pPr>
    </w:p>
    <w:p w:rsidR="00DC37A4" w:rsidRDefault="00DC37A4" w:rsidP="00DC37A4">
      <w:pPr>
        <w:tabs>
          <w:tab w:val="right" w:pos="9184"/>
        </w:tabs>
      </w:pPr>
    </w:p>
    <w:p w:rsidR="00DC37A4" w:rsidRDefault="00DC37A4" w:rsidP="00DC37A4">
      <w:pPr>
        <w:tabs>
          <w:tab w:val="right" w:pos="9184"/>
        </w:tabs>
      </w:pPr>
    </w:p>
    <w:p w:rsidR="00DC37A4" w:rsidRDefault="00DC37A4" w:rsidP="00DC37A4">
      <w:pPr>
        <w:tabs>
          <w:tab w:val="right" w:pos="9184"/>
        </w:tabs>
      </w:pPr>
      <w:r w:rsidRPr="00DC37A4">
        <w:rPr>
          <w:rStyle w:val="HideTWBExt"/>
        </w:rPr>
        <w:t>&lt;Date&gt;</w:t>
      </w:r>
      <w:r>
        <w:t>13.12.2019</w:t>
      </w:r>
      <w:r w:rsidRPr="00DC37A4">
        <w:rPr>
          <w:rStyle w:val="HideTWBExt"/>
        </w:rPr>
        <w:t>&lt;/Date&gt;</w:t>
      </w:r>
      <w:r>
        <w:tab/>
        <w:t xml:space="preserve">A9-0047/ </w:t>
      </w:r>
      <w:r w:rsidRPr="00DC37A4">
        <w:rPr>
          <w:rStyle w:val="HideTWBExt"/>
        </w:rPr>
        <w:t>&lt;NumOfAM&gt;</w:t>
      </w:r>
      <w:r>
        <w:t>001-017</w:t>
      </w:r>
      <w:bookmarkStart w:id="0" w:name="_GoBack"/>
      <w:bookmarkEnd w:id="0"/>
      <w:r w:rsidRPr="00DC37A4">
        <w:rPr>
          <w:rStyle w:val="HideTWBExt"/>
        </w:rPr>
        <w:t>&lt;/NumOfAM&gt;</w:t>
      </w:r>
    </w:p>
    <w:p w:rsidR="00DC37A4" w:rsidRDefault="00DC37A4" w:rsidP="00DC37A4">
      <w:pPr>
        <w:tabs>
          <w:tab w:val="right" w:pos="9184"/>
        </w:tabs>
      </w:pPr>
    </w:p>
    <w:p w:rsidR="00DC37A4" w:rsidRDefault="00DC37A4" w:rsidP="00DC37A4">
      <w:pPr>
        <w:tabs>
          <w:tab w:val="right" w:pos="9184"/>
        </w:tabs>
      </w:pPr>
    </w:p>
    <w:p w:rsidR="00DC37A4" w:rsidRDefault="00DC37A4" w:rsidP="00DC37A4">
      <w:pPr>
        <w:tabs>
          <w:tab w:val="right" w:pos="9184"/>
        </w:tabs>
      </w:pPr>
      <w:r>
        <w:rPr>
          <w:b/>
        </w:rPr>
        <w:t xml:space="preserve">MUUDATUSETTEPANEKUD 001-017 </w:t>
      </w:r>
    </w:p>
    <w:p w:rsidR="00DC37A4" w:rsidRDefault="00DC37A4" w:rsidP="00DC37A4">
      <w:pPr>
        <w:tabs>
          <w:tab w:val="right" w:pos="9184"/>
        </w:tabs>
      </w:pPr>
      <w:r w:rsidRPr="00DC37A4">
        <w:rPr>
          <w:rStyle w:val="HideTWBExt"/>
        </w:rPr>
        <w:t>&lt;Committee&gt;</w:t>
      </w:r>
      <w:r>
        <w:t>Majandus- ja rahanduskomisjon</w:t>
      </w:r>
      <w:r w:rsidRPr="00DC37A4">
        <w:rPr>
          <w:rStyle w:val="HideTWBExt"/>
        </w:rPr>
        <w:t>&lt;/Committee&gt;</w:t>
      </w:r>
    </w:p>
    <w:p w:rsidR="00DC37A4" w:rsidRDefault="00DC37A4" w:rsidP="00DC37A4">
      <w:pPr>
        <w:tabs>
          <w:tab w:val="right" w:pos="9184"/>
        </w:tabs>
      </w:pPr>
    </w:p>
    <w:p w:rsidR="00DC37A4" w:rsidRDefault="00DC37A4" w:rsidP="00DC37A4">
      <w:pPr>
        <w:tabs>
          <w:tab w:val="right" w:pos="9184"/>
        </w:tabs>
        <w:rPr>
          <w:b/>
        </w:rPr>
      </w:pPr>
      <w:r>
        <w:rPr>
          <w:b/>
        </w:rPr>
        <w:t>Raport</w:t>
      </w:r>
    </w:p>
    <w:p w:rsidR="00DC37A4" w:rsidRDefault="00DC37A4" w:rsidP="00DC37A4">
      <w:pPr>
        <w:tabs>
          <w:tab w:val="right" w:pos="9184"/>
        </w:tabs>
        <w:rPr>
          <w:b/>
        </w:rPr>
      </w:pPr>
      <w:r w:rsidRPr="00DC37A4">
        <w:rPr>
          <w:rStyle w:val="HideTWBExt"/>
        </w:rPr>
        <w:t>&lt;Chairman&gt;</w:t>
      </w:r>
      <w:r>
        <w:rPr>
          <w:b/>
        </w:rPr>
        <w:t>Lídia Pereira</w:t>
      </w:r>
      <w:r w:rsidRPr="00DC37A4">
        <w:rPr>
          <w:rStyle w:val="HideTWBExt"/>
        </w:rPr>
        <w:t>&lt;/Chairman&gt;</w:t>
      </w:r>
      <w:r>
        <w:rPr>
          <w:b/>
        </w:rPr>
        <w:tab/>
      </w:r>
      <w:r w:rsidRPr="00DC37A4">
        <w:rPr>
          <w:rStyle w:val="HideTWBExt"/>
        </w:rPr>
        <w:t>&lt;A5Nr&gt;</w:t>
      </w:r>
      <w:r>
        <w:rPr>
          <w:b/>
        </w:rPr>
        <w:t>A9-0047/2019</w:t>
      </w:r>
      <w:r w:rsidRPr="00DC37A4">
        <w:rPr>
          <w:rStyle w:val="HideTWBExt"/>
        </w:rPr>
        <w:t>&lt;/A5Nr&gt;</w:t>
      </w:r>
    </w:p>
    <w:p w:rsidR="00DC37A4" w:rsidRDefault="00DC37A4" w:rsidP="00DC37A4">
      <w:pPr>
        <w:tabs>
          <w:tab w:val="right" w:pos="9184"/>
        </w:tabs>
      </w:pPr>
      <w:r w:rsidRPr="00DC37A4">
        <w:rPr>
          <w:rStyle w:val="HideTWBExt"/>
        </w:rPr>
        <w:t>&lt;ShortTitel&gt;</w:t>
      </w:r>
      <w:r>
        <w:t>Meetmed halduskoostöö tugevdamiseks, et võidelda käibemaksupettuste vastu</w:t>
      </w:r>
      <w:r w:rsidRPr="00DC37A4">
        <w:rPr>
          <w:rStyle w:val="HideTWBExt"/>
        </w:rPr>
        <w:t>&lt;/ShortTitel&gt;</w:t>
      </w:r>
    </w:p>
    <w:p w:rsidR="00DC37A4" w:rsidRDefault="00DC37A4" w:rsidP="00DC37A4">
      <w:pPr>
        <w:tabs>
          <w:tab w:val="right" w:pos="9184"/>
        </w:tabs>
      </w:pPr>
    </w:p>
    <w:p w:rsidR="00DC37A4" w:rsidRDefault="00DC37A4" w:rsidP="00DC37A4">
      <w:pPr>
        <w:tabs>
          <w:tab w:val="right" w:pos="9184"/>
        </w:tabs>
      </w:pPr>
      <w:r w:rsidRPr="00DC37A4">
        <w:rPr>
          <w:rStyle w:val="HideTWBExt"/>
        </w:rPr>
        <w:t>&lt;Procedure&gt;</w:t>
      </w:r>
      <w:r>
        <w:t>Ettepanek võtta vastu määrus</w:t>
      </w:r>
      <w:r w:rsidRPr="00DC37A4">
        <w:rPr>
          <w:rStyle w:val="HideTWBExt"/>
        </w:rPr>
        <w:t>&lt;/Procedure&gt;</w:t>
      </w:r>
      <w:r>
        <w:t xml:space="preserve"> </w:t>
      </w:r>
      <w:r w:rsidRPr="00DC37A4">
        <w:rPr>
          <w:rStyle w:val="HideTWBExt"/>
        </w:rPr>
        <w:t>&lt;ReferenceNo&gt;</w:t>
      </w:r>
      <w:r>
        <w:t>(COM(2018)0813 – C8-0016/2019 – 2018/0413(CNS))</w:t>
      </w:r>
      <w:r w:rsidRPr="00DC37A4">
        <w:rPr>
          <w:rStyle w:val="HideTWBExt"/>
        </w:rPr>
        <w:t>&lt;/ReferenceNo&gt;</w:t>
      </w:r>
    </w:p>
    <w:p w:rsidR="00DC37A4" w:rsidRDefault="00DC37A4" w:rsidP="00DC37A4">
      <w:pPr>
        <w:tabs>
          <w:tab w:val="right" w:pos="9184"/>
        </w:tabs>
      </w:pPr>
    </w:p>
    <w:p w:rsidR="00DC37A4" w:rsidRDefault="00DC37A4" w:rsidP="00DC37A4">
      <w:pPr>
        <w:tabs>
          <w:tab w:val="right" w:pos="9184"/>
        </w:tabs>
      </w:pPr>
    </w:p>
    <w:p w:rsidR="00DC37A4" w:rsidRDefault="00DC37A4" w:rsidP="00DC37A4">
      <w:pPr>
        <w:tabs>
          <w:tab w:val="right" w:pos="9184"/>
        </w:tabs>
      </w:pPr>
    </w:p>
    <w:p w:rsidR="00DC37A4" w:rsidRDefault="00DC37A4" w:rsidP="00DC37A4">
      <w:pPr>
        <w:tabs>
          <w:tab w:val="right" w:pos="9184"/>
        </w:tabs>
        <w:jc w:val="center"/>
      </w:pPr>
      <w:r>
        <w:t>_____________________________________________________________</w:t>
      </w:r>
    </w:p>
    <w:p w:rsidR="00DC37A4" w:rsidRDefault="00DC37A4" w:rsidP="00DC37A4">
      <w:pPr>
        <w:tabs>
          <w:tab w:val="right" w:pos="9184"/>
        </w:tabs>
        <w:jc w:val="center"/>
      </w:pPr>
    </w:p>
    <w:p w:rsidR="00082967" w:rsidRPr="00DC37A4" w:rsidRDefault="00082967" w:rsidP="00DC37A4">
      <w:pPr>
        <w:pStyle w:val="AMNumberTabs"/>
      </w:pPr>
      <w:r w:rsidRPr="00DC37A4">
        <w:t>Muudatusettepanek</w:t>
      </w:r>
      <w:r w:rsidRPr="00DC37A4">
        <w:tab/>
      </w:r>
      <w:r w:rsidRPr="00DC37A4">
        <w:tab/>
        <w:t>1</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Põhjendus 2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F4BD1">
            <w:pPr>
              <w:pStyle w:val="Normal6a"/>
            </w:pPr>
            <w:r w:rsidRPr="00DC37A4">
              <w:rPr>
                <w:b/>
                <w:i/>
              </w:rPr>
              <w:t>(2a)</w:t>
            </w:r>
            <w:r w:rsidRPr="00DC37A4">
              <w:tab/>
            </w:r>
            <w:r w:rsidRPr="00DC37A4">
              <w:rPr>
                <w:b/>
                <w:i/>
              </w:rPr>
              <w:t>ELi 28 liikmesriigi käibemaksulõhet käsitleva uuringu ja aruannete raames komisjoni poolt koostatud 2019. aasta lõpparuande kohaselt oli käibemaksu alalaekumine – oodatava käibemaksutulu ja tegelikult kogutud summa vahe – liidus 2017. aastal 137,5</w:t>
            </w:r>
            <w:r w:rsidR="009F4BD1" w:rsidRPr="00DC37A4">
              <w:rPr>
                <w:b/>
                <w:i/>
              </w:rPr>
              <w:t> </w:t>
            </w:r>
            <w:r w:rsidRPr="00DC37A4">
              <w:rPr>
                <w:b/>
                <w:i/>
              </w:rPr>
              <w:t>miljardit eurot, mis tähendab, et saamata jäänud summa on 11,2</w:t>
            </w:r>
            <w:r w:rsidR="009F4BD1" w:rsidRPr="00DC37A4">
              <w:rPr>
                <w:b/>
                <w:i/>
              </w:rPr>
              <w:t> </w:t>
            </w:r>
            <w:r w:rsidRPr="00DC37A4">
              <w:rPr>
                <w:b/>
                <w:i/>
              </w:rPr>
              <w:t>% kogu eeldatavast k</w:t>
            </w:r>
            <w:r w:rsidR="009F4BD1" w:rsidRPr="00DC37A4">
              <w:rPr>
                <w:b/>
                <w:i/>
              </w:rPr>
              <w:t>äibemaksutulust, mis võrdub 267 </w:t>
            </w:r>
            <w:r w:rsidRPr="00DC37A4">
              <w:rPr>
                <w:b/>
                <w:i/>
              </w:rPr>
              <w:t>euro suuruse kaotatud tuluga ühe liidu elaniku kohta. Aga erinevused liikmesriikide vahel on suured ning käi</w:t>
            </w:r>
            <w:r w:rsidR="009F4BD1" w:rsidRPr="00DC37A4">
              <w:rPr>
                <w:b/>
                <w:i/>
              </w:rPr>
              <w:t>bemaksu alalaekumine ulatub 0,7 </w:t>
            </w:r>
            <w:r w:rsidRPr="00DC37A4">
              <w:rPr>
                <w:b/>
                <w:i/>
              </w:rPr>
              <w:t xml:space="preserve">protsendist kuni 35,5 protsendini. See näitab, et tuleb teha ulatuslikumat riikidevahelist koostööd, et võidelda paremini eelkõige e-kaubanduse käibemaksupettuste vastu ja käibemaksupettuste (sh karussellpettuse) </w:t>
            </w:r>
            <w:r w:rsidRPr="00DC37A4">
              <w:rPr>
                <w:b/>
                <w:i/>
              </w:rPr>
              <w:lastRenderedPageBreak/>
              <w:t>vastu.</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rPr>
                <w:b/>
                <w:i/>
              </w:rPr>
            </w:pPr>
            <w:r w:rsidRPr="00DC37A4">
              <w:t>_________________</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rPr>
                <w:b/>
                <w:i/>
              </w:rPr>
            </w:pPr>
            <w:r w:rsidRPr="00DC37A4">
              <w:rPr>
                <w:vertAlign w:val="superscript"/>
              </w:rPr>
              <w:t>3a</w:t>
            </w:r>
            <w:r w:rsidRPr="00DC37A4">
              <w:t xml:space="preserve"> </w:t>
            </w:r>
            <w:r w:rsidRPr="005536B8">
              <w:rPr>
                <w:b/>
                <w:i/>
              </w:rPr>
              <w:t xml:space="preserve">Vt </w:t>
            </w:r>
            <w:hyperlink r:id="rId7" w:history="1">
              <w:r w:rsidRPr="005536B8">
                <w:rPr>
                  <w:rStyle w:val="Hyperlink"/>
                  <w:b/>
                  <w:i/>
                  <w:color w:val="auto"/>
                </w:rPr>
                <w:t>https://ec.europa.eu/taxation_customs/sites/taxation/files/vat-gap-full-report-2019_en.pdf</w:t>
              </w:r>
            </w:hyperlink>
          </w:p>
        </w:tc>
      </w:tr>
    </w:tbl>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2</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Põhjendus 2 b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592DAE">
            <w:pPr>
              <w:pStyle w:val="Normal6a"/>
            </w:pPr>
            <w:r w:rsidRPr="00DC37A4">
              <w:rPr>
                <w:b/>
                <w:i/>
              </w:rPr>
              <w:t>(2b)</w:t>
            </w:r>
            <w:r w:rsidRPr="00DC37A4">
              <w:tab/>
            </w:r>
            <w:r w:rsidRPr="00DC37A4">
              <w:rPr>
                <w:b/>
                <w:i/>
              </w:rPr>
              <w:t xml:space="preserve">Käibemaksupettust seostatakse sageli organiseeritud kuritegevusega, aga vaid väike osa neist organiseeritud võrgustikest võib olla süüdi miljarditesse eurodesse ulatuvates piiriülestes käibemaksupettustes, mis mõjutavad mitte </w:t>
            </w:r>
            <w:r w:rsidR="00592DAE" w:rsidRPr="00DC37A4">
              <w:rPr>
                <w:b/>
                <w:i/>
              </w:rPr>
              <w:t>üksnes</w:t>
            </w:r>
            <w:r w:rsidRPr="00DC37A4">
              <w:rPr>
                <w:b/>
                <w:i/>
              </w:rPr>
              <w:t xml:space="preserve"> maksutulude kogumist liikmesriikides, vaid </w:t>
            </w:r>
            <w:r w:rsidR="00592DAE" w:rsidRPr="00DC37A4">
              <w:rPr>
                <w:b/>
                <w:i/>
              </w:rPr>
              <w:t xml:space="preserve">neil on </w:t>
            </w:r>
            <w:r w:rsidRPr="00DC37A4">
              <w:rPr>
                <w:b/>
                <w:i/>
              </w:rPr>
              <w:t>kahjulik mõju</w:t>
            </w:r>
            <w:r w:rsidR="00592DAE" w:rsidRPr="00DC37A4">
              <w:rPr>
                <w:b/>
                <w:i/>
              </w:rPr>
              <w:t xml:space="preserve"> ka</w:t>
            </w:r>
            <w:r w:rsidRPr="00DC37A4">
              <w:rPr>
                <w:b/>
                <w:i/>
              </w:rPr>
              <w:t xml:space="preserve"> liidu omavahenditele. Seetõttu tuleb Euroopa Prokuratuurile anda ulatuslikud volitused ning teha seejuures koostööd </w:t>
            </w:r>
            <w:r w:rsidR="00592DAE" w:rsidRPr="00DC37A4">
              <w:rPr>
                <w:b/>
                <w:i/>
              </w:rPr>
              <w:t>liikmesriikide</w:t>
            </w:r>
            <w:r w:rsidRPr="00DC37A4">
              <w:rPr>
                <w:b/>
                <w:i/>
              </w:rPr>
              <w:t xml:space="preserve"> õigusasutustega, et tagada petturite tulemuslik vastutusele võtmine </w:t>
            </w:r>
            <w:r w:rsidR="00592DAE" w:rsidRPr="00DC37A4">
              <w:rPr>
                <w:b/>
                <w:i/>
              </w:rPr>
              <w:t>liikmesriikide</w:t>
            </w:r>
            <w:r w:rsidRPr="00DC37A4">
              <w:rPr>
                <w:b/>
                <w:i/>
              </w:rPr>
              <w:t xml:space="preserve"> kohtutes. Organiseeritud piiriülese käibemaksupettuse eest tuleks nõuetekohaselt vastutusele võtta ja pettureid karistada.</w:t>
            </w:r>
          </w:p>
        </w:tc>
      </w:tr>
    </w:tbl>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3</w:t>
      </w:r>
    </w:p>
    <w:p w:rsidR="00082967" w:rsidRPr="00DC37A4" w:rsidRDefault="00082967" w:rsidP="00082967">
      <w:pPr>
        <w:pStyle w:val="NormalBold12b"/>
        <w:keepNext/>
      </w:pPr>
      <w:r w:rsidRPr="00DC37A4">
        <w:t>Ettepanek võtta vastu määrus</w:t>
      </w:r>
    </w:p>
    <w:p w:rsidR="00082967" w:rsidRPr="00DC37A4" w:rsidRDefault="00082967" w:rsidP="00082967">
      <w:pPr>
        <w:pStyle w:val="NormalBold"/>
      </w:pPr>
      <w:r w:rsidRPr="00DC37A4">
        <w:t>Põhjendus 2 c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jc w:val="center"/>
        </w:trPr>
        <w:tc>
          <w:tcPr>
            <w:tcW w:w="9752" w:type="dxa"/>
            <w:gridSpan w:val="2"/>
          </w:tcPr>
          <w:p w:rsidR="00082967" w:rsidRPr="00DC37A4" w:rsidRDefault="00082967" w:rsidP="00993EBE">
            <w:pPr>
              <w:keepNext/>
            </w:pPr>
          </w:p>
        </w:tc>
      </w:tr>
      <w:tr w:rsidR="00082967" w:rsidRPr="00DC37A4" w:rsidTr="00993EBE">
        <w:trPr>
          <w:jc w:val="center"/>
        </w:trPr>
        <w:tc>
          <w:tcPr>
            <w:tcW w:w="4876" w:type="dxa"/>
            <w:hideMark/>
          </w:tcPr>
          <w:p w:rsidR="00082967" w:rsidRPr="00DC37A4" w:rsidRDefault="00082967" w:rsidP="00993EBE">
            <w:pPr>
              <w:pStyle w:val="ColumnHeading"/>
              <w:keepNext/>
            </w:pPr>
            <w:r w:rsidRPr="00DC37A4">
              <w:t>Komisjoni ettepanek</w:t>
            </w:r>
          </w:p>
        </w:tc>
        <w:tc>
          <w:tcPr>
            <w:tcW w:w="4876" w:type="dxa"/>
            <w:hideMark/>
          </w:tcPr>
          <w:p w:rsidR="00082967" w:rsidRPr="00DC37A4" w:rsidRDefault="00082967" w:rsidP="00993EBE">
            <w:pPr>
              <w:pStyle w:val="ColumnHeading"/>
              <w:keepNext/>
            </w:pPr>
            <w:r w:rsidRPr="00DC37A4">
              <w:t>Muudatusettepanek</w:t>
            </w:r>
          </w:p>
        </w:tc>
      </w:tr>
      <w:tr w:rsidR="00082967" w:rsidRPr="00DC37A4" w:rsidTr="00993EBE">
        <w:trPr>
          <w:jc w:val="center"/>
        </w:trPr>
        <w:tc>
          <w:tcPr>
            <w:tcW w:w="4876" w:type="dxa"/>
          </w:tcPr>
          <w:p w:rsidR="00082967" w:rsidRPr="00DC37A4" w:rsidRDefault="00082967" w:rsidP="00993EBE">
            <w:pPr>
              <w:pStyle w:val="Normal6"/>
            </w:pPr>
          </w:p>
        </w:tc>
        <w:tc>
          <w:tcPr>
            <w:tcW w:w="4876" w:type="dxa"/>
            <w:hideMark/>
          </w:tcPr>
          <w:p w:rsidR="00082967" w:rsidRPr="00DC37A4" w:rsidRDefault="00082967" w:rsidP="00CB39C2">
            <w:pPr>
              <w:pStyle w:val="Normal6"/>
              <w:rPr>
                <w:szCs w:val="24"/>
              </w:rPr>
            </w:pPr>
            <w:r w:rsidRPr="00DC37A4">
              <w:rPr>
                <w:b/>
                <w:i/>
              </w:rPr>
              <w:t>(2c)</w:t>
            </w:r>
            <w:r w:rsidRPr="00DC37A4">
              <w:rPr>
                <w:b/>
                <w:i/>
              </w:rPr>
              <w:tab/>
              <w:t xml:space="preserve">Käibemaksupettuste vastase võitluse strateegia peaks arenema paralleelselt majanduse ajakohastamise ja digitaliseerimisega ning käibemaksusüsteem tuleks seejuures teha nii ettevõtjate kui ka kodanike jaoks võimalikult lihtsaks. Seetõttu on eriti </w:t>
            </w:r>
            <w:r w:rsidRPr="00DC37A4">
              <w:rPr>
                <w:b/>
                <w:i/>
              </w:rPr>
              <w:lastRenderedPageBreak/>
              <w:t>oluline, et liikmesriigid jätkaksid tehnoloogiapõhisesse maksukogumisse investeerimist ning ühendaksid eelkõige automaatselt äriühingute kassaaparaadid ja müügisüsteemid käibedeklaratsioonidega. Lisaks peaksid maksuhaldurid püüdma jätkuvalt teha tihedamat koostööd ja vahetada parimaid tavasid, sealhulgas maksuhaldurite ELi tippkohtumise (TADEUS) raames, mis on liikmesriikide maksuasutuste juhtide võrgustik ja mille eesmärk on parandada maksuhaldurite vahelist strateegilist koordineerimist. Sellega seoses peaksid maksuhaldurid tegema tööd kõigi liidu tasandi fiskaalküsimusi käsitlevate andmebaaside vahelise tulemusliku teabevahetuse ja koostalitlusvõime saavutamiseks. Lisaks võiks plokiaheltehnoloogiat kasutada</w:t>
            </w:r>
            <w:r w:rsidR="00CB39C2" w:rsidRPr="00DC37A4">
              <w:rPr>
                <w:b/>
                <w:i/>
              </w:rPr>
              <w:t xml:space="preserve"> ka</w:t>
            </w:r>
            <w:r w:rsidRPr="00DC37A4">
              <w:rPr>
                <w:b/>
                <w:i/>
              </w:rPr>
              <w:t xml:space="preserve"> selleks, et paremini kaitsta isikuandmeid ja parandada maksuhaldurite vahelist elektroonilist teabevahetust.</w:t>
            </w:r>
          </w:p>
        </w:tc>
      </w:tr>
    </w:tbl>
    <w:p w:rsidR="00082967" w:rsidRPr="00DC37A4" w:rsidRDefault="00082967" w:rsidP="00082967">
      <w:pPr>
        <w:rPr>
          <w:szCs w:val="24"/>
        </w:rPr>
      </w:pPr>
    </w:p>
    <w:p w:rsidR="00082967" w:rsidRPr="00DC37A4" w:rsidRDefault="00082967" w:rsidP="00082967">
      <w:pPr>
        <w:pStyle w:val="AMNumberTabs"/>
        <w:keepNext/>
      </w:pPr>
      <w:r w:rsidRPr="00DC37A4">
        <w:t>Muudatusettepanek</w:t>
      </w:r>
      <w:r w:rsidRPr="00DC37A4">
        <w:tab/>
      </w:r>
      <w:r w:rsidRPr="00DC37A4">
        <w:tab/>
        <w:t>4</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Põhjendus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r w:rsidRPr="00DC37A4">
              <w:t>(8)</w:t>
            </w:r>
            <w:r w:rsidRPr="00DC37A4">
              <w:tab/>
              <w:t xml:space="preserve">Keskne elektrooniline teabesüsteem CESOP, kus liikmesriigid edastavad riiklikul tasandil salvestatavat makseteavet, aitaks tõhusamalt võidelda e-kaubanduse käibemaksupettustega. See süsteem peaks üksikute maksesaajate puhul koondama kogu käibemaksualase teabe, mis on seotud liikmesriikide edastatud maksetehingutega, ning võimaldama saada täieliku ülevaate makse saajate poolt liikmesriikides asuvatelt maksjatelt saadud maksetest. Lisaks peaks kõnealune süsteem tuvastama ühe sama maksetehingu kohta saadud mitu kirjet, puhastama liikmesriikidelt saadud teavet (nt eemaldama dubleerimised, parandama vead andmetes jne) ning võimaldama liikmesriikide Eurofisci </w:t>
            </w:r>
            <w:r w:rsidRPr="00DC37A4">
              <w:lastRenderedPageBreak/>
              <w:t>kontaktametnikel võrrelda makseandmeid nende käsutuses oleva käibemaksuteabega ning teha päringuid, et uurida kahtlustatavat käibemaksupettust või avastada käibemaksupettusi.</w:t>
            </w:r>
          </w:p>
        </w:tc>
        <w:tc>
          <w:tcPr>
            <w:tcW w:w="4876" w:type="dxa"/>
          </w:tcPr>
          <w:p w:rsidR="00082967" w:rsidRPr="00DC37A4" w:rsidRDefault="00082967" w:rsidP="00993EBE">
            <w:pPr>
              <w:pStyle w:val="Normal6a"/>
            </w:pPr>
            <w:r w:rsidRPr="00DC37A4">
              <w:lastRenderedPageBreak/>
              <w:t>(8)</w:t>
            </w:r>
            <w:r w:rsidRPr="00DC37A4">
              <w:tab/>
              <w:t xml:space="preserve">Keskne elektrooniline teabesüsteem CESOP, kus liikmesriigid edastavad riiklikul tasandil salvestatavat makseteavet, aitaks tõhusamalt võidelda e-kaubanduse käibemaksupettustega. See süsteem peaks üksikute maksesaajate puhul koondama kogu käibemaksualase teabe, mis on seotud liikmesriikide edastatud maksetehingutega, ning võimaldama saada täieliku ülevaate makse saajate poolt liikmesriikides asuvatelt maksjatelt saadud maksetest. Lisaks peaks kõnealune süsteem tuvastama ühe sama maksetehingu kohta saadud mitu kirjet, puhastama liikmesriikidelt saadud teavet (nt eemaldama dubleerimised, parandama vead andmetes jne) ning võimaldama liikmesriikide Eurofisci </w:t>
            </w:r>
            <w:r w:rsidRPr="00DC37A4">
              <w:lastRenderedPageBreak/>
              <w:t xml:space="preserve">kontaktametnikel võrrelda makseandmeid nende käsutuses oleva käibemaksuteabega ning teha päringuid, et uurida kahtlustatavat käibemaksupettust või avastada käibemaksupettusi. </w:t>
            </w:r>
            <w:r w:rsidRPr="00DC37A4">
              <w:rPr>
                <w:b/>
                <w:i/>
              </w:rPr>
              <w:t>Kõik liikmesriigid peaksid osalema kõikides Eurofisci töörühmades ja määrama asjaomased kontaktametnikud.</w:t>
            </w:r>
          </w:p>
        </w:tc>
      </w:tr>
    </w:tbl>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5</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Põhjendus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r w:rsidRPr="00DC37A4">
              <w:t>(11)</w:t>
            </w:r>
            <w:r w:rsidRPr="00DC37A4">
              <w:tab/>
              <w:t>Makseandmete vahetamine maksuhaldurite vahel on tõhusaks pettuste vastu võitlemiseks äärmiselt oluline. Makseteavet töötleksid üksnes Eurofisci kontaktametnikud ja ainult eesmärgiga võidelda käibemaksupettuste vastu. Kõnealust teavet ei tohiks kasutada muudel kui käesoleva määrusega kehtestatud eesmärkidel, näiteks ärilistel eesmärkidel.</w:t>
            </w:r>
          </w:p>
        </w:tc>
        <w:tc>
          <w:tcPr>
            <w:tcW w:w="4876" w:type="dxa"/>
          </w:tcPr>
          <w:p w:rsidR="00082967" w:rsidRPr="00DC37A4" w:rsidRDefault="00082967" w:rsidP="00993EBE">
            <w:pPr>
              <w:pStyle w:val="Normal6a"/>
            </w:pPr>
            <w:r w:rsidRPr="00DC37A4">
              <w:t>(11)</w:t>
            </w:r>
            <w:r w:rsidRPr="00DC37A4">
              <w:tab/>
              <w:t>Makseandmete vahetamine maksuhaldurite vahel on tõhusaks pettuste vastu võitlemiseks äärmiselt oluline. Makseteavet töötleksid üksnes Eurofisci kontaktametnikud ja ainult eesmärgiga võidelda käibemaksupettuste vastu. Kõnealust teavet ei tohiks kasutada muudel kui käesoleva määrusega kehtestatud eesmärkidel, näiteks ärilistel eesmärkidel</w:t>
            </w:r>
            <w:r w:rsidRPr="00DC37A4">
              <w:rPr>
                <w:b/>
                <w:i/>
              </w:rPr>
              <w:t>, samas tuleks seda teavet kasutada Euroopa Parlam</w:t>
            </w:r>
            <w:r w:rsidR="009F4BD1" w:rsidRPr="00DC37A4">
              <w:rPr>
                <w:b/>
                <w:i/>
              </w:rPr>
              <w:t>endi ja nõukogu direktiivi (EL) </w:t>
            </w:r>
            <w:r w:rsidRPr="00DC37A4">
              <w:rPr>
                <w:b/>
                <w:i/>
              </w:rPr>
              <w:t>2015/849</w:t>
            </w:r>
            <w:r w:rsidRPr="00DC37A4">
              <w:rPr>
                <w:rStyle w:val="SupBoldItalic"/>
              </w:rPr>
              <w:t>6a</w:t>
            </w:r>
            <w:r w:rsidRPr="00DC37A4">
              <w:rPr>
                <w:b/>
                <w:i/>
              </w:rPr>
              <w:t xml:space="preserve"> rakendamisel</w:t>
            </w:r>
            <w:r w:rsidRPr="00DC37A4">
              <w:t>.</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t>_________________</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vertAlign w:val="superscript"/>
              </w:rPr>
              <w:t>6a</w:t>
            </w:r>
            <w:r w:rsidRPr="00DC37A4">
              <w:rPr>
                <w:b/>
                <w:i/>
              </w:rPr>
              <w:t xml:space="preserve"> Eu</w:t>
            </w:r>
            <w:r w:rsidR="009F4BD1" w:rsidRPr="00DC37A4">
              <w:rPr>
                <w:b/>
                <w:i/>
              </w:rPr>
              <w:t>roopa Parlamendi ja nõukogu 20. </w:t>
            </w:r>
            <w:r w:rsidRPr="00DC37A4">
              <w:rPr>
                <w:b/>
                <w:i/>
              </w:rPr>
              <w:t xml:space="preserve">mai 2015. aasta direktiiv (EL) 2015/849, mis käsitleb finantssüsteemi rahapesu või terrorismi rahastamise eesmärgil kasutamise tõkestamist ning millega muudetakse Euroopa Parlamendi ja nõukogu määrust (EL) nr 648/2012 ja tunnistatakse kehtetuks Euroopa </w:t>
            </w:r>
            <w:r w:rsidR="009F4BD1" w:rsidRPr="00DC37A4">
              <w:rPr>
                <w:b/>
                <w:i/>
              </w:rPr>
              <w:t>Parlamendi ja nõukogu direktiiv </w:t>
            </w:r>
            <w:r w:rsidRPr="00DC37A4">
              <w:rPr>
                <w:b/>
                <w:i/>
              </w:rPr>
              <w:t>20</w:t>
            </w:r>
            <w:r w:rsidR="009F4BD1" w:rsidRPr="00DC37A4">
              <w:rPr>
                <w:b/>
                <w:i/>
              </w:rPr>
              <w:t>05/60/EÜ ja komisjoni direktiiv </w:t>
            </w:r>
            <w:r w:rsidRPr="00DC37A4">
              <w:rPr>
                <w:b/>
                <w:i/>
              </w:rPr>
              <w:t>2006/70/EÜ (ELT L 141, 5.6.2015, lk 73).</w:t>
            </w:r>
          </w:p>
        </w:tc>
      </w:tr>
    </w:tbl>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6</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Põhjendus 11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CB39C2">
            <w:pPr>
              <w:pStyle w:val="Normal6a"/>
            </w:pPr>
            <w:r w:rsidRPr="00DC37A4">
              <w:rPr>
                <w:b/>
                <w:i/>
              </w:rPr>
              <w:t>(11a)</w:t>
            </w:r>
            <w:r w:rsidRPr="00DC37A4">
              <w:tab/>
            </w:r>
            <w:r w:rsidRPr="00DC37A4">
              <w:rPr>
                <w:b/>
                <w:i/>
              </w:rPr>
              <w:t xml:space="preserve">Kuna </w:t>
            </w:r>
            <w:r w:rsidR="00CB39C2" w:rsidRPr="00DC37A4">
              <w:rPr>
                <w:b/>
                <w:i/>
              </w:rPr>
              <w:t xml:space="preserve">neid </w:t>
            </w:r>
            <w:r w:rsidRPr="00DC37A4">
              <w:rPr>
                <w:b/>
                <w:i/>
              </w:rPr>
              <w:t xml:space="preserve">liikmesriike, kes on avaldanud hinnangu ühendusesiseste pettuste tõttu saamata jäävast käibemaksust tekkiva kahju kohta, on vähe, </w:t>
            </w:r>
            <w:r w:rsidR="00CB39C2" w:rsidRPr="00DC37A4">
              <w:rPr>
                <w:b/>
                <w:i/>
              </w:rPr>
              <w:t>aitaks</w:t>
            </w:r>
            <w:r w:rsidRPr="00DC37A4">
              <w:rPr>
                <w:b/>
                <w:i/>
              </w:rPr>
              <w:t xml:space="preserve"> </w:t>
            </w:r>
            <w:r w:rsidR="00CB39C2" w:rsidRPr="00DC37A4">
              <w:rPr>
                <w:b/>
                <w:i/>
              </w:rPr>
              <w:t xml:space="preserve">ühendusesiseste käibemaksupettusi käsitlevate võrdlusandmete olemasolu </w:t>
            </w:r>
            <w:r w:rsidRPr="00DC37A4">
              <w:rPr>
                <w:b/>
                <w:i/>
              </w:rPr>
              <w:t>koostöö</w:t>
            </w:r>
            <w:r w:rsidR="00CB39C2" w:rsidRPr="00DC37A4">
              <w:rPr>
                <w:b/>
                <w:i/>
              </w:rPr>
              <w:t>d</w:t>
            </w:r>
            <w:r w:rsidRPr="00DC37A4">
              <w:rPr>
                <w:b/>
                <w:i/>
              </w:rPr>
              <w:t xml:space="preserve"> parem</w:t>
            </w:r>
            <w:r w:rsidR="00CB39C2" w:rsidRPr="00DC37A4">
              <w:rPr>
                <w:b/>
                <w:i/>
              </w:rPr>
              <w:t>ini</w:t>
            </w:r>
            <w:r w:rsidRPr="00DC37A4">
              <w:rPr>
                <w:b/>
                <w:i/>
              </w:rPr>
              <w:t xml:space="preserve"> suuna</w:t>
            </w:r>
            <w:r w:rsidR="00CB39C2" w:rsidRPr="00DC37A4">
              <w:rPr>
                <w:b/>
                <w:i/>
              </w:rPr>
              <w:t>ta</w:t>
            </w:r>
            <w:r w:rsidRPr="00DC37A4">
              <w:rPr>
                <w:b/>
                <w:i/>
              </w:rPr>
              <w:t>. Seetõttu peaks komisjon koos liikmesriikidega välja töötama käibemaksupettuste kvantifitseerimise ja analüüsimise ühise statistilise meetodi.</w:t>
            </w:r>
          </w:p>
        </w:tc>
      </w:tr>
    </w:tbl>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7</w:t>
      </w:r>
    </w:p>
    <w:p w:rsidR="00082967" w:rsidRPr="00DC37A4" w:rsidRDefault="00082967" w:rsidP="00082967">
      <w:pPr>
        <w:pStyle w:val="NormalBold12b"/>
        <w:keepNext/>
      </w:pPr>
      <w:r w:rsidRPr="00DC37A4">
        <w:t>Ettepanek võtta vastu määrus</w:t>
      </w:r>
    </w:p>
    <w:p w:rsidR="00082967" w:rsidRPr="00DC37A4" w:rsidRDefault="00082967" w:rsidP="00082967">
      <w:pPr>
        <w:pStyle w:val="NormalBold"/>
      </w:pPr>
      <w:r w:rsidRPr="00DC37A4">
        <w:t>Põhjendus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jc w:val="center"/>
        </w:trPr>
        <w:tc>
          <w:tcPr>
            <w:tcW w:w="9752" w:type="dxa"/>
            <w:gridSpan w:val="2"/>
          </w:tcPr>
          <w:p w:rsidR="00082967" w:rsidRPr="00DC37A4" w:rsidRDefault="00082967" w:rsidP="00993EBE">
            <w:pPr>
              <w:keepNext/>
            </w:pPr>
          </w:p>
        </w:tc>
      </w:tr>
      <w:tr w:rsidR="00082967" w:rsidRPr="00DC37A4" w:rsidTr="00993EBE">
        <w:trPr>
          <w:jc w:val="center"/>
        </w:trPr>
        <w:tc>
          <w:tcPr>
            <w:tcW w:w="4876" w:type="dxa"/>
            <w:hideMark/>
          </w:tcPr>
          <w:p w:rsidR="00082967" w:rsidRPr="00DC37A4" w:rsidRDefault="00082967" w:rsidP="00993EBE">
            <w:pPr>
              <w:pStyle w:val="ColumnHeading"/>
              <w:keepNext/>
            </w:pPr>
            <w:r w:rsidRPr="00DC37A4">
              <w:t>Komisjoni ettepanek</w:t>
            </w:r>
          </w:p>
        </w:tc>
        <w:tc>
          <w:tcPr>
            <w:tcW w:w="4876" w:type="dxa"/>
            <w:hideMark/>
          </w:tcPr>
          <w:p w:rsidR="00082967" w:rsidRPr="00DC37A4" w:rsidRDefault="00082967" w:rsidP="00993EBE">
            <w:pPr>
              <w:pStyle w:val="ColumnHeading"/>
              <w:keepNext/>
            </w:pPr>
            <w:r w:rsidRPr="00DC37A4">
              <w:t>Muudatusettepanek</w:t>
            </w:r>
          </w:p>
        </w:tc>
      </w:tr>
      <w:tr w:rsidR="00082967" w:rsidRPr="00DC37A4" w:rsidTr="00993EBE">
        <w:trPr>
          <w:jc w:val="center"/>
        </w:trPr>
        <w:tc>
          <w:tcPr>
            <w:tcW w:w="4876" w:type="dxa"/>
            <w:hideMark/>
          </w:tcPr>
          <w:p w:rsidR="00082967" w:rsidRPr="00DC37A4" w:rsidRDefault="00082967" w:rsidP="00993EBE">
            <w:pPr>
              <w:pStyle w:val="Normal6"/>
            </w:pPr>
            <w:r w:rsidRPr="00DC37A4">
              <w:t>(13)</w:t>
            </w:r>
            <w:r w:rsidRPr="00DC37A4">
              <w:tab/>
              <w:t xml:space="preserve">On vajalik ja proportsionaalne, et makseteenuse pakkujad säilitavad maksetehingutega seotud andmeid </w:t>
            </w:r>
            <w:r w:rsidRPr="00DC37A4">
              <w:rPr>
                <w:b/>
                <w:i/>
              </w:rPr>
              <w:t>kaks</w:t>
            </w:r>
            <w:r w:rsidRPr="00DC37A4">
              <w:t xml:space="preserve"> aastat, et aidata liikmesriikidel võidelda e-kaubanduse käibemaksupettuste vastu ja tuvastada pettureid. See ajavahemik on minimaalselt vajalik selleks, et liikmesriigid saaksid tõhusalt kontrollida võimalikke käibemaksupettusi või avastada käibemaksupettusi, ning on proportsionaalne, võttes arvesse suurt hulka makseteavet ja selle tundlikkust isikuandmete kaitse seisukohast.</w:t>
            </w:r>
          </w:p>
        </w:tc>
        <w:tc>
          <w:tcPr>
            <w:tcW w:w="4876" w:type="dxa"/>
            <w:hideMark/>
          </w:tcPr>
          <w:p w:rsidR="00082967" w:rsidRPr="00DC37A4" w:rsidRDefault="00082967" w:rsidP="00993EBE">
            <w:pPr>
              <w:pStyle w:val="Normal6"/>
              <w:rPr>
                <w:szCs w:val="24"/>
              </w:rPr>
            </w:pPr>
            <w:r w:rsidRPr="00DC37A4">
              <w:t>(13)</w:t>
            </w:r>
            <w:r w:rsidRPr="00DC37A4">
              <w:tab/>
              <w:t xml:space="preserve">On vajalik ja proportsionaalne, et makseteenuse pakkujad säilitavad maksetehingutega seotud andmeid </w:t>
            </w:r>
            <w:r w:rsidRPr="00DC37A4">
              <w:rPr>
                <w:b/>
                <w:i/>
              </w:rPr>
              <w:t>kolm</w:t>
            </w:r>
            <w:r w:rsidRPr="00DC37A4">
              <w:t xml:space="preserve"> aastat, et aidata liikmesriikidel võidelda e-kaubanduse käibemaksupettuste vastu ja tuvastada pettureid. See ajavahemik on minimaalselt vajalik selleks, et liikmesriigid saaksid tõhusalt kontrollida võimalikke käibemaksupettusi või avastada käibemaksupettusi, ning on proportsionaalne, võttes arvesse suurt hulka makseteavet ja selle tundlikkust isikuandmete kaitse seisukohast.</w:t>
            </w:r>
          </w:p>
        </w:tc>
      </w:tr>
    </w:tbl>
    <w:p w:rsidR="00082967" w:rsidRPr="00DC37A4" w:rsidRDefault="00082967" w:rsidP="00082967">
      <w:pPr>
        <w:rPr>
          <w:szCs w:val="24"/>
        </w:rPr>
      </w:pPr>
    </w:p>
    <w:p w:rsidR="00082967" w:rsidRPr="00DC37A4" w:rsidRDefault="00082967" w:rsidP="00082967">
      <w:pPr>
        <w:pStyle w:val="AMNumberTabs"/>
        <w:keepNext/>
      </w:pPr>
      <w:r w:rsidRPr="00DC37A4">
        <w:t>Muudatusettepanek</w:t>
      </w:r>
      <w:r w:rsidRPr="00DC37A4">
        <w:tab/>
      </w:r>
      <w:r w:rsidRPr="00DC37A4">
        <w:tab/>
        <w:t>8</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Põhjendus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r w:rsidRPr="00DC37A4">
              <w:t>(14)</w:t>
            </w:r>
            <w:r w:rsidRPr="00DC37A4">
              <w:tab/>
              <w:t xml:space="preserve">Iga liikmesriigi Eurofisci kontaktametnikel peaks olema võimalus juurdepääsuks maksetehingutega seotud teabele ja selle analüüsimiseks, et võidelda </w:t>
            </w:r>
            <w:r w:rsidRPr="00DC37A4">
              <w:lastRenderedPageBreak/>
              <w:t xml:space="preserve">käibemaksupettuste vastu. Komisjoni nõuetekohaselt akrediteeritud isikud peaksid saama juurdepääsu teabele </w:t>
            </w:r>
            <w:r w:rsidRPr="00DC37A4">
              <w:rPr>
                <w:b/>
                <w:i/>
              </w:rPr>
              <w:t xml:space="preserve">ainult </w:t>
            </w:r>
            <w:r w:rsidRPr="00DC37A4">
              <w:t>keskse elektroonilise teabesüsteemi arendamise ja töös hoidmise eesmärgil. Mõlemad kasutajarühmad peaksid järgima käesolevas määruses sätestatud konfidentsiaalsuseeskirju.</w:t>
            </w:r>
          </w:p>
        </w:tc>
        <w:tc>
          <w:tcPr>
            <w:tcW w:w="4876" w:type="dxa"/>
          </w:tcPr>
          <w:p w:rsidR="00082967" w:rsidRPr="00DC37A4" w:rsidRDefault="00082967" w:rsidP="001C2133">
            <w:pPr>
              <w:pStyle w:val="Normal6a"/>
            </w:pPr>
            <w:r w:rsidRPr="00DC37A4">
              <w:lastRenderedPageBreak/>
              <w:t>(14)</w:t>
            </w:r>
            <w:r w:rsidRPr="00DC37A4">
              <w:tab/>
              <w:t xml:space="preserve">Iga liikmesriigi Eurofisci kontaktametnikel peaks olema võimalus juurdepääsuks maksetehingutega seotud teabele ja selle analüüsimiseks, et võidelda </w:t>
            </w:r>
            <w:r w:rsidRPr="00DC37A4">
              <w:lastRenderedPageBreak/>
              <w:t>käibemaksupettuste vastu. Komisjoni nõuetekohaselt akrediteeritud isikud peaksid saama juurdepääsu teabele keskse elektroonilise teabesüsteemi arendamise ja töös hoidmise</w:t>
            </w:r>
            <w:r w:rsidRPr="00DC37A4">
              <w:rPr>
                <w:b/>
                <w:i/>
              </w:rPr>
              <w:t xml:space="preserve"> ning käesoleva määruse nõuetekohase rakendamise</w:t>
            </w:r>
            <w:r w:rsidRPr="00DC37A4">
              <w:t xml:space="preserve"> eesmärgil. Mõlemad kasutajarühmad peaksid järgima käesolevas määruses sätestatud konfidentsiaalsuseeskirju. </w:t>
            </w:r>
            <w:r w:rsidRPr="00DC37A4">
              <w:rPr>
                <w:b/>
                <w:i/>
              </w:rPr>
              <w:t>Lisaks sellele peaks komisjonil olema võimalik</w:t>
            </w:r>
            <w:r w:rsidR="00CB39C2" w:rsidRPr="00DC37A4">
              <w:rPr>
                <w:b/>
                <w:i/>
              </w:rPr>
              <w:t xml:space="preserve"> </w:t>
            </w:r>
            <w:r w:rsidR="001C2133" w:rsidRPr="00DC37A4">
              <w:rPr>
                <w:b/>
                <w:i/>
              </w:rPr>
              <w:t>teha</w:t>
            </w:r>
            <w:r w:rsidRPr="00DC37A4">
              <w:rPr>
                <w:b/>
                <w:i/>
              </w:rPr>
              <w:t xml:space="preserve"> liikmesriikides kontrollkäike,</w:t>
            </w:r>
            <w:r w:rsidR="00CB39C2" w:rsidRPr="00DC37A4">
              <w:rPr>
                <w:b/>
                <w:i/>
              </w:rPr>
              <w:t xml:space="preserve"> </w:t>
            </w:r>
            <w:r w:rsidRPr="00DC37A4">
              <w:rPr>
                <w:b/>
                <w:i/>
              </w:rPr>
              <w:t>et hinnata halduskoostöö kor</w:t>
            </w:r>
            <w:r w:rsidR="00CB39C2" w:rsidRPr="00DC37A4">
              <w:rPr>
                <w:b/>
                <w:i/>
              </w:rPr>
              <w:t>ra</w:t>
            </w:r>
            <w:r w:rsidRPr="00DC37A4">
              <w:rPr>
                <w:b/>
                <w:i/>
              </w:rPr>
              <w:t xml:space="preserve"> toimi</w:t>
            </w:r>
            <w:r w:rsidR="00CB39C2" w:rsidRPr="00DC37A4">
              <w:rPr>
                <w:b/>
                <w:i/>
              </w:rPr>
              <w:t>mist</w:t>
            </w:r>
            <w:r w:rsidRPr="00DC37A4">
              <w:rPr>
                <w:b/>
                <w:i/>
              </w:rPr>
              <w:t>.</w:t>
            </w:r>
          </w:p>
        </w:tc>
      </w:tr>
    </w:tbl>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9</w:t>
      </w:r>
    </w:p>
    <w:p w:rsidR="00082967" w:rsidRPr="00DC37A4" w:rsidRDefault="00082967" w:rsidP="00082967">
      <w:pPr>
        <w:pStyle w:val="NormalBold12b"/>
        <w:keepNext/>
      </w:pPr>
      <w:r w:rsidRPr="00DC37A4">
        <w:t>Ettepanek võtta vastu määrus</w:t>
      </w:r>
    </w:p>
    <w:p w:rsidR="00082967" w:rsidRPr="00DC37A4" w:rsidRDefault="00082967" w:rsidP="00082967">
      <w:pPr>
        <w:pStyle w:val="NormalBold"/>
      </w:pPr>
      <w:r w:rsidRPr="00DC37A4">
        <w:t>Põhjendus 14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jc w:val="center"/>
        </w:trPr>
        <w:tc>
          <w:tcPr>
            <w:tcW w:w="9752" w:type="dxa"/>
            <w:gridSpan w:val="2"/>
          </w:tcPr>
          <w:p w:rsidR="00082967" w:rsidRPr="00DC37A4" w:rsidRDefault="00082967" w:rsidP="00993EBE">
            <w:pPr>
              <w:keepNext/>
            </w:pPr>
          </w:p>
        </w:tc>
      </w:tr>
      <w:tr w:rsidR="00082967" w:rsidRPr="00DC37A4" w:rsidTr="00993EBE">
        <w:trPr>
          <w:jc w:val="center"/>
        </w:trPr>
        <w:tc>
          <w:tcPr>
            <w:tcW w:w="4876" w:type="dxa"/>
            <w:hideMark/>
          </w:tcPr>
          <w:p w:rsidR="00082967" w:rsidRPr="00DC37A4" w:rsidRDefault="00082967" w:rsidP="00993EBE">
            <w:pPr>
              <w:pStyle w:val="ColumnHeading"/>
              <w:keepNext/>
            </w:pPr>
            <w:r w:rsidRPr="00DC37A4">
              <w:t>Komisjoni ettepanek</w:t>
            </w:r>
          </w:p>
        </w:tc>
        <w:tc>
          <w:tcPr>
            <w:tcW w:w="4876" w:type="dxa"/>
            <w:hideMark/>
          </w:tcPr>
          <w:p w:rsidR="00082967" w:rsidRPr="00DC37A4" w:rsidRDefault="00082967" w:rsidP="00993EBE">
            <w:pPr>
              <w:pStyle w:val="ColumnHeading"/>
              <w:keepNext/>
            </w:pPr>
            <w:r w:rsidRPr="00DC37A4">
              <w:t>Muudatusettepanek</w:t>
            </w:r>
          </w:p>
        </w:tc>
      </w:tr>
      <w:tr w:rsidR="00082967" w:rsidRPr="00DC37A4" w:rsidTr="00993EBE">
        <w:trPr>
          <w:jc w:val="center"/>
        </w:trPr>
        <w:tc>
          <w:tcPr>
            <w:tcW w:w="4876" w:type="dxa"/>
          </w:tcPr>
          <w:p w:rsidR="00082967" w:rsidRPr="00DC37A4" w:rsidRDefault="00082967" w:rsidP="00993EBE">
            <w:pPr>
              <w:pStyle w:val="Normal6"/>
            </w:pPr>
          </w:p>
        </w:tc>
        <w:tc>
          <w:tcPr>
            <w:tcW w:w="4876" w:type="dxa"/>
            <w:hideMark/>
          </w:tcPr>
          <w:p w:rsidR="00082967" w:rsidRPr="00DC37A4" w:rsidRDefault="00082967" w:rsidP="00CB39C2">
            <w:pPr>
              <w:pStyle w:val="Normal6"/>
              <w:rPr>
                <w:szCs w:val="24"/>
              </w:rPr>
            </w:pPr>
            <w:r w:rsidRPr="00DC37A4">
              <w:rPr>
                <w:b/>
                <w:i/>
              </w:rPr>
              <w:t>(14a)</w:t>
            </w:r>
            <w:r w:rsidRPr="00DC37A4">
              <w:rPr>
                <w:b/>
                <w:i/>
              </w:rPr>
              <w:tab/>
              <w:t>CESOPi haldamine ja olulise teabe analüüsimine on Eurofisci lisaülesanne. Eurofisci aastaaruandes tuleks analüüsida, kas Eurofiscile eraldatud vahendid on asjakohased ja piisavad, et parandada koostööd liikmesriikide vahel ja võidelda tõhusalt käibemaksupettuste vastu.</w:t>
            </w:r>
          </w:p>
        </w:tc>
      </w:tr>
    </w:tbl>
    <w:p w:rsidR="00082967" w:rsidRPr="00DC37A4" w:rsidRDefault="00082967" w:rsidP="00082967">
      <w:pPr>
        <w:rPr>
          <w:szCs w:val="24"/>
        </w:rPr>
      </w:pPr>
    </w:p>
    <w:p w:rsidR="00082967" w:rsidRPr="00DC37A4" w:rsidRDefault="00082967" w:rsidP="00082967">
      <w:pPr>
        <w:pStyle w:val="AMNumberTabs"/>
        <w:keepNext/>
      </w:pPr>
      <w:r w:rsidRPr="00DC37A4">
        <w:t>Muudatusettepanek</w:t>
      </w:r>
      <w:r w:rsidRPr="00DC37A4">
        <w:tab/>
      </w:r>
      <w:r w:rsidRPr="00DC37A4">
        <w:tab/>
        <w:t>10</w:t>
      </w:r>
    </w:p>
    <w:p w:rsidR="00082967" w:rsidRPr="00DC37A4" w:rsidRDefault="00082967" w:rsidP="00082967">
      <w:pPr>
        <w:pStyle w:val="NormalBold12b"/>
        <w:keepNext/>
      </w:pPr>
      <w:r w:rsidRPr="00DC37A4">
        <w:t>Ettepanek võtta vastu määrus</w:t>
      </w:r>
    </w:p>
    <w:p w:rsidR="00082967" w:rsidRPr="00DC37A4" w:rsidRDefault="00082967" w:rsidP="00082967">
      <w:pPr>
        <w:pStyle w:val="NormalBold"/>
      </w:pPr>
      <w:r w:rsidRPr="00DC37A4">
        <w:t>Põhjendus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jc w:val="center"/>
        </w:trPr>
        <w:tc>
          <w:tcPr>
            <w:tcW w:w="9752" w:type="dxa"/>
            <w:gridSpan w:val="2"/>
          </w:tcPr>
          <w:p w:rsidR="00082967" w:rsidRPr="00DC37A4" w:rsidRDefault="00082967" w:rsidP="00993EBE">
            <w:pPr>
              <w:keepNext/>
            </w:pPr>
          </w:p>
        </w:tc>
      </w:tr>
      <w:tr w:rsidR="00082967" w:rsidRPr="00DC37A4" w:rsidTr="00993EBE">
        <w:trPr>
          <w:jc w:val="center"/>
        </w:trPr>
        <w:tc>
          <w:tcPr>
            <w:tcW w:w="4876" w:type="dxa"/>
            <w:hideMark/>
          </w:tcPr>
          <w:p w:rsidR="00082967" w:rsidRPr="00DC37A4" w:rsidRDefault="00082967" w:rsidP="00993EBE">
            <w:pPr>
              <w:pStyle w:val="ColumnHeading"/>
              <w:keepNext/>
            </w:pPr>
            <w:r w:rsidRPr="00DC37A4">
              <w:t>Komisjoni ettepanek</w:t>
            </w:r>
          </w:p>
        </w:tc>
        <w:tc>
          <w:tcPr>
            <w:tcW w:w="4876" w:type="dxa"/>
            <w:hideMark/>
          </w:tcPr>
          <w:p w:rsidR="00082967" w:rsidRPr="00DC37A4" w:rsidRDefault="00082967" w:rsidP="00993EBE">
            <w:pPr>
              <w:pStyle w:val="ColumnHeading"/>
              <w:keepNext/>
            </w:pPr>
            <w:r w:rsidRPr="00DC37A4">
              <w:t>Muudatusettepanek</w:t>
            </w:r>
          </w:p>
        </w:tc>
      </w:tr>
      <w:tr w:rsidR="00082967" w:rsidRPr="00DC37A4" w:rsidTr="00993EBE">
        <w:trPr>
          <w:jc w:val="center"/>
        </w:trPr>
        <w:tc>
          <w:tcPr>
            <w:tcW w:w="4876" w:type="dxa"/>
            <w:hideMark/>
          </w:tcPr>
          <w:p w:rsidR="00082967" w:rsidRPr="00DC37A4" w:rsidRDefault="00082967" w:rsidP="00993EBE">
            <w:pPr>
              <w:pStyle w:val="Normal6"/>
            </w:pPr>
            <w:r w:rsidRPr="00DC37A4">
              <w:t>(18)</w:t>
            </w:r>
            <w:r w:rsidRPr="00DC37A4">
              <w:tab/>
              <w:t>Vastavalt määruse (</w:t>
            </w:r>
            <w:r w:rsidRPr="00DC37A4">
              <w:rPr>
                <w:b/>
                <w:i/>
              </w:rPr>
              <w:t>EÜ</w:t>
            </w:r>
            <w:r w:rsidRPr="00DC37A4">
              <w:t xml:space="preserve">) </w:t>
            </w:r>
            <w:r w:rsidRPr="00DC37A4">
              <w:rPr>
                <w:b/>
                <w:i/>
              </w:rPr>
              <w:t>nr </w:t>
            </w:r>
            <w:r w:rsidRPr="00DC37A4">
              <w:t>2018/1725 artikli 42 lõikele 1 on konsulteeritud Euroopa Andmekaitseinspektoriga, kes esitas oma arvamuse [kuupäev]</w:t>
            </w:r>
            <w:r w:rsidRPr="00DC37A4">
              <w:rPr>
                <w:vertAlign w:val="superscript"/>
              </w:rPr>
              <w:t>1</w:t>
            </w:r>
            <w:r w:rsidRPr="00DC37A4">
              <w:rPr>
                <w:b/>
                <w:i/>
                <w:vertAlign w:val="superscript"/>
              </w:rPr>
              <w:t>7</w:t>
            </w:r>
            <w:r w:rsidRPr="00DC37A4">
              <w:t>.</w:t>
            </w:r>
          </w:p>
        </w:tc>
        <w:tc>
          <w:tcPr>
            <w:tcW w:w="4876" w:type="dxa"/>
            <w:hideMark/>
          </w:tcPr>
          <w:p w:rsidR="00082967" w:rsidRPr="00DC37A4" w:rsidRDefault="00082967" w:rsidP="00CB39C2">
            <w:pPr>
              <w:pStyle w:val="Normal6"/>
              <w:rPr>
                <w:szCs w:val="24"/>
              </w:rPr>
            </w:pPr>
            <w:r w:rsidRPr="00DC37A4">
              <w:t>(18)</w:t>
            </w:r>
            <w:r w:rsidRPr="00DC37A4">
              <w:tab/>
              <w:t>Vastavalt määruse (</w:t>
            </w:r>
            <w:r w:rsidRPr="00DC37A4">
              <w:rPr>
                <w:b/>
                <w:i/>
              </w:rPr>
              <w:t>EL</w:t>
            </w:r>
            <w:r w:rsidRPr="00DC37A4">
              <w:t>)</w:t>
            </w:r>
            <w:r w:rsidR="009F4BD1" w:rsidRPr="00DC37A4">
              <w:t> </w:t>
            </w:r>
            <w:r w:rsidRPr="00DC37A4">
              <w:t>2018/1725 artikli 42 lõikele 1 on konsulteeritud Euroopa Andmekaitseinspektoriga, kes esitas oma arvamuse [kuupäev]</w:t>
            </w:r>
            <w:r w:rsidRPr="00DC37A4">
              <w:rPr>
                <w:b/>
                <w:i/>
                <w:vertAlign w:val="superscript"/>
              </w:rPr>
              <w:t>17</w:t>
            </w:r>
            <w:r w:rsidRPr="00DC37A4">
              <w:rPr>
                <w:b/>
                <w:i/>
              </w:rPr>
              <w:t>. Kuna isikuandmete kaitse on liidu põhiväärtus, tuleks m</w:t>
            </w:r>
            <w:r w:rsidR="009F4BD1" w:rsidRPr="00DC37A4">
              <w:rPr>
                <w:b/>
                <w:i/>
              </w:rPr>
              <w:t xml:space="preserve">ääruse (EL) nr 904/2010 </w:t>
            </w:r>
            <w:r w:rsidRPr="00DC37A4">
              <w:rPr>
                <w:b/>
                <w:i/>
              </w:rPr>
              <w:t xml:space="preserve">(mida on muudetud käesoleva määrusega) </w:t>
            </w:r>
            <w:r w:rsidR="00CB39C2" w:rsidRPr="00DC37A4">
              <w:rPr>
                <w:b/>
                <w:i/>
              </w:rPr>
              <w:t xml:space="preserve">artikli 24e </w:t>
            </w:r>
            <w:r w:rsidRPr="00DC37A4">
              <w:rPr>
                <w:b/>
                <w:i/>
              </w:rPr>
              <w:t>kohaselt võetavate meetmete puhul konsulteerida Euroopa Andmekaitseinspektoriga.</w:t>
            </w:r>
          </w:p>
        </w:tc>
      </w:tr>
      <w:tr w:rsidR="00082967" w:rsidRPr="00DC37A4" w:rsidTr="00993EBE">
        <w:trPr>
          <w:jc w:val="center"/>
        </w:trPr>
        <w:tc>
          <w:tcPr>
            <w:tcW w:w="4876" w:type="dxa"/>
            <w:hideMark/>
          </w:tcPr>
          <w:p w:rsidR="00082967" w:rsidRPr="00DC37A4" w:rsidRDefault="00082967" w:rsidP="00993EBE">
            <w:pPr>
              <w:pStyle w:val="Normal6"/>
            </w:pPr>
            <w:r w:rsidRPr="00DC37A4">
              <w:lastRenderedPageBreak/>
              <w:t>__________________</w:t>
            </w:r>
          </w:p>
        </w:tc>
        <w:tc>
          <w:tcPr>
            <w:tcW w:w="4876" w:type="dxa"/>
            <w:hideMark/>
          </w:tcPr>
          <w:p w:rsidR="00082967" w:rsidRPr="00DC37A4" w:rsidRDefault="00082967" w:rsidP="00993EBE">
            <w:pPr>
              <w:pStyle w:val="Normal6"/>
              <w:rPr>
                <w:szCs w:val="24"/>
              </w:rPr>
            </w:pPr>
            <w:r w:rsidRPr="00DC37A4">
              <w:t>__________________</w:t>
            </w:r>
          </w:p>
        </w:tc>
      </w:tr>
      <w:tr w:rsidR="00082967" w:rsidRPr="00DC37A4" w:rsidTr="00993EBE">
        <w:trPr>
          <w:jc w:val="center"/>
        </w:trPr>
        <w:tc>
          <w:tcPr>
            <w:tcW w:w="4876" w:type="dxa"/>
            <w:hideMark/>
          </w:tcPr>
          <w:p w:rsidR="00082967" w:rsidRPr="00DC37A4" w:rsidRDefault="00082967" w:rsidP="00993EBE">
            <w:pPr>
              <w:pStyle w:val="Normal6"/>
            </w:pPr>
            <w:r w:rsidRPr="00DC37A4">
              <w:rPr>
                <w:vertAlign w:val="superscript"/>
              </w:rPr>
              <w:t xml:space="preserve">17 </w:t>
            </w:r>
            <w:r w:rsidRPr="00DC37A4">
              <w:t>ELT C […], […], lk […].</w:t>
            </w:r>
          </w:p>
        </w:tc>
        <w:tc>
          <w:tcPr>
            <w:tcW w:w="4876" w:type="dxa"/>
            <w:hideMark/>
          </w:tcPr>
          <w:p w:rsidR="00082967" w:rsidRPr="00DC37A4" w:rsidRDefault="00082967" w:rsidP="00993EBE">
            <w:pPr>
              <w:pStyle w:val="Normal6"/>
              <w:rPr>
                <w:szCs w:val="24"/>
              </w:rPr>
            </w:pPr>
            <w:r w:rsidRPr="00DC37A4">
              <w:rPr>
                <w:vertAlign w:val="superscript"/>
              </w:rPr>
              <w:t xml:space="preserve">17 </w:t>
            </w:r>
            <w:r w:rsidRPr="00DC37A4">
              <w:t>ELT C […], […], lk […].</w:t>
            </w:r>
          </w:p>
        </w:tc>
      </w:tr>
    </w:tbl>
    <w:p w:rsidR="00082967" w:rsidRPr="00DC37A4" w:rsidRDefault="00082967" w:rsidP="00082967">
      <w:pPr>
        <w:rPr>
          <w:szCs w:val="24"/>
        </w:rPr>
      </w:pPr>
    </w:p>
    <w:p w:rsidR="00082967" w:rsidRPr="00DC37A4" w:rsidRDefault="00082967" w:rsidP="00082967">
      <w:pPr>
        <w:pStyle w:val="AMNumberTabs"/>
        <w:keepNext/>
      </w:pPr>
      <w:r w:rsidRPr="00DC37A4">
        <w:t>Muudatusettepanek</w:t>
      </w:r>
      <w:r w:rsidRPr="00DC37A4">
        <w:tab/>
      </w:r>
      <w:r w:rsidRPr="00DC37A4">
        <w:tab/>
        <w:t>11</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Artikkel 1 – lõik 1 – punkt 1 a (uus)</w:t>
      </w:r>
    </w:p>
    <w:p w:rsidR="00082967" w:rsidRPr="00DC37A4" w:rsidRDefault="00082967" w:rsidP="00082967">
      <w:r w:rsidRPr="00DC37A4">
        <w:t>Määrus (EL) nr 904/2010</w:t>
      </w:r>
    </w:p>
    <w:p w:rsidR="00082967" w:rsidRPr="00DC37A4" w:rsidRDefault="00082967" w:rsidP="00082967">
      <w:r w:rsidRPr="00DC37A4">
        <w:t>II peatükk – 2. jagu – artikkel 12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1a)</w:t>
            </w:r>
            <w:r w:rsidRPr="00DC37A4">
              <w:tab/>
            </w:r>
            <w:r w:rsidRPr="00DC37A4">
              <w:rPr>
                <w:b/>
                <w:i/>
              </w:rPr>
              <w:t>II peatüki 2. jaole lisatakse järgmine artikkel:</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„Artikkel 12a</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1C2133">
            <w:pPr>
              <w:pStyle w:val="Normal6a"/>
            </w:pPr>
            <w:r w:rsidRPr="00DC37A4">
              <w:rPr>
                <w:b/>
                <w:i/>
              </w:rPr>
              <w:t>Kõikidel liikmesriikidel palutakse võtta meetmeid, et vähendada hilinenud vastuste osakaalu ja parandada teabenõuete kvaliteeti. Liikmesriigid</w:t>
            </w:r>
            <w:r w:rsidR="001C2133" w:rsidRPr="00DC37A4">
              <w:rPr>
                <w:b/>
                <w:i/>
              </w:rPr>
              <w:t xml:space="preserve"> peavad</w:t>
            </w:r>
            <w:r w:rsidRPr="00DC37A4">
              <w:rPr>
                <w:b/>
                <w:i/>
              </w:rPr>
              <w:t xml:space="preserve"> komisjoni selliste meetmete võtmisest</w:t>
            </w:r>
            <w:r w:rsidR="001C2133" w:rsidRPr="00DC37A4">
              <w:rPr>
                <w:b/>
                <w:i/>
              </w:rPr>
              <w:t xml:space="preserve"> teavitama</w:t>
            </w:r>
            <w:r w:rsidRPr="00DC37A4">
              <w:rPr>
                <w:b/>
                <w:i/>
              </w:rPr>
              <w:t>.“</w:t>
            </w:r>
          </w:p>
        </w:tc>
      </w:tr>
    </w:tbl>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12</w:t>
      </w:r>
    </w:p>
    <w:p w:rsidR="00082967" w:rsidRPr="00DC37A4" w:rsidRDefault="00082967" w:rsidP="00082967">
      <w:pPr>
        <w:pStyle w:val="NormalBold12b"/>
        <w:keepNext/>
      </w:pPr>
      <w:r w:rsidRPr="00DC37A4">
        <w:t>Ettepanek võtta vastu määrus</w:t>
      </w:r>
    </w:p>
    <w:p w:rsidR="00082967" w:rsidRPr="00DC37A4" w:rsidRDefault="00082967" w:rsidP="00082967">
      <w:pPr>
        <w:pStyle w:val="NormalBold"/>
      </w:pPr>
      <w:r w:rsidRPr="00DC37A4">
        <w:t>Artikkel 1 – lõik 1 – punkt 2 – alapunkt d</w:t>
      </w:r>
    </w:p>
    <w:p w:rsidR="00082967" w:rsidRPr="00DC37A4" w:rsidRDefault="00082967" w:rsidP="00082967">
      <w:pPr>
        <w:keepNext/>
      </w:pPr>
      <w:r w:rsidRPr="00DC37A4">
        <w:t>Määrus (EL) nr 904/2010</w:t>
      </w:r>
    </w:p>
    <w:p w:rsidR="00082967" w:rsidRPr="00DC37A4" w:rsidRDefault="00082967" w:rsidP="00082967">
      <w:r w:rsidRPr="00DC37A4">
        <w:t>Artikkel 24c – lõige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jc w:val="center"/>
        </w:trPr>
        <w:tc>
          <w:tcPr>
            <w:tcW w:w="9752" w:type="dxa"/>
            <w:gridSpan w:val="2"/>
          </w:tcPr>
          <w:p w:rsidR="00082967" w:rsidRPr="00DC37A4" w:rsidRDefault="00082967" w:rsidP="00993EBE">
            <w:pPr>
              <w:keepNext/>
            </w:pPr>
          </w:p>
        </w:tc>
      </w:tr>
      <w:tr w:rsidR="00082967" w:rsidRPr="00DC37A4" w:rsidTr="00993EBE">
        <w:trPr>
          <w:jc w:val="center"/>
        </w:trPr>
        <w:tc>
          <w:tcPr>
            <w:tcW w:w="4876" w:type="dxa"/>
            <w:hideMark/>
          </w:tcPr>
          <w:p w:rsidR="00082967" w:rsidRPr="00DC37A4" w:rsidRDefault="00082967" w:rsidP="00993EBE">
            <w:pPr>
              <w:pStyle w:val="ColumnHeading"/>
              <w:keepNext/>
            </w:pPr>
            <w:r w:rsidRPr="00DC37A4">
              <w:t>Komisjoni ettepanek</w:t>
            </w:r>
          </w:p>
        </w:tc>
        <w:tc>
          <w:tcPr>
            <w:tcW w:w="4876" w:type="dxa"/>
            <w:hideMark/>
          </w:tcPr>
          <w:p w:rsidR="00082967" w:rsidRPr="00DC37A4" w:rsidRDefault="00082967" w:rsidP="00993EBE">
            <w:pPr>
              <w:pStyle w:val="ColumnHeading"/>
              <w:keepNext/>
            </w:pPr>
            <w:r w:rsidRPr="00DC37A4">
              <w:t>Muudatusettepanek</w:t>
            </w:r>
          </w:p>
        </w:tc>
      </w:tr>
      <w:tr w:rsidR="00082967" w:rsidRPr="00DC37A4" w:rsidTr="00993EBE">
        <w:trPr>
          <w:jc w:val="center"/>
        </w:trPr>
        <w:tc>
          <w:tcPr>
            <w:tcW w:w="4876" w:type="dxa"/>
            <w:hideMark/>
          </w:tcPr>
          <w:p w:rsidR="00082967" w:rsidRPr="00DC37A4" w:rsidRDefault="00082967" w:rsidP="00993EBE">
            <w:pPr>
              <w:pStyle w:val="Normal6"/>
            </w:pPr>
            <w:r w:rsidRPr="00DC37A4">
              <w:t>2.</w:t>
            </w:r>
            <w:r w:rsidRPr="00DC37A4">
              <w:tab/>
              <w:t xml:space="preserve">CESOP säilitab lõike 1 punktides </w:t>
            </w:r>
            <w:r w:rsidRPr="00DC37A4">
              <w:rPr>
                <w:b/>
                <w:i/>
              </w:rPr>
              <w:t>a ja b</w:t>
            </w:r>
            <w:r w:rsidRPr="00DC37A4">
              <w:t xml:space="preserve"> osutatud teavet maksimaalselt </w:t>
            </w:r>
            <w:r w:rsidRPr="00DC37A4">
              <w:rPr>
                <w:b/>
                <w:i/>
              </w:rPr>
              <w:t>kaks</w:t>
            </w:r>
            <w:r w:rsidRPr="00DC37A4">
              <w:t xml:space="preserve"> aastat alates selle aasta lõpust, mil teave süsteemi üle kanti.</w:t>
            </w:r>
          </w:p>
        </w:tc>
        <w:tc>
          <w:tcPr>
            <w:tcW w:w="4876" w:type="dxa"/>
            <w:hideMark/>
          </w:tcPr>
          <w:p w:rsidR="00082967" w:rsidRPr="00DC37A4" w:rsidRDefault="00082967" w:rsidP="00993EBE">
            <w:pPr>
              <w:pStyle w:val="Normal6"/>
              <w:rPr>
                <w:szCs w:val="24"/>
              </w:rPr>
            </w:pPr>
            <w:r w:rsidRPr="00DC37A4">
              <w:t>2.</w:t>
            </w:r>
            <w:r w:rsidRPr="00DC37A4">
              <w:tab/>
              <w:t xml:space="preserve">CESOP säilitab lõike 1 punktides </w:t>
            </w:r>
            <w:r w:rsidRPr="00DC37A4">
              <w:rPr>
                <w:b/>
                <w:i/>
              </w:rPr>
              <w:t>a–c</w:t>
            </w:r>
            <w:r w:rsidRPr="00DC37A4">
              <w:t xml:space="preserve"> osutatud teavet maksimaalselt </w:t>
            </w:r>
            <w:r w:rsidRPr="00DC37A4">
              <w:rPr>
                <w:b/>
                <w:i/>
              </w:rPr>
              <w:t>viis</w:t>
            </w:r>
            <w:r w:rsidRPr="00DC37A4">
              <w:t xml:space="preserve"> aastat alates selle aasta lõpust, mil teave süsteemi üle kanti.</w:t>
            </w:r>
          </w:p>
        </w:tc>
      </w:tr>
    </w:tbl>
    <w:p w:rsidR="00082967" w:rsidRPr="00DC37A4" w:rsidRDefault="00082967" w:rsidP="00082967">
      <w:pPr>
        <w:pStyle w:val="AMNumberTabs"/>
        <w:keepNext/>
      </w:pPr>
      <w:r w:rsidRPr="00DC37A4">
        <w:t>Muudatusettepanek</w:t>
      </w:r>
      <w:r w:rsidRPr="00DC37A4">
        <w:tab/>
      </w:r>
      <w:r w:rsidRPr="00DC37A4">
        <w:tab/>
        <w:t>13</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Artikkel 1 – lõik 1 – punkt 2 – alapunkt d</w:t>
      </w:r>
    </w:p>
    <w:p w:rsidR="00082967" w:rsidRPr="00DC37A4" w:rsidRDefault="00082967" w:rsidP="00082967">
      <w:r w:rsidRPr="00DC37A4">
        <w:t>Määrus (EL) nr 904/2010</w:t>
      </w:r>
    </w:p>
    <w:p w:rsidR="00082967" w:rsidRPr="00DC37A4" w:rsidRDefault="00082967" w:rsidP="00082967">
      <w:r w:rsidRPr="00DC37A4">
        <w:t>Artikkel 24d – lõik 2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1C2133">
            <w:pPr>
              <w:pStyle w:val="Normal6a"/>
            </w:pPr>
            <w:r w:rsidRPr="00DC37A4">
              <w:rPr>
                <w:b/>
                <w:i/>
              </w:rPr>
              <w:t>Lisaks sellele peaks komisjonil olema võimalik t</w:t>
            </w:r>
            <w:r w:rsidR="001C2133" w:rsidRPr="00DC37A4">
              <w:rPr>
                <w:b/>
                <w:i/>
              </w:rPr>
              <w:t>eha</w:t>
            </w:r>
            <w:r w:rsidRPr="00DC37A4">
              <w:rPr>
                <w:b/>
                <w:i/>
              </w:rPr>
              <w:t xml:space="preserve"> liikmesriikides kontrollkäike, et hinnata, kuidas toimib liikmesriikidevaheline koostöö piiriülese käibemaksupettuse vastu võitlemisel.</w:t>
            </w:r>
          </w:p>
        </w:tc>
      </w:tr>
    </w:tbl>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14</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Artikkel 1 – lõik 1 – punkt 2 a (uus)</w:t>
      </w:r>
    </w:p>
    <w:p w:rsidR="00082967" w:rsidRPr="00DC37A4" w:rsidRDefault="00082967" w:rsidP="00082967">
      <w:r w:rsidRPr="00DC37A4">
        <w:t>Määrus (EL) nr 904/2010</w:t>
      </w:r>
    </w:p>
    <w:p w:rsidR="00082967" w:rsidRPr="00DC37A4" w:rsidRDefault="00082967" w:rsidP="00082967">
      <w:r w:rsidRPr="00DC37A4">
        <w:t>X peatükk – artikkel 36 – lõige 2 – sissejuhatav osa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Kehtiv tekst</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2a)</w:t>
            </w:r>
            <w:r w:rsidRPr="00DC37A4">
              <w:tab/>
            </w:r>
            <w:r w:rsidRPr="00DC37A4">
              <w:rPr>
                <w:b/>
                <w:i/>
              </w:rPr>
              <w:t>Artikli 36 lõike 2 sissejuhatav osa asendatakse järgmisega:</w:t>
            </w:r>
          </w:p>
        </w:tc>
      </w:tr>
      <w:tr w:rsidR="00082967" w:rsidRPr="00DC37A4" w:rsidTr="00993EBE">
        <w:trPr>
          <w:jc w:val="center"/>
        </w:trPr>
        <w:tc>
          <w:tcPr>
            <w:tcW w:w="4876" w:type="dxa"/>
          </w:tcPr>
          <w:p w:rsidR="00082967" w:rsidRPr="00DC37A4" w:rsidRDefault="00082967" w:rsidP="00993EBE">
            <w:pPr>
              <w:pStyle w:val="Normal6a"/>
            </w:pPr>
            <w:r w:rsidRPr="00DC37A4">
              <w:t>„2.</w:t>
            </w:r>
            <w:r w:rsidRPr="00DC37A4">
              <w:tab/>
            </w:r>
            <w:r w:rsidRPr="00DC37A4">
              <w:rPr>
                <w:b/>
                <w:i/>
              </w:rPr>
              <w:t>Konkreetses</w:t>
            </w:r>
            <w:r w:rsidRPr="00DC37A4">
              <w:t xml:space="preserve"> Eurofisci töövaldkonnas osalevate liikmesriikide kontaktametnikud (edaspidi „osalevad Eurofisci kontaktametnikud”) määravad osalevate kontaktametnike seast piiratud ajaks koordinaatori (edaspidi „Eurofisci töövaldkonna koordinaatorid”). Eurofisci töövaldkonna koordinaatorid:“</w:t>
            </w:r>
          </w:p>
        </w:tc>
        <w:tc>
          <w:tcPr>
            <w:tcW w:w="4876" w:type="dxa"/>
          </w:tcPr>
          <w:p w:rsidR="00082967" w:rsidRPr="00DC37A4" w:rsidRDefault="00082967" w:rsidP="00993EBE">
            <w:pPr>
              <w:pStyle w:val="Normal6a"/>
            </w:pPr>
            <w:r w:rsidRPr="00DC37A4">
              <w:t>„2.</w:t>
            </w:r>
            <w:r w:rsidRPr="00DC37A4">
              <w:tab/>
            </w:r>
            <w:r w:rsidRPr="00DC37A4">
              <w:rPr>
                <w:b/>
                <w:i/>
              </w:rPr>
              <w:t>Asjaomases</w:t>
            </w:r>
            <w:r w:rsidRPr="00DC37A4">
              <w:t xml:space="preserve"> Eurofisci töövaldkonnas osalevate liikmesriikide kontaktametnikud (edaspidi „osalevad Eurofisci kontaktametnikud”) määravad osalevate kontaktametnike seast piiratud ajaks koordinaatori (edaspidi „Eurofisci töövaldkonna koordinaatorid”). Eurofisci töövaldkonna koordinaatorid:“</w:t>
            </w:r>
          </w:p>
        </w:tc>
      </w:tr>
    </w:tbl>
    <w:p w:rsidR="00082967" w:rsidRPr="00DC37A4" w:rsidRDefault="00082967" w:rsidP="00082967">
      <w:pPr>
        <w:pStyle w:val="AmCrossRef"/>
      </w:pPr>
      <w:r w:rsidRPr="00DC37A4">
        <w:t>(https://eur-lex.europa.eu/eli/reg/2010/904/oj)</w:t>
      </w:r>
    </w:p>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15</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Artikkel 1 – lõik 1 – punkt 3</w:t>
      </w:r>
    </w:p>
    <w:p w:rsidR="00082967" w:rsidRPr="00DC37A4" w:rsidRDefault="00082967" w:rsidP="00082967">
      <w:r w:rsidRPr="00DC37A4">
        <w:t>Määrus (EL) nr 904/2010</w:t>
      </w:r>
    </w:p>
    <w:p w:rsidR="00082967" w:rsidRPr="00DC37A4" w:rsidRDefault="00082967" w:rsidP="00082967">
      <w:r w:rsidRPr="00DC37A4">
        <w:t>Artikkel 37 – lõik 1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r w:rsidRPr="00DC37A4">
              <w:t xml:space="preserve">Aastaaruandes esitatakse </w:t>
            </w:r>
            <w:r w:rsidRPr="00DC37A4">
              <w:rPr>
                <w:b/>
                <w:i/>
              </w:rPr>
              <w:t>vähemalt üksikasjalik teave igas liikmesriigis teostatud kontrollide arvu ja artikli 24d kohaselt töödeldud teabe põhjal hinnatud ja kogutud täiendava käibemaksu kohta.</w:t>
            </w:r>
          </w:p>
        </w:tc>
        <w:tc>
          <w:tcPr>
            <w:tcW w:w="4876" w:type="dxa"/>
          </w:tcPr>
          <w:p w:rsidR="00082967" w:rsidRPr="00DC37A4" w:rsidRDefault="00082967" w:rsidP="00993EBE">
            <w:pPr>
              <w:pStyle w:val="Normal6a"/>
            </w:pPr>
            <w:r w:rsidRPr="00DC37A4">
              <w:t xml:space="preserve">Aastaaruandes esitatakse </w:t>
            </w:r>
            <w:r w:rsidRPr="00DC37A4">
              <w:rPr>
                <w:b/>
                <w:i/>
              </w:rPr>
              <w:t>iga liikmesriigi kohta vähemalt järgmine üksikasjalik teave:</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1C2133">
            <w:pPr>
              <w:pStyle w:val="Normal6a"/>
            </w:pPr>
            <w:r w:rsidRPr="00DC37A4">
              <w:rPr>
                <w:b/>
                <w:i/>
              </w:rPr>
              <w:t>–</w:t>
            </w:r>
            <w:r w:rsidRPr="00DC37A4">
              <w:tab/>
            </w:r>
            <w:r w:rsidRPr="00DC37A4">
              <w:rPr>
                <w:b/>
                <w:i/>
              </w:rPr>
              <w:t>te</w:t>
            </w:r>
            <w:r w:rsidR="001C2133" w:rsidRPr="00DC37A4">
              <w:rPr>
                <w:b/>
                <w:i/>
              </w:rPr>
              <w:t>htud</w:t>
            </w:r>
            <w:r w:rsidRPr="00DC37A4">
              <w:rPr>
                <w:b/>
                <w:i/>
              </w:rPr>
              <w:t xml:space="preserve"> kontrollide arv;</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w:t>
            </w:r>
            <w:r w:rsidRPr="00DC37A4">
              <w:rPr>
                <w:b/>
                <w:i/>
              </w:rPr>
              <w:tab/>
              <w:t>nende ametnike arv, kellel on lubatud viibida teise liikmesriigi haldusasutuste ruumides, ja nende ametnike arv, kes viibivad taotluse saanud liikmesriigi territooriumil läbiviidavate haldusuurimiste juures;</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w:t>
            </w:r>
            <w:r w:rsidRPr="00DC37A4">
              <w:rPr>
                <w:b/>
                <w:i/>
              </w:rPr>
              <w:tab/>
              <w:t>ühe või mitme liikmesriigi osalusel korraldatud üheaegsete kontrollide arv ja üheaegsete kontrollide eelvaliku koosolekutel osalenud ametnike arv;</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w:t>
            </w:r>
            <w:r w:rsidRPr="00DC37A4">
              <w:rPr>
                <w:b/>
                <w:i/>
              </w:rPr>
              <w:tab/>
              <w:t>ühiste auditirühmade arv, milles iga liikmesriik on osalenud;</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w:t>
            </w:r>
            <w:r w:rsidRPr="00DC37A4">
              <w:rPr>
                <w:b/>
                <w:i/>
              </w:rPr>
              <w:tab/>
              <w:t>meetmed, mis on võetud audiitorite teavitamiseks käesoleva määruse kohastest vahenditest;</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w:t>
            </w:r>
            <w:r w:rsidRPr="00DC37A4">
              <w:rPr>
                <w:b/>
                <w:i/>
              </w:rPr>
              <w:tab/>
              <w:t>kvalifitseeritud personali arv, et tagada kohalolek haldusasutuste ametiruumides, osalemine haldusuurimistes ja üheaegsetes kontrollides (nagu on osutatud artiklites 28–30);</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1C2133">
            <w:pPr>
              <w:pStyle w:val="Normal6a"/>
            </w:pPr>
            <w:r w:rsidRPr="00DC37A4">
              <w:rPr>
                <w:b/>
                <w:i/>
              </w:rPr>
              <w:t>–</w:t>
            </w:r>
            <w:r w:rsidRPr="00DC37A4">
              <w:rPr>
                <w:b/>
                <w:i/>
              </w:rPr>
              <w:tab/>
            </w:r>
            <w:r w:rsidR="001C2133" w:rsidRPr="00DC37A4">
              <w:rPr>
                <w:b/>
                <w:i/>
              </w:rPr>
              <w:t xml:space="preserve">töötajate arv </w:t>
            </w:r>
            <w:r w:rsidRPr="00DC37A4">
              <w:rPr>
                <w:b/>
                <w:i/>
              </w:rPr>
              <w:t>ühtses teabevahetuse keskasutuses ja muudes määratud teabevahetuse üksustes, samuti muude pädevate ametnike arv, kes saavad käesoleva määruse alusel otse teavet vahetada (nagu on osutatud artiklis 4), ning teabe kogumise ja vahetamise viis nende asutuste vahel ning</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w:t>
            </w:r>
            <w:r w:rsidRPr="00DC37A4">
              <w:tab/>
            </w:r>
            <w:r w:rsidRPr="00DC37A4">
              <w:rPr>
                <w:b/>
                <w:i/>
              </w:rPr>
              <w:t>artikli 24d kohaselt töödeldud teabe põhjal hinnatud ja kogutud täiendav käibemaks.</w:t>
            </w:r>
          </w:p>
        </w:tc>
      </w:tr>
    </w:tbl>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16</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Artikkel 1 – lõik 1 – punkt 3 a (uus)</w:t>
      </w:r>
    </w:p>
    <w:p w:rsidR="00082967" w:rsidRPr="00DC37A4" w:rsidRDefault="00082967" w:rsidP="00082967">
      <w:r w:rsidRPr="00DC37A4">
        <w:t>Määrus (EL) nr 904/2010</w:t>
      </w:r>
    </w:p>
    <w:p w:rsidR="00082967" w:rsidRPr="00DC37A4" w:rsidRDefault="00082967" w:rsidP="00082967">
      <w:r w:rsidRPr="00DC37A4">
        <w:t>XIII peatükk – artikkel 49 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3a)</w:t>
            </w:r>
            <w:r w:rsidRPr="00DC37A4">
              <w:tab/>
            </w:r>
            <w:r w:rsidRPr="00DC37A4">
              <w:rPr>
                <w:b/>
                <w:i/>
              </w:rPr>
              <w:t>XIII peatükile lisatakse järgmine artikkel:</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„Artikkel 49a</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D70750">
            <w:pPr>
              <w:pStyle w:val="Normal6a"/>
            </w:pPr>
            <w:r w:rsidRPr="00DC37A4">
              <w:rPr>
                <w:b/>
                <w:i/>
              </w:rPr>
              <w:t>Liikmesriigid ja komisjon loovad ühise ühendusesiseste käibemaksupettuste alase statistika kogumise süsteemi ja avaldavad hinnangud käibemaksupettustest tuleneva kahju kohta liikmesriikide</w:t>
            </w:r>
            <w:r w:rsidR="00D70750" w:rsidRPr="00DC37A4">
              <w:rPr>
                <w:b/>
                <w:i/>
              </w:rPr>
              <w:t>s</w:t>
            </w:r>
            <w:r w:rsidRPr="00DC37A4">
              <w:rPr>
                <w:b/>
                <w:i/>
              </w:rPr>
              <w:t xml:space="preserve"> ja liidu</w:t>
            </w:r>
            <w:r w:rsidR="00D70750" w:rsidRPr="00DC37A4">
              <w:rPr>
                <w:b/>
                <w:i/>
              </w:rPr>
              <w:t>s</w:t>
            </w:r>
            <w:r w:rsidRPr="00DC37A4">
              <w:rPr>
                <w:b/>
                <w:i/>
              </w:rPr>
              <w:t xml:space="preserve"> tervikuna. Komisjon võtab nimetatud statistilist süsteemi </w:t>
            </w:r>
            <w:r w:rsidR="00D70750" w:rsidRPr="00DC37A4">
              <w:rPr>
                <w:b/>
                <w:i/>
              </w:rPr>
              <w:t>käsitleva</w:t>
            </w:r>
            <w:r w:rsidRPr="00DC37A4">
              <w:rPr>
                <w:b/>
                <w:i/>
              </w:rPr>
              <w:t xml:space="preserve"> praktilise ja menetlusliku korra vastu rakendusaktidega. Kõnealused rakendusaktid võetakse vastu kooskõlas artikli 58 lõikes 2 osutatud kontrollimenetlusega.“</w:t>
            </w:r>
          </w:p>
        </w:tc>
      </w:tr>
    </w:tbl>
    <w:p w:rsidR="00082967" w:rsidRPr="00DC37A4" w:rsidRDefault="00082967" w:rsidP="00082967"/>
    <w:p w:rsidR="00082967" w:rsidRPr="00DC37A4" w:rsidRDefault="00082967" w:rsidP="00082967">
      <w:pPr>
        <w:pStyle w:val="AMNumberTabs"/>
        <w:keepNext/>
      </w:pPr>
      <w:r w:rsidRPr="00DC37A4">
        <w:t>Muudatusettepanek</w:t>
      </w:r>
      <w:r w:rsidRPr="00DC37A4">
        <w:tab/>
      </w:r>
      <w:r w:rsidRPr="00DC37A4">
        <w:tab/>
        <w:t>17</w:t>
      </w:r>
    </w:p>
    <w:p w:rsidR="00082967" w:rsidRPr="00DC37A4" w:rsidRDefault="00082967" w:rsidP="00082967">
      <w:pPr>
        <w:pStyle w:val="NormalBold12b"/>
      </w:pPr>
      <w:r w:rsidRPr="00DC37A4">
        <w:t>Ettepanek võtta vastu määrus</w:t>
      </w:r>
    </w:p>
    <w:p w:rsidR="00082967" w:rsidRPr="00DC37A4" w:rsidRDefault="00082967" w:rsidP="00082967">
      <w:pPr>
        <w:pStyle w:val="NormalBold"/>
      </w:pPr>
      <w:r w:rsidRPr="00DC37A4">
        <w:t>Artikkel 1 – lõik 1 – punkt 3 a (uus)</w:t>
      </w:r>
    </w:p>
    <w:p w:rsidR="00082967" w:rsidRPr="00DC37A4" w:rsidRDefault="00082967" w:rsidP="00082967">
      <w:r w:rsidRPr="00DC37A4">
        <w:t>Määrus (EL) nr 904/2010</w:t>
      </w:r>
    </w:p>
    <w:p w:rsidR="00082967" w:rsidRPr="00DC37A4" w:rsidRDefault="00082967" w:rsidP="00082967">
      <w:r w:rsidRPr="00DC37A4">
        <w:t>XIV peatükk – artikkel 50 – lõige 1a (uus)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2967" w:rsidRPr="00DC37A4" w:rsidTr="00993EBE">
        <w:trPr>
          <w:trHeight w:hRule="exact" w:val="240"/>
          <w:jc w:val="center"/>
        </w:trPr>
        <w:tc>
          <w:tcPr>
            <w:tcW w:w="9752" w:type="dxa"/>
            <w:gridSpan w:val="2"/>
          </w:tcPr>
          <w:p w:rsidR="00082967" w:rsidRPr="00DC37A4" w:rsidRDefault="00082967" w:rsidP="00993EBE"/>
        </w:tc>
      </w:tr>
      <w:tr w:rsidR="00082967" w:rsidRPr="00DC37A4" w:rsidTr="00993EBE">
        <w:trPr>
          <w:trHeight w:val="240"/>
          <w:jc w:val="center"/>
        </w:trPr>
        <w:tc>
          <w:tcPr>
            <w:tcW w:w="4876" w:type="dxa"/>
          </w:tcPr>
          <w:p w:rsidR="00082967" w:rsidRPr="00DC37A4" w:rsidRDefault="00082967" w:rsidP="00993EBE">
            <w:pPr>
              <w:pStyle w:val="AmColumnHeading"/>
            </w:pPr>
            <w:r w:rsidRPr="00DC37A4">
              <w:t>Komisjoni ettepanek</w:t>
            </w:r>
          </w:p>
        </w:tc>
        <w:tc>
          <w:tcPr>
            <w:tcW w:w="4876" w:type="dxa"/>
          </w:tcPr>
          <w:p w:rsidR="00082967" w:rsidRPr="00DC37A4" w:rsidRDefault="00082967" w:rsidP="00993EBE">
            <w:pPr>
              <w:pStyle w:val="AmColumnHeading"/>
            </w:pPr>
            <w:r w:rsidRPr="00DC37A4">
              <w:t>Muudatusettepanek</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993EBE">
            <w:pPr>
              <w:pStyle w:val="Normal6a"/>
            </w:pPr>
            <w:r w:rsidRPr="00DC37A4">
              <w:rPr>
                <w:b/>
                <w:i/>
              </w:rPr>
              <w:t>3a)</w:t>
            </w:r>
            <w:r w:rsidRPr="00DC37A4">
              <w:tab/>
            </w:r>
            <w:r w:rsidRPr="00DC37A4">
              <w:rPr>
                <w:b/>
                <w:i/>
              </w:rPr>
              <w:t>XIV peatüki artiklisse 50 lisatakse järgmine lõige:</w:t>
            </w:r>
          </w:p>
        </w:tc>
      </w:tr>
      <w:tr w:rsidR="00082967" w:rsidRPr="00DC37A4" w:rsidTr="00993EBE">
        <w:trPr>
          <w:jc w:val="center"/>
        </w:trPr>
        <w:tc>
          <w:tcPr>
            <w:tcW w:w="4876" w:type="dxa"/>
          </w:tcPr>
          <w:p w:rsidR="00082967" w:rsidRPr="00DC37A4" w:rsidRDefault="00082967" w:rsidP="00993EBE">
            <w:pPr>
              <w:pStyle w:val="Normal6a"/>
            </w:pPr>
          </w:p>
        </w:tc>
        <w:tc>
          <w:tcPr>
            <w:tcW w:w="4876" w:type="dxa"/>
          </w:tcPr>
          <w:p w:rsidR="00082967" w:rsidRPr="00DC37A4" w:rsidRDefault="00082967" w:rsidP="00294B1A">
            <w:pPr>
              <w:pStyle w:val="Normal6a"/>
            </w:pPr>
            <w:r w:rsidRPr="00DC37A4">
              <w:rPr>
                <w:b/>
                <w:i/>
              </w:rPr>
              <w:t>„1a.</w:t>
            </w:r>
            <w:r w:rsidRPr="00DC37A4">
              <w:rPr>
                <w:b/>
                <w:i/>
              </w:rPr>
              <w:tab/>
              <w:t>Kui liikmesriik annab kolmandale riigile rohkem teavet, kui on ette nähtud käesoleva määruse II ja III peatükis, ei keeldu kõnealune liikmesriik</w:t>
            </w:r>
            <w:r w:rsidR="00294B1A" w:rsidRPr="00DC37A4">
              <w:rPr>
                <w:b/>
                <w:i/>
              </w:rPr>
              <w:t xml:space="preserve"> asjaomase</w:t>
            </w:r>
            <w:r w:rsidRPr="00DC37A4">
              <w:rPr>
                <w:b/>
                <w:i/>
              </w:rPr>
              <w:t xml:space="preserve"> teabe edastamisest muule liikmesriigile, kes soovib temaga </w:t>
            </w:r>
            <w:r w:rsidR="00294B1A" w:rsidRPr="00DC37A4">
              <w:rPr>
                <w:b/>
                <w:i/>
              </w:rPr>
              <w:t xml:space="preserve">koostööd </w:t>
            </w:r>
            <w:r w:rsidRPr="00DC37A4">
              <w:rPr>
                <w:b/>
                <w:i/>
              </w:rPr>
              <w:t>teha või kellel on huvi seda teavet saada.“</w:t>
            </w:r>
          </w:p>
        </w:tc>
      </w:tr>
    </w:tbl>
    <w:p w:rsidR="00E365E1" w:rsidRPr="00DC37A4" w:rsidRDefault="00E365E1" w:rsidP="00BB0D21">
      <w:bookmarkStart w:id="1" w:name="TextBodyEnd"/>
      <w:bookmarkEnd w:id="1"/>
    </w:p>
    <w:sectPr w:rsidR="00E365E1" w:rsidRPr="00DC37A4" w:rsidSect="007A62F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21" w:rsidRPr="007A62F1" w:rsidRDefault="00BB0D21">
      <w:r w:rsidRPr="007A62F1">
        <w:separator/>
      </w:r>
    </w:p>
  </w:endnote>
  <w:endnote w:type="continuationSeparator" w:id="0">
    <w:p w:rsidR="00BB0D21" w:rsidRPr="007A62F1" w:rsidRDefault="00BB0D21">
      <w:r w:rsidRPr="007A62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A4" w:rsidRDefault="00DC3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Default="00064002" w:rsidP="00DC37A4">
    <w:pPr>
      <w:pStyle w:val="Footer"/>
      <w:tabs>
        <w:tab w:val="clear" w:pos="4513"/>
        <w:tab w:val="clear" w:pos="9026"/>
        <w:tab w:val="right" w:pos="9184"/>
      </w:tabs>
    </w:pPr>
  </w:p>
  <w:p w:rsidR="00DC37A4" w:rsidRDefault="00DC37A4" w:rsidP="00DC37A4">
    <w:pPr>
      <w:pStyle w:val="Footer"/>
      <w:pBdr>
        <w:top w:val="single" w:sz="2" w:space="1" w:color="000000"/>
      </w:pBdr>
      <w:tabs>
        <w:tab w:val="clear" w:pos="4513"/>
        <w:tab w:val="clear" w:pos="9026"/>
        <w:tab w:val="right" w:pos="9184"/>
      </w:tabs>
    </w:pPr>
    <w:r>
      <w:tab/>
    </w:r>
    <w:r w:rsidRPr="00DC37A4">
      <w:rPr>
        <w:rStyle w:val="HideTWBExt"/>
      </w:rPr>
      <w:t>&lt;NuPE&gt;</w:t>
    </w:r>
    <w:r>
      <w:t>PE643.404</w:t>
    </w:r>
    <w:r w:rsidRPr="00DC37A4">
      <w:rPr>
        <w:rStyle w:val="HideTWBExt"/>
      </w:rPr>
      <w:t>&lt;/NuPE&gt;</w:t>
    </w:r>
    <w:r>
      <w:t xml:space="preserve">/ </w:t>
    </w:r>
    <w:r>
      <w:fldChar w:fldCharType="begin"/>
    </w:r>
    <w:r>
      <w:instrText xml:space="preserve"> PAGE  \* MERGEFORMAT </w:instrText>
    </w:r>
    <w:r>
      <w:fldChar w:fldCharType="separate"/>
    </w:r>
    <w:r w:rsidR="005536B8">
      <w:rPr>
        <w:noProof/>
      </w:rPr>
      <w:t>1</w:t>
    </w:r>
    <w:r>
      <w:fldChar w:fldCharType="end"/>
    </w:r>
  </w:p>
  <w:p w:rsidR="00DC37A4" w:rsidRPr="00DC37A4" w:rsidRDefault="00DC37A4" w:rsidP="00DC37A4">
    <w:pPr>
      <w:pStyle w:val="Footer"/>
      <w:pBdr>
        <w:top w:val="single" w:sz="2" w:space="1" w:color="000000"/>
      </w:pBdr>
      <w:tabs>
        <w:tab w:val="clear" w:pos="4513"/>
        <w:tab w:val="clear" w:pos="9026"/>
        <w:tab w:val="right" w:pos="9638"/>
      </w:tabs>
      <w:rPr>
        <w:rFonts w:ascii="Arial" w:hAnsi="Arial" w:cs="Arial"/>
        <w:b/>
        <w:sz w:val="48"/>
      </w:rPr>
    </w:pPr>
    <w:r>
      <w:tab/>
    </w:r>
    <w:r>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A4" w:rsidRDefault="00DC3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21" w:rsidRPr="007A62F1" w:rsidRDefault="00BB0D21">
      <w:r w:rsidRPr="007A62F1">
        <w:separator/>
      </w:r>
    </w:p>
  </w:footnote>
  <w:footnote w:type="continuationSeparator" w:id="0">
    <w:p w:rsidR="00BB0D21" w:rsidRPr="007A62F1" w:rsidRDefault="00BB0D21">
      <w:r w:rsidRPr="007A62F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A4" w:rsidRDefault="00DC3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A4" w:rsidRDefault="00DC3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A4" w:rsidRDefault="00DC3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47/2019"/>
    <w:docVar w:name="dvlangue" w:val="ET"/>
    <w:docVar w:name="dvnumam" w:val="17"/>
    <w:docVar w:name="dvpe" w:val="641.419"/>
    <w:docVar w:name="dvrapporteur" w:val="Raportöör: "/>
    <w:docVar w:name="dvtitre" w:val="Euroopa Parlamendi .... 2019. aasta seadusandlik resolutsioon ettepaneku kohta võtta vastu nõukogu määrus, millega muudetakse määrust (EL) nr 904/2010 seoses meetmetega halduskoostöö tugevdamiseks, et võidelda käibemaksupettuste vastu(COM(2018)0813 – C8-0016/2019 – 2018/0413(CNS))"/>
    <w:docVar w:name="TA_Comm_A5Nr" w:val="A9-0047/2019"/>
    <w:docVar w:name="TA_Comm_Langue" w:val="ET"/>
    <w:docVar w:name="TA_Comm_NrAM" w:val="001-017"/>
    <w:docVar w:name="TA_Type" w:val="TA_COMM"/>
  </w:docVars>
  <w:rsids>
    <w:rsidRoot w:val="00BB0D21"/>
    <w:rsid w:val="00002272"/>
    <w:rsid w:val="00064002"/>
    <w:rsid w:val="000677B9"/>
    <w:rsid w:val="00082967"/>
    <w:rsid w:val="000831BA"/>
    <w:rsid w:val="000A42CC"/>
    <w:rsid w:val="000E7DD9"/>
    <w:rsid w:val="0010095E"/>
    <w:rsid w:val="00125B37"/>
    <w:rsid w:val="00187494"/>
    <w:rsid w:val="001C2133"/>
    <w:rsid w:val="001F32AE"/>
    <w:rsid w:val="002767FF"/>
    <w:rsid w:val="00294B1A"/>
    <w:rsid w:val="002B18FE"/>
    <w:rsid w:val="002B5493"/>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536B8"/>
    <w:rsid w:val="00560270"/>
    <w:rsid w:val="00592DAE"/>
    <w:rsid w:val="005C2568"/>
    <w:rsid w:val="006037C0"/>
    <w:rsid w:val="006631B6"/>
    <w:rsid w:val="00680577"/>
    <w:rsid w:val="006F74FA"/>
    <w:rsid w:val="00731ADD"/>
    <w:rsid w:val="00734777"/>
    <w:rsid w:val="00747932"/>
    <w:rsid w:val="00751A4A"/>
    <w:rsid w:val="00756632"/>
    <w:rsid w:val="00762C74"/>
    <w:rsid w:val="00786EC0"/>
    <w:rsid w:val="007A62F1"/>
    <w:rsid w:val="007D1690"/>
    <w:rsid w:val="007E22AD"/>
    <w:rsid w:val="00817416"/>
    <w:rsid w:val="00842779"/>
    <w:rsid w:val="00865F67"/>
    <w:rsid w:val="00881A7B"/>
    <w:rsid w:val="008840E5"/>
    <w:rsid w:val="00887B3E"/>
    <w:rsid w:val="008C2AC6"/>
    <w:rsid w:val="00930C23"/>
    <w:rsid w:val="0093193B"/>
    <w:rsid w:val="009509D8"/>
    <w:rsid w:val="00950B64"/>
    <w:rsid w:val="00981893"/>
    <w:rsid w:val="009F4BD1"/>
    <w:rsid w:val="00A1687D"/>
    <w:rsid w:val="00A43E52"/>
    <w:rsid w:val="00A4678D"/>
    <w:rsid w:val="00A778C7"/>
    <w:rsid w:val="00AB441E"/>
    <w:rsid w:val="00AB6293"/>
    <w:rsid w:val="00AE0928"/>
    <w:rsid w:val="00AF3B82"/>
    <w:rsid w:val="00B12E95"/>
    <w:rsid w:val="00B22876"/>
    <w:rsid w:val="00B33AB2"/>
    <w:rsid w:val="00B558F0"/>
    <w:rsid w:val="00BB0D21"/>
    <w:rsid w:val="00BD48FE"/>
    <w:rsid w:val="00BD7BD8"/>
    <w:rsid w:val="00BE6ADC"/>
    <w:rsid w:val="00C05BFE"/>
    <w:rsid w:val="00C23CD4"/>
    <w:rsid w:val="00C61C0C"/>
    <w:rsid w:val="00C941CB"/>
    <w:rsid w:val="00CB39C2"/>
    <w:rsid w:val="00CC2357"/>
    <w:rsid w:val="00CF071A"/>
    <w:rsid w:val="00D058B8"/>
    <w:rsid w:val="00D56C11"/>
    <w:rsid w:val="00D63949"/>
    <w:rsid w:val="00D70750"/>
    <w:rsid w:val="00D834A0"/>
    <w:rsid w:val="00D872DF"/>
    <w:rsid w:val="00D91E21"/>
    <w:rsid w:val="00DA7FCD"/>
    <w:rsid w:val="00DC37A4"/>
    <w:rsid w:val="00E365E1"/>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C48694-63C1-4E79-BD76-439E18E2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et-E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semiHidden/>
    <w:rsid w:val="00395FA1"/>
    <w:rPr>
      <w:b w:val="0"/>
      <w:vertAlign w:val="superscript"/>
    </w:rPr>
  </w:style>
  <w:style w:type="paragraph" w:styleId="FootnoteText">
    <w:name w:val="footnote text"/>
    <w:basedOn w:val="Normal"/>
    <w:link w:val="FootnoteTextChar"/>
    <w:semiHidden/>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semiHidden/>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12">
    <w:name w:val="Normal12"/>
    <w:basedOn w:val="Normal"/>
    <w:rsid w:val="00082967"/>
    <w:pPr>
      <w:spacing w:after="240"/>
    </w:pPr>
  </w:style>
  <w:style w:type="paragraph" w:customStyle="1" w:styleId="Normal6">
    <w:name w:val="Normal6"/>
    <w:basedOn w:val="Normal"/>
    <w:link w:val="Normal6Char"/>
    <w:rsid w:val="00082967"/>
    <w:pPr>
      <w:spacing w:after="120"/>
    </w:pPr>
  </w:style>
  <w:style w:type="character" w:customStyle="1" w:styleId="Normal6Char">
    <w:name w:val="Normal6 Char"/>
    <w:link w:val="Normal6"/>
    <w:rsid w:val="00082967"/>
    <w:rPr>
      <w:sz w:val="24"/>
      <w:lang w:val="et-EE"/>
    </w:rPr>
  </w:style>
  <w:style w:type="paragraph" w:customStyle="1" w:styleId="NormalBold">
    <w:name w:val="NormalBold"/>
    <w:basedOn w:val="Normal"/>
    <w:link w:val="NormalBoldChar"/>
    <w:rsid w:val="00082967"/>
    <w:rPr>
      <w:b/>
    </w:rPr>
  </w:style>
  <w:style w:type="character" w:customStyle="1" w:styleId="NormalBoldChar">
    <w:name w:val="NormalBold Char"/>
    <w:link w:val="NormalBold"/>
    <w:rsid w:val="00082967"/>
    <w:rPr>
      <w:b/>
      <w:sz w:val="24"/>
      <w:lang w:val="et-EE"/>
    </w:rPr>
  </w:style>
  <w:style w:type="paragraph" w:customStyle="1" w:styleId="Normal12Bold">
    <w:name w:val="Normal12Bold"/>
    <w:basedOn w:val="Normal12"/>
    <w:rsid w:val="00082967"/>
    <w:rPr>
      <w:b/>
    </w:rPr>
  </w:style>
  <w:style w:type="paragraph" w:customStyle="1" w:styleId="Normal12Hanging">
    <w:name w:val="Normal12Hanging"/>
    <w:basedOn w:val="Normal12"/>
    <w:rsid w:val="00082967"/>
    <w:pPr>
      <w:ind w:left="567" w:hanging="567"/>
    </w:pPr>
  </w:style>
  <w:style w:type="paragraph" w:customStyle="1" w:styleId="ColumnHeading">
    <w:name w:val="ColumnHeading"/>
    <w:basedOn w:val="Normal"/>
    <w:rsid w:val="00082967"/>
    <w:pPr>
      <w:spacing w:after="240"/>
      <w:jc w:val="center"/>
    </w:pPr>
    <w:rPr>
      <w:i/>
    </w:rPr>
  </w:style>
  <w:style w:type="paragraph" w:customStyle="1" w:styleId="AMNumberTabs">
    <w:name w:val="AMNumberTabs"/>
    <w:basedOn w:val="Normal"/>
    <w:rsid w:val="0008296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082967"/>
    <w:pPr>
      <w:spacing w:before="240"/>
    </w:pPr>
    <w:rPr>
      <w:b/>
    </w:rPr>
  </w:style>
  <w:style w:type="paragraph" w:customStyle="1" w:styleId="Normal6a">
    <w:name w:val="Normal6a"/>
    <w:basedOn w:val="Normal"/>
    <w:rsid w:val="00082967"/>
    <w:pPr>
      <w:spacing w:after="120"/>
    </w:pPr>
  </w:style>
  <w:style w:type="paragraph" w:customStyle="1" w:styleId="AmColumnHeading">
    <w:name w:val="AmColumnHeading"/>
    <w:basedOn w:val="Normal"/>
    <w:rsid w:val="00082967"/>
    <w:pPr>
      <w:spacing w:after="240"/>
      <w:jc w:val="center"/>
    </w:pPr>
    <w:rPr>
      <w:i/>
    </w:rPr>
  </w:style>
  <w:style w:type="paragraph" w:customStyle="1" w:styleId="AmCrossRef">
    <w:name w:val="AmCrossRef"/>
    <w:basedOn w:val="Normal"/>
    <w:rsid w:val="00082967"/>
    <w:pPr>
      <w:spacing w:before="240" w:after="240"/>
      <w:jc w:val="center"/>
    </w:pPr>
    <w:rPr>
      <w:i/>
    </w:rPr>
  </w:style>
  <w:style w:type="character" w:customStyle="1" w:styleId="SupBoldItalic">
    <w:name w:val="SupBoldItalic"/>
    <w:uiPriority w:val="1"/>
    <w:qFormat/>
    <w:rsid w:val="00082967"/>
    <w:rPr>
      <w:b/>
      <w:i/>
      <w:vertAlign w:val="superscript"/>
    </w:rPr>
  </w:style>
  <w:style w:type="character" w:styleId="Hyperlink">
    <w:name w:val="Hyperlink"/>
    <w:basedOn w:val="DefaultParagraphFont"/>
    <w:rsid w:val="00082967"/>
    <w:rPr>
      <w:color w:val="0563C1" w:themeColor="hyperlink"/>
      <w:u w:val="single"/>
    </w:rPr>
  </w:style>
  <w:style w:type="paragraph" w:styleId="BalloonText">
    <w:name w:val="Balloon Text"/>
    <w:basedOn w:val="Normal"/>
    <w:link w:val="BalloonTextChar"/>
    <w:rsid w:val="009F4BD1"/>
    <w:rPr>
      <w:rFonts w:ascii="Segoe UI" w:hAnsi="Segoe UI" w:cs="Segoe UI"/>
      <w:sz w:val="18"/>
      <w:szCs w:val="18"/>
    </w:rPr>
  </w:style>
  <w:style w:type="character" w:customStyle="1" w:styleId="BalloonTextChar">
    <w:name w:val="Balloon Text Char"/>
    <w:basedOn w:val="DefaultParagraphFont"/>
    <w:link w:val="BalloonText"/>
    <w:rsid w:val="009F4BD1"/>
    <w:rPr>
      <w:rFonts w:ascii="Segoe UI" w:hAnsi="Segoe UI" w:cs="Segoe UI"/>
      <w:sz w:val="18"/>
      <w:szCs w:val="18"/>
      <w:lang w:val="et-EE"/>
    </w:rPr>
  </w:style>
  <w:style w:type="paragraph" w:styleId="Footer">
    <w:name w:val="footer"/>
    <w:basedOn w:val="Normal"/>
    <w:link w:val="FooterChar"/>
    <w:rsid w:val="00DC37A4"/>
    <w:pPr>
      <w:tabs>
        <w:tab w:val="center" w:pos="4513"/>
        <w:tab w:val="right" w:pos="9026"/>
      </w:tabs>
    </w:pPr>
  </w:style>
  <w:style w:type="character" w:customStyle="1" w:styleId="FooterChar">
    <w:name w:val="Footer Char"/>
    <w:basedOn w:val="DefaultParagraphFont"/>
    <w:link w:val="Footer"/>
    <w:rsid w:val="00DC37A4"/>
    <w:rPr>
      <w:sz w:val="24"/>
      <w:lang w:val="et-EE"/>
    </w:rPr>
  </w:style>
  <w:style w:type="paragraph" w:styleId="Header">
    <w:name w:val="header"/>
    <w:basedOn w:val="Normal"/>
    <w:link w:val="HeaderChar"/>
    <w:rsid w:val="00DC37A4"/>
    <w:pPr>
      <w:tabs>
        <w:tab w:val="center" w:pos="4513"/>
        <w:tab w:val="right" w:pos="9026"/>
      </w:tabs>
    </w:pPr>
  </w:style>
  <w:style w:type="character" w:customStyle="1" w:styleId="HeaderChar">
    <w:name w:val="Header Char"/>
    <w:basedOn w:val="DefaultParagraphFont"/>
    <w:link w:val="Header"/>
    <w:rsid w:val="00DC37A4"/>
    <w:rPr>
      <w:sz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europa.eu/taxation_customs/sites/taxation/files/vat-gap-full-report-2019_e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1724</Words>
  <Characters>13853</Characters>
  <Application>Microsoft Office Word</Application>
  <DocSecurity>0</DocSecurity>
  <Lines>554</Lines>
  <Paragraphs>179</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RAUDNASK Juta</dc:creator>
  <cp:keywords/>
  <cp:lastModifiedBy>RAUDNASK Juta</cp:lastModifiedBy>
  <cp:revision>2</cp:revision>
  <cp:lastPrinted>2004-11-19T15:42:00Z</cp:lastPrinted>
  <dcterms:created xsi:type="dcterms:W3CDTF">2019-12-13T15:45:00Z</dcterms:created>
  <dcterms:modified xsi:type="dcterms:W3CDTF">2019-12-13T15:45:00Z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A9-0047(2019)_001-017</vt:lpwstr>
  </property>
  <property fmtid="{D5CDD505-2E9C-101B-9397-08002B2CF9AE}" pid="4" name="&lt;Type&gt;">
    <vt:lpwstr>AM</vt:lpwstr>
  </property>
</Properties>
</file>