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C23F73" w:rsidTr="003E2402">
        <w:trPr>
          <w:trHeight w:hRule="exact" w:val="1418"/>
        </w:trPr>
        <w:tc>
          <w:tcPr>
            <w:tcW w:w="6804" w:type="dxa"/>
            <w:shd w:val="clear" w:color="auto" w:fill="auto"/>
            <w:vAlign w:val="center"/>
          </w:tcPr>
          <w:p w:rsidR="00E856D2" w:rsidRPr="00C23F73" w:rsidRDefault="00C23F73" w:rsidP="003E2402">
            <w:pPr>
              <w:pStyle w:val="EPName"/>
            </w:pPr>
            <w:r>
              <w:t>Europski parlament</w:t>
            </w:r>
          </w:p>
          <w:p w:rsidR="00E856D2" w:rsidRPr="005E6B07" w:rsidRDefault="005E6B07" w:rsidP="005E6B07">
            <w:pPr>
              <w:pStyle w:val="EPTerm"/>
              <w:rPr>
                <w:rStyle w:val="HideTWBExt"/>
                <w:noProof w:val="0"/>
                <w:vanish w:val="0"/>
                <w:color w:val="auto"/>
              </w:rPr>
            </w:pPr>
            <w:r>
              <w:t>2014-2019</w:t>
            </w:r>
          </w:p>
        </w:tc>
        <w:tc>
          <w:tcPr>
            <w:tcW w:w="2268" w:type="dxa"/>
            <w:shd w:val="clear" w:color="auto" w:fill="auto"/>
          </w:tcPr>
          <w:p w:rsidR="00E856D2" w:rsidRPr="00C23F73" w:rsidRDefault="004137A2"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7" o:title="EP logo RGB_Mute"/>
                </v:shape>
              </w:pict>
            </w:r>
          </w:p>
        </w:tc>
      </w:tr>
    </w:tbl>
    <w:p w:rsidR="001746D0" w:rsidRPr="00C23F73" w:rsidRDefault="001746D0" w:rsidP="001746D0">
      <w:pPr>
        <w:pStyle w:val="LineTop"/>
      </w:pPr>
    </w:p>
    <w:p w:rsidR="001746D0" w:rsidRPr="00C23F73" w:rsidRDefault="001746D0" w:rsidP="001746D0">
      <w:pPr>
        <w:pStyle w:val="ZCommittee"/>
      </w:pPr>
      <w:r>
        <w:rPr>
          <w:rStyle w:val="HideTWBExt"/>
          <w:noProof w:val="0"/>
        </w:rPr>
        <w:t>&lt;</w:t>
      </w:r>
      <w:r>
        <w:rPr>
          <w:rStyle w:val="HideTWBExt"/>
          <w:i w:val="0"/>
          <w:noProof w:val="0"/>
        </w:rPr>
        <w:t>Commission</w:t>
      </w:r>
      <w:r>
        <w:rPr>
          <w:rStyle w:val="HideTWBExt"/>
          <w:noProof w:val="0"/>
        </w:rPr>
        <w:t>&gt;</w:t>
      </w:r>
      <w:r>
        <w:rPr>
          <w:rStyle w:val="HideTWBInt"/>
        </w:rPr>
        <w:t>{AFCO}</w:t>
      </w:r>
      <w:r>
        <w:t>Odbor za ustavna pitanja</w:t>
      </w:r>
      <w:r>
        <w:rPr>
          <w:rStyle w:val="HideTWBExt"/>
          <w:noProof w:val="0"/>
        </w:rPr>
        <w:t>&lt;/</w:t>
      </w:r>
      <w:r>
        <w:rPr>
          <w:rStyle w:val="HideTWBExt"/>
          <w:i w:val="0"/>
          <w:noProof w:val="0"/>
        </w:rPr>
        <w:t>Commission</w:t>
      </w:r>
      <w:r>
        <w:rPr>
          <w:rStyle w:val="HideTWBExt"/>
          <w:noProof w:val="0"/>
        </w:rPr>
        <w:t>&gt;</w:t>
      </w:r>
    </w:p>
    <w:p w:rsidR="001746D0" w:rsidRPr="00C23F73" w:rsidRDefault="001746D0" w:rsidP="001746D0">
      <w:pPr>
        <w:pStyle w:val="LineBottom"/>
      </w:pPr>
    </w:p>
    <w:p w:rsidR="002E2F2E" w:rsidRPr="00C23F73" w:rsidRDefault="002E2F2E">
      <w:pPr>
        <w:pStyle w:val="RefProc"/>
      </w:pPr>
      <w:r>
        <w:rPr>
          <w:rStyle w:val="HideTWBExt"/>
          <w:b w:val="0"/>
          <w:noProof w:val="0"/>
        </w:rPr>
        <w:t>&lt;</w:t>
      </w:r>
      <w:r>
        <w:rPr>
          <w:rStyle w:val="HideTWBExt"/>
          <w:b w:val="0"/>
          <w:caps w:val="0"/>
          <w:noProof w:val="0"/>
        </w:rPr>
        <w:t>RefProc</w:t>
      </w:r>
      <w:r>
        <w:rPr>
          <w:rStyle w:val="HideTWBExt"/>
          <w:b w:val="0"/>
          <w:noProof w:val="0"/>
        </w:rPr>
        <w:t>&gt;</w:t>
      </w:r>
      <w:r>
        <w:t>2018/2099(INI)</w:t>
      </w:r>
      <w:r>
        <w:rPr>
          <w:rStyle w:val="HideTWBExt"/>
          <w:b w:val="0"/>
          <w:noProof w:val="0"/>
        </w:rPr>
        <w:t>&lt;/</w:t>
      </w:r>
      <w:r>
        <w:rPr>
          <w:rStyle w:val="HideTWBExt"/>
          <w:b w:val="0"/>
          <w:caps w:val="0"/>
          <w:noProof w:val="0"/>
        </w:rPr>
        <w:t>RefProc</w:t>
      </w:r>
      <w:r>
        <w:rPr>
          <w:rStyle w:val="HideTWBExt"/>
          <w:b w:val="0"/>
          <w:noProof w:val="0"/>
        </w:rPr>
        <w:t>&gt;</w:t>
      </w:r>
    </w:p>
    <w:p w:rsidR="002E2F2E" w:rsidRPr="00C23F73" w:rsidRDefault="002E2F2E">
      <w:pPr>
        <w:pStyle w:val="ZDate"/>
      </w:pPr>
      <w:r>
        <w:rPr>
          <w:rStyle w:val="HideTWBExt"/>
          <w:noProof w:val="0"/>
        </w:rPr>
        <w:t>&lt;Date&gt;</w:t>
      </w:r>
      <w:r>
        <w:rPr>
          <w:rStyle w:val="HideTWBInt"/>
        </w:rPr>
        <w:t>{02/10/2018}</w:t>
      </w:r>
      <w:r>
        <w:t>2.10.2018</w:t>
      </w:r>
      <w:r>
        <w:rPr>
          <w:rStyle w:val="HideTWBExt"/>
          <w:noProof w:val="0"/>
        </w:rPr>
        <w:t>&lt;/Date&gt;</w:t>
      </w:r>
    </w:p>
    <w:p w:rsidR="002E2F2E" w:rsidRPr="00C23F73" w:rsidRDefault="002E2F2E">
      <w:pPr>
        <w:pStyle w:val="TypeDoc"/>
      </w:pPr>
      <w:r>
        <w:rPr>
          <w:rStyle w:val="HideTWBExt"/>
          <w:b w:val="0"/>
          <w:noProof w:val="0"/>
        </w:rPr>
        <w:t>&lt;TitreType&gt;</w:t>
      </w:r>
      <w:r>
        <w:t>MIŠLJENJE</w:t>
      </w:r>
      <w:r>
        <w:rPr>
          <w:rStyle w:val="HideTWBExt"/>
          <w:b w:val="0"/>
          <w:noProof w:val="0"/>
        </w:rPr>
        <w:t>&lt;/TitreType&gt;</w:t>
      </w:r>
    </w:p>
    <w:p w:rsidR="002E2F2E" w:rsidRPr="00C23F73" w:rsidRDefault="002E2F2E">
      <w:pPr>
        <w:pStyle w:val="Cover24"/>
      </w:pPr>
      <w:r>
        <w:rPr>
          <w:rStyle w:val="HideTWBExt"/>
          <w:noProof w:val="0"/>
        </w:rPr>
        <w:t>&lt;CommissionResp&gt;</w:t>
      </w:r>
      <w:r>
        <w:t>Odbora za ustavna pitanja</w:t>
      </w:r>
      <w:r>
        <w:rPr>
          <w:rStyle w:val="HideTWBExt"/>
          <w:noProof w:val="0"/>
        </w:rPr>
        <w:t>&lt;/CommissionResp&gt;</w:t>
      </w:r>
    </w:p>
    <w:p w:rsidR="002E2F2E" w:rsidRPr="00C23F73" w:rsidRDefault="002E2F2E">
      <w:pPr>
        <w:pStyle w:val="Cover24"/>
      </w:pPr>
      <w:r>
        <w:rPr>
          <w:rStyle w:val="HideTWBExt"/>
          <w:noProof w:val="0"/>
        </w:rPr>
        <w:t>&lt;CommissionInt&gt;</w:t>
      </w:r>
      <w:r>
        <w:t>upućeno Odboru za vanjske poslove</w:t>
      </w:r>
      <w:r>
        <w:rPr>
          <w:rStyle w:val="HideTWBExt"/>
          <w:noProof w:val="0"/>
        </w:rPr>
        <w:t>&lt;/CommissionInt&gt;</w:t>
      </w:r>
    </w:p>
    <w:p w:rsidR="002E2F2E" w:rsidRPr="00C23F73" w:rsidRDefault="002E2F2E">
      <w:pPr>
        <w:pStyle w:val="CoverNormal"/>
      </w:pPr>
      <w:r>
        <w:rPr>
          <w:rStyle w:val="HideTWBExt"/>
          <w:noProof w:val="0"/>
        </w:rPr>
        <w:t>&lt;Titre&gt;</w:t>
      </w:r>
      <w:r>
        <w:t>o Godišnjem izvješću o provedbi zajedničke sigurnosne i obrambene politike</w:t>
      </w:r>
      <w:r>
        <w:rPr>
          <w:rStyle w:val="HideTWBExt"/>
          <w:noProof w:val="0"/>
        </w:rPr>
        <w:t>&lt;/Titre&gt;</w:t>
      </w:r>
    </w:p>
    <w:p w:rsidR="002E2F2E" w:rsidRPr="00C23F73" w:rsidRDefault="002E2F2E">
      <w:pPr>
        <w:pStyle w:val="Cover24"/>
      </w:pPr>
      <w:r>
        <w:rPr>
          <w:rStyle w:val="HideTWBExt"/>
          <w:noProof w:val="0"/>
        </w:rPr>
        <w:t>&lt;DocRef&gt;</w:t>
      </w:r>
      <w:r>
        <w:t>(2018/2099(INI))</w:t>
      </w:r>
      <w:r>
        <w:rPr>
          <w:rStyle w:val="HideTWBExt"/>
          <w:noProof w:val="0"/>
        </w:rPr>
        <w:t>&lt;/DocRef&gt;</w:t>
      </w:r>
    </w:p>
    <w:p w:rsidR="002E2F2E" w:rsidRPr="00C23F73" w:rsidRDefault="005E6B07">
      <w:pPr>
        <w:pStyle w:val="Cover24"/>
      </w:pPr>
      <w:r>
        <w:t xml:space="preserve">Izvjestitelj za mišljenje: </w:t>
      </w:r>
      <w:r>
        <w:rPr>
          <w:rStyle w:val="HideTWBExt"/>
          <w:noProof w:val="0"/>
        </w:rPr>
        <w:t>&lt;Depute&gt;</w:t>
      </w:r>
      <w:r>
        <w:t>Paulo Rangel</w:t>
      </w:r>
      <w:r>
        <w:rPr>
          <w:rStyle w:val="HideTWBExt"/>
          <w:noProof w:val="0"/>
        </w:rPr>
        <w:t>&lt;/Depute&gt;</w:t>
      </w:r>
    </w:p>
    <w:p w:rsidR="00A72C35" w:rsidRPr="00C23F73" w:rsidRDefault="00A72C35" w:rsidP="00A72C35">
      <w:pPr>
        <w:pStyle w:val="CoverNormal"/>
      </w:pPr>
    </w:p>
    <w:p w:rsidR="000E7EBF" w:rsidRPr="00C23F73" w:rsidRDefault="002E2F2E" w:rsidP="00E856D2">
      <w:pPr>
        <w:widowControl/>
        <w:tabs>
          <w:tab w:val="center" w:pos="4677"/>
        </w:tabs>
      </w:pPr>
      <w:r>
        <w:br w:type="page"/>
      </w:r>
    </w:p>
    <w:p w:rsidR="002E2F2E" w:rsidRPr="00C23F73" w:rsidRDefault="00C23F73" w:rsidP="00E856D2">
      <w:pPr>
        <w:widowControl/>
        <w:tabs>
          <w:tab w:val="center" w:pos="4677"/>
        </w:tabs>
      </w:pPr>
      <w:r>
        <w:t>PA_NonLeg</w:t>
      </w:r>
    </w:p>
    <w:p w:rsidR="002E2F2E" w:rsidRPr="00C23F73" w:rsidRDefault="002E2F2E">
      <w:pPr>
        <w:pStyle w:val="PageHeadingNotTOC"/>
      </w:pPr>
      <w:r>
        <w:br w:type="page"/>
      </w:r>
      <w:r>
        <w:lastRenderedPageBreak/>
        <w:t>PRIJEDLOZI</w:t>
      </w:r>
    </w:p>
    <w:p w:rsidR="00817DC8" w:rsidRPr="00817DC8" w:rsidRDefault="005E6B07" w:rsidP="00817DC8">
      <w:pPr>
        <w:pStyle w:val="Normal12Tab"/>
      </w:pPr>
      <w:r>
        <w:t xml:space="preserve">Odbor za ustavna pitanja poziva Odbor za vanjske poslove da kao nadležni odbor u prijedlog rezolucije koji će usvojiti uvrsti sljedeće prijedloge: </w:t>
      </w:r>
    </w:p>
    <w:p w:rsidR="00817DC8" w:rsidRPr="00822818" w:rsidRDefault="00817DC8" w:rsidP="00817DC8">
      <w:pPr>
        <w:pStyle w:val="Hanging12"/>
      </w:pPr>
      <w:r>
        <w:t>1.</w:t>
      </w:r>
      <w:r>
        <w:tab/>
        <w:t>pozdravlja stvaranje europske intervencijske inicijative, uspostavu stalne strukturirane suradnje (PESCO) i jačanje Europskog fonda za obranu kao važne korake za jačanje sigurnosti i obrane Unije u uskoj suradnji i potpunoj komplementarnosti s NATO-om; posebno prima na znanje stvaranje europske intervencijske inicijative kao brzog odgovora na krize koje bi mogle ugroziti europsku sigurnost te istodobno ističe da ta inicijativa ne bi smjela spriječiti stvaranje obrambene unije EU-a unatoč tome što je izvan pravnog okvira EU-a,</w:t>
      </w:r>
    </w:p>
    <w:p w:rsidR="00817DC8" w:rsidRPr="00822818" w:rsidRDefault="00817DC8" w:rsidP="00817DC8">
      <w:pPr>
        <w:pStyle w:val="Hanging12"/>
      </w:pPr>
      <w:r>
        <w:t>2.</w:t>
      </w:r>
      <w:r>
        <w:tab/>
        <w:t>napominje da je više država članica nedavno pozvalo na osnivanje Vijeća sigurnosti EU-a te smatra da je taj koncept potrebno detaljnije definirati prije nego što se provede procjena njegove dodane vrijednosti;</w:t>
      </w:r>
    </w:p>
    <w:p w:rsidR="00817DC8" w:rsidRPr="00FC570F" w:rsidRDefault="00817DC8" w:rsidP="00817DC8">
      <w:pPr>
        <w:pStyle w:val="Hanging12"/>
      </w:pPr>
      <w:r>
        <w:t>3</w:t>
      </w:r>
      <w:r>
        <w:tab/>
        <w:t>poziva na potpuni razvoj borbenih skupina EU-a te je mišljenja da je zahtjev za jednoglasnost u Vijeću u suprotnosti s njihovom svrhom jer je riječ o kapacitetu za brzu vojnu reakciju kako bi se odgovorilo na nove krize i sukobe diljem svijeta;</w:t>
      </w:r>
    </w:p>
    <w:p w:rsidR="00817DC8" w:rsidRDefault="00817DC8" w:rsidP="00817DC8">
      <w:pPr>
        <w:pStyle w:val="Hanging12"/>
      </w:pPr>
      <w:r>
        <w:t>4</w:t>
      </w:r>
      <w:r>
        <w:tab/>
        <w:t>ističe da je potrebno dodatno ojačati autonomne obavještajne kapacitete EU-a, i to modernizacijom Obavještajnog i situacijskog centra Europske unije (EU INTCEN); nadalje, podržava stvaranje efikasne europske obavještajne jedinice koja bi omogućila obavještajnu suradnju, posebno kad je riječ o zajedničkoj strategiji za borbu protiv organiziranog kriminala i terorizma, te osiguranje automatske dostupnosti podataka i interoperabilnosti među obavještajnim službama i s policijom, u potpunosti uzimajući u obzir zahtjeve EU-a za zaštitu podataka;</w:t>
      </w:r>
    </w:p>
    <w:p w:rsidR="00817DC8" w:rsidRPr="00822818" w:rsidRDefault="00817DC8" w:rsidP="00817DC8">
      <w:pPr>
        <w:pStyle w:val="Hanging12"/>
      </w:pPr>
      <w:r>
        <w:t>5</w:t>
      </w:r>
      <w:r>
        <w:tab/>
        <w:t>pozdravlja otvaranje stalnog operativnog sjedišta i povećanje proračuna Europske obrambene agencije;</w:t>
      </w:r>
    </w:p>
    <w:p w:rsidR="00817DC8" w:rsidRPr="000F5CBB" w:rsidRDefault="00817DC8" w:rsidP="00817DC8">
      <w:pPr>
        <w:pStyle w:val="Hanging12"/>
      </w:pPr>
      <w:r>
        <w:t>6.</w:t>
      </w:r>
      <w:r>
        <w:tab/>
        <w:t>ponavlja svoj poziv za uspostavom formata za sastanak ministara obrane unutar Vijeća kojim bi predsjedala potpredsjednica Komisije / Visoka predstavnica; uviđa da bi daljnja europska integracija trebala značiti demokratičniji nadzor u okviru parlamentarne kontrole; stoga naglašava da je potrebno ojačati ulogu Europskog parlamenta u tom području, i to s pomoću punopravnog odbora za sigurnost i obranu, koji bi dopunjavali zajednički međuparlamentarni sastanci predstavnika nacionalnih parlamenata i zastupnika u Europskom parlamentu;</w:t>
      </w:r>
    </w:p>
    <w:p w:rsidR="00817DC8" w:rsidRDefault="00817DC8" w:rsidP="00817DC8">
      <w:pPr>
        <w:pStyle w:val="Hanging12"/>
      </w:pPr>
      <w:r>
        <w:t>7</w:t>
      </w:r>
      <w:r>
        <w:tab/>
        <w:t xml:space="preserve">naglašava da bi se u sklopu svake buduće konvencije ili međuvladine konferencije na kojoj će se pripremati izmjena Ugovora EU-a trebala razmotriti uspostava europskih snaga koje bi imale učinkovit obrambeni kapacitet za sudjelovanje u očuvanju mira, sprečavanju sukoba i jačanju međunarodne sigurnosti u skladu s Poveljom Ujedinjenih naroda i sa zadaćama iz članka 43. stavka 1. UEU-a; </w:t>
      </w:r>
    </w:p>
    <w:p w:rsidR="00817DC8" w:rsidRPr="00FC570F" w:rsidRDefault="00817DC8" w:rsidP="00817DC8">
      <w:pPr>
        <w:pStyle w:val="Hanging12"/>
      </w:pPr>
      <w:r>
        <w:t>8.</w:t>
      </w:r>
      <w:r>
        <w:tab/>
        <w:t xml:space="preserve">ističe da unutarnja i vanjska dimenzija ZSOP-a Unije mogu imati koristi od razvoja jedinstvenog obrambenog tržišta; </w:t>
      </w:r>
    </w:p>
    <w:p w:rsidR="00817DC8" w:rsidRPr="00FC570F" w:rsidRDefault="00817DC8" w:rsidP="00817DC8">
      <w:pPr>
        <w:pStyle w:val="Hanging12"/>
      </w:pPr>
      <w:r>
        <w:t>9.</w:t>
      </w:r>
      <w:r>
        <w:tab/>
        <w:t>smatra da je to tržište sastavni dio sigurnosne politike EU-a i da podrazumijeva jasne smjernice za izvoz oružja i vojne opreme koji su razvijeni uz potporu proračuna EU-a;</w:t>
      </w:r>
    </w:p>
    <w:p w:rsidR="00817DC8" w:rsidRPr="000F5CBB" w:rsidRDefault="00817DC8" w:rsidP="00817DC8">
      <w:pPr>
        <w:pStyle w:val="Hanging12"/>
      </w:pPr>
      <w:r>
        <w:t>10.</w:t>
      </w:r>
      <w:r>
        <w:tab/>
        <w:t>napominje da bi, izvan okvira ZSOP-a, stvaranje istinskog tijela EU-a za civilnu zaštitu i potrebe europske granične i obalne straže mogli pogodovati razvoju takvog tržišta kako bi se iskoristile sinergije, stvorila ekonomija razmjera i smanjio višak kapaciteta;</w:t>
      </w:r>
    </w:p>
    <w:p w:rsidR="00817DC8" w:rsidRPr="000F5CBB" w:rsidRDefault="00817DC8" w:rsidP="00817DC8">
      <w:pPr>
        <w:pStyle w:val="Hanging12"/>
      </w:pPr>
      <w:r>
        <w:t>11.</w:t>
      </w:r>
      <w:r>
        <w:tab/>
        <w:t>ističe da u globalnom sigurnosnom okružju koje se razvija Europska unija mora biti u stanju samostalno jamčiti sigurnost svojih građana, i to tako da državama članicama osigurava dostatne resurse za obranu; međutim, napominje da je i dalje od iznimne važnosti tijesna suradnja između Europske unije i njezinih najbližih saveznika, kao što su Ujedinjena Kraljevina i SAD, te naglašava da se institucionalne posljedice te suradnje ne bi smjele zanemariti.</w:t>
      </w:r>
    </w:p>
    <w:p w:rsidR="00335E04" w:rsidRDefault="00335E04" w:rsidP="00817DC8">
      <w:pPr>
        <w:pStyle w:val="PageHeadingNotTOC"/>
      </w:pPr>
      <w:r>
        <w:br w:type="page"/>
      </w:r>
      <w:bookmarkStart w:id="0" w:name="ProcPageAD"/>
      <w:r>
        <w:t>INFORMACIJE O USVAJANJU U ODBORU KOJI DAJE MIŠLJENJE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35E0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5E04" w:rsidRDefault="00335E04">
            <w:pPr>
              <w:autoSpaceDE w:val="0"/>
              <w:autoSpaceDN w:val="0"/>
              <w:adjustRightInd w:val="0"/>
              <w:rPr>
                <w:b/>
                <w:bCs/>
                <w:color w:val="000000"/>
                <w:sz w:val="20"/>
              </w:rPr>
            </w:pPr>
            <w:r>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5E04" w:rsidRDefault="00335E04">
            <w:pPr>
              <w:autoSpaceDE w:val="0"/>
              <w:autoSpaceDN w:val="0"/>
              <w:adjustRightInd w:val="0"/>
              <w:rPr>
                <w:color w:val="000000"/>
                <w:sz w:val="20"/>
              </w:rPr>
            </w:pPr>
            <w:r>
              <w:rPr>
                <w:color w:val="000000"/>
                <w:sz w:val="20"/>
              </w:rPr>
              <w:t>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5E04" w:rsidRDefault="00335E0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5E04" w:rsidRDefault="00335E0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5E04" w:rsidRDefault="00335E04">
            <w:pPr>
              <w:autoSpaceDE w:val="0"/>
              <w:autoSpaceDN w:val="0"/>
              <w:adjustRightInd w:val="0"/>
              <w:rPr>
                <w:rFonts w:ascii="sans-serif" w:hAnsi="sans-serif" w:cs="sans-serif"/>
                <w:color w:val="000000"/>
                <w:szCs w:val="24"/>
              </w:rPr>
            </w:pPr>
          </w:p>
        </w:tc>
      </w:tr>
      <w:tr w:rsidR="00335E0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5E04" w:rsidRDefault="00335E04">
            <w:pPr>
              <w:autoSpaceDE w:val="0"/>
              <w:autoSpaceDN w:val="0"/>
              <w:adjustRightInd w:val="0"/>
              <w:rPr>
                <w:b/>
                <w:bCs/>
                <w:color w:val="000000"/>
                <w:sz w:val="20"/>
              </w:rPr>
            </w:pPr>
            <w:r>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5E04" w:rsidRDefault="00335E04">
            <w:pPr>
              <w:autoSpaceDE w:val="0"/>
              <w:autoSpaceDN w:val="0"/>
              <w:adjustRightInd w:val="0"/>
              <w:rPr>
                <w:color w:val="000000"/>
                <w:sz w:val="20"/>
              </w:rPr>
            </w:pPr>
            <w:r>
              <w:rPr>
                <w:color w:val="000000"/>
                <w:sz w:val="20"/>
              </w:rPr>
              <w:t>+:</w:t>
            </w:r>
          </w:p>
          <w:p w:rsidR="00335E04" w:rsidRDefault="00335E04">
            <w:pPr>
              <w:autoSpaceDE w:val="0"/>
              <w:autoSpaceDN w:val="0"/>
              <w:adjustRightInd w:val="0"/>
              <w:rPr>
                <w:color w:val="000000"/>
                <w:sz w:val="20"/>
              </w:rPr>
            </w:pPr>
            <w:r>
              <w:rPr>
                <w:color w:val="000000"/>
                <w:sz w:val="20"/>
              </w:rPr>
              <w:t>–:</w:t>
            </w:r>
          </w:p>
          <w:p w:rsidR="00335E04" w:rsidRDefault="00335E0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5E04" w:rsidRDefault="00335E04">
            <w:pPr>
              <w:autoSpaceDE w:val="0"/>
              <w:autoSpaceDN w:val="0"/>
              <w:adjustRightInd w:val="0"/>
              <w:rPr>
                <w:color w:val="000000"/>
                <w:sz w:val="20"/>
              </w:rPr>
            </w:pPr>
            <w:r>
              <w:rPr>
                <w:color w:val="000000"/>
                <w:sz w:val="20"/>
              </w:rPr>
              <w:t>16</w:t>
            </w:r>
          </w:p>
          <w:p w:rsidR="00335E04" w:rsidRDefault="00335E04">
            <w:pPr>
              <w:autoSpaceDE w:val="0"/>
              <w:autoSpaceDN w:val="0"/>
              <w:adjustRightInd w:val="0"/>
              <w:rPr>
                <w:color w:val="000000"/>
                <w:sz w:val="20"/>
              </w:rPr>
            </w:pPr>
            <w:r>
              <w:rPr>
                <w:color w:val="000000"/>
                <w:sz w:val="20"/>
              </w:rPr>
              <w:t>4</w:t>
            </w:r>
          </w:p>
          <w:p w:rsidR="00335E04" w:rsidRDefault="00335E04">
            <w:pPr>
              <w:autoSpaceDE w:val="0"/>
              <w:autoSpaceDN w:val="0"/>
              <w:adjustRightInd w:val="0"/>
              <w:rPr>
                <w:color w:val="000000"/>
                <w:sz w:val="20"/>
              </w:rPr>
            </w:pPr>
            <w:r>
              <w:rPr>
                <w:color w:val="000000"/>
                <w:sz w:val="20"/>
              </w:rPr>
              <w:t>2</w:t>
            </w:r>
          </w:p>
        </w:tc>
      </w:tr>
      <w:tr w:rsidR="00335E0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5E04" w:rsidRDefault="00335E04">
            <w:pPr>
              <w:autoSpaceDE w:val="0"/>
              <w:autoSpaceDN w:val="0"/>
              <w:adjustRightInd w:val="0"/>
              <w:rPr>
                <w:b/>
                <w:bCs/>
                <w:color w:val="000000"/>
                <w:sz w:val="20"/>
              </w:rPr>
            </w:pPr>
            <w:r>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5E04" w:rsidRDefault="00335E04">
            <w:pPr>
              <w:autoSpaceDE w:val="0"/>
              <w:autoSpaceDN w:val="0"/>
              <w:adjustRightInd w:val="0"/>
              <w:rPr>
                <w:color w:val="000000"/>
                <w:sz w:val="20"/>
              </w:rPr>
            </w:pPr>
            <w:r>
              <w:rPr>
                <w:color w:val="000000"/>
                <w:sz w:val="20"/>
              </w:rPr>
              <w:t>Mercedes Bresso, Elmar Brok, Richard Corbett, Pascal Durand, Esteban González Pons, Danuta Maria Hübner, Diane James, Ramón Jáuregui Atondo, Alain Lamassoure, Jo Leinen, Maite Pagazaurtundúa Ruiz, Markus Pieper, Paulo Rangel, Helmut Scholz, Pedro Silva Pereira, Barbara Spinelli, Kazimierz Michał Ujazdowski</w:t>
            </w:r>
          </w:p>
        </w:tc>
      </w:tr>
      <w:tr w:rsidR="00335E0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5E04" w:rsidRDefault="00335E04">
            <w:pPr>
              <w:autoSpaceDE w:val="0"/>
              <w:autoSpaceDN w:val="0"/>
              <w:adjustRightInd w:val="0"/>
              <w:rPr>
                <w:b/>
                <w:bCs/>
                <w:color w:val="000000"/>
                <w:sz w:val="20"/>
              </w:rPr>
            </w:pPr>
            <w:r>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35E04" w:rsidRDefault="00335E04">
            <w:pPr>
              <w:autoSpaceDE w:val="0"/>
              <w:autoSpaceDN w:val="0"/>
              <w:adjustRightInd w:val="0"/>
              <w:rPr>
                <w:color w:val="000000"/>
                <w:sz w:val="20"/>
              </w:rPr>
            </w:pPr>
            <w:r>
              <w:rPr>
                <w:color w:val="000000"/>
                <w:sz w:val="20"/>
              </w:rPr>
              <w:t>Max Andersson, Enrique Guerrero Salom, Cristian Dan Preda, Jasenko Selimovic</w:t>
            </w:r>
          </w:p>
        </w:tc>
      </w:tr>
      <w:tr w:rsidR="00335E0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5E04" w:rsidRDefault="00335E04">
            <w:pPr>
              <w:autoSpaceDE w:val="0"/>
              <w:autoSpaceDN w:val="0"/>
              <w:adjustRightInd w:val="0"/>
              <w:rPr>
                <w:b/>
                <w:bCs/>
                <w:color w:val="000000"/>
                <w:sz w:val="20"/>
              </w:rPr>
            </w:pPr>
            <w:r>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35E04" w:rsidRDefault="00335E04">
            <w:pPr>
              <w:autoSpaceDE w:val="0"/>
              <w:autoSpaceDN w:val="0"/>
              <w:adjustRightInd w:val="0"/>
              <w:rPr>
                <w:color w:val="000000"/>
                <w:sz w:val="20"/>
              </w:rPr>
            </w:pPr>
            <w:r>
              <w:rPr>
                <w:color w:val="000000"/>
                <w:sz w:val="20"/>
              </w:rPr>
              <w:t>Ruža Tomašić</w:t>
            </w:r>
          </w:p>
        </w:tc>
      </w:tr>
    </w:tbl>
    <w:p w:rsidR="00335E04" w:rsidRPr="00817DC8" w:rsidRDefault="00335E04" w:rsidP="00817DC8"/>
    <w:bookmarkEnd w:id="0"/>
    <w:p w:rsidR="00817DC8" w:rsidRPr="0099178F" w:rsidRDefault="00817DC8" w:rsidP="00817DC8">
      <w:pPr>
        <w:pStyle w:val="PageHeadingNotTOC"/>
      </w:pPr>
      <w:r>
        <w:br w:type="page"/>
      </w:r>
      <w:bookmarkStart w:id="1" w:name="RollCallPageAD"/>
      <w:r>
        <w:t>KONAČNO GLASOVANJE POIMENIČNIM GLASOVANJEM</w:t>
      </w:r>
      <w:r>
        <w:br/>
        <w:t>U ODBORU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17DC8" w:rsidRPr="000B7303" w:rsidTr="00FB4E3E">
        <w:trPr>
          <w:cantSplit/>
        </w:trPr>
        <w:tc>
          <w:tcPr>
            <w:tcW w:w="1701" w:type="dxa"/>
            <w:shd w:val="pct10" w:color="000000" w:fill="FFFFFF"/>
            <w:vAlign w:val="center"/>
          </w:tcPr>
          <w:p w:rsidR="00817DC8" w:rsidRPr="000B7303" w:rsidRDefault="00817DC8" w:rsidP="00FB4E3E">
            <w:pPr>
              <w:spacing w:before="120" w:after="120" w:line="276" w:lineRule="auto"/>
              <w:jc w:val="center"/>
              <w:rPr>
                <w:rFonts w:eastAsia="Calibri"/>
                <w:b/>
                <w:sz w:val="28"/>
                <w:szCs w:val="28"/>
              </w:rPr>
            </w:pPr>
            <w:r>
              <w:rPr>
                <w:b/>
                <w:sz w:val="28"/>
                <w:szCs w:val="28"/>
              </w:rPr>
              <w:t>16</w:t>
            </w:r>
          </w:p>
        </w:tc>
        <w:tc>
          <w:tcPr>
            <w:tcW w:w="7371" w:type="dxa"/>
            <w:shd w:val="pct10" w:color="000000" w:fill="FFFFFF"/>
          </w:tcPr>
          <w:p w:rsidR="00817DC8" w:rsidRPr="000B7303" w:rsidRDefault="00817DC8" w:rsidP="00FB4E3E">
            <w:pPr>
              <w:spacing w:before="120" w:after="120" w:line="276" w:lineRule="auto"/>
              <w:jc w:val="center"/>
              <w:rPr>
                <w:rFonts w:eastAsia="Calibri"/>
                <w:b/>
                <w:sz w:val="28"/>
                <w:szCs w:val="28"/>
              </w:rPr>
            </w:pPr>
            <w:r>
              <w:rPr>
                <w:b/>
                <w:sz w:val="28"/>
                <w:szCs w:val="28"/>
              </w:rPr>
              <w:t>+</w:t>
            </w:r>
          </w:p>
        </w:tc>
      </w:tr>
      <w:tr w:rsidR="00817DC8" w:rsidRPr="000B7303" w:rsidTr="00FB4E3E">
        <w:trPr>
          <w:cantSplit/>
        </w:trPr>
        <w:tc>
          <w:tcPr>
            <w:tcW w:w="1701" w:type="dxa"/>
            <w:shd w:val="clear" w:color="auto" w:fill="FFFFFF"/>
            <w:vAlign w:val="center"/>
          </w:tcPr>
          <w:p w:rsidR="00817DC8" w:rsidRPr="000B7303" w:rsidRDefault="00817DC8" w:rsidP="00FB4E3E">
            <w:pPr>
              <w:spacing w:line="276" w:lineRule="auto"/>
              <w:rPr>
                <w:rFonts w:eastAsia="Calibri"/>
                <w:sz w:val="16"/>
                <w:szCs w:val="22"/>
              </w:rPr>
            </w:pPr>
            <w:r>
              <w:rPr>
                <w:sz w:val="16"/>
                <w:szCs w:val="22"/>
              </w:rPr>
              <w:t>ALDE</w:t>
            </w:r>
          </w:p>
        </w:tc>
        <w:tc>
          <w:tcPr>
            <w:tcW w:w="7371" w:type="dxa"/>
            <w:shd w:val="clear" w:color="auto" w:fill="FFFFFF"/>
            <w:vAlign w:val="center"/>
          </w:tcPr>
          <w:p w:rsidR="00817DC8" w:rsidRPr="000B7303" w:rsidRDefault="00817DC8" w:rsidP="00FB4E3E">
            <w:pPr>
              <w:spacing w:before="120" w:after="120" w:line="276" w:lineRule="auto"/>
              <w:rPr>
                <w:rFonts w:eastAsia="Calibri"/>
                <w:sz w:val="16"/>
                <w:szCs w:val="22"/>
              </w:rPr>
            </w:pPr>
            <w:r>
              <w:rPr>
                <w:sz w:val="16"/>
                <w:szCs w:val="22"/>
              </w:rPr>
              <w:t>Maite Pagazaurtundúa Ruiz, Jasenko Selimovic</w:t>
            </w:r>
          </w:p>
        </w:tc>
      </w:tr>
      <w:tr w:rsidR="00817DC8" w:rsidRPr="000B7303" w:rsidTr="00FB4E3E">
        <w:trPr>
          <w:cantSplit/>
        </w:trPr>
        <w:tc>
          <w:tcPr>
            <w:tcW w:w="1701" w:type="dxa"/>
            <w:shd w:val="clear" w:color="auto" w:fill="FFFFFF"/>
          </w:tcPr>
          <w:p w:rsidR="00817DC8" w:rsidRPr="000B7303" w:rsidRDefault="00817DC8" w:rsidP="00FB4E3E">
            <w:pPr>
              <w:spacing w:before="120" w:after="120" w:line="276" w:lineRule="auto"/>
              <w:rPr>
                <w:rFonts w:eastAsia="Calibri"/>
                <w:sz w:val="16"/>
                <w:szCs w:val="22"/>
              </w:rPr>
            </w:pPr>
            <w:r>
              <w:rPr>
                <w:sz w:val="16"/>
                <w:szCs w:val="22"/>
              </w:rPr>
              <w:t>NI</w:t>
            </w:r>
          </w:p>
        </w:tc>
        <w:tc>
          <w:tcPr>
            <w:tcW w:w="7371" w:type="dxa"/>
            <w:shd w:val="clear" w:color="auto" w:fill="FFFFFF"/>
          </w:tcPr>
          <w:p w:rsidR="00817DC8" w:rsidRPr="000B7303" w:rsidRDefault="00817DC8" w:rsidP="00FB4E3E">
            <w:pPr>
              <w:spacing w:before="120" w:after="120" w:line="276" w:lineRule="auto"/>
              <w:rPr>
                <w:rFonts w:eastAsia="Calibri"/>
                <w:sz w:val="16"/>
                <w:szCs w:val="22"/>
              </w:rPr>
            </w:pPr>
            <w:r>
              <w:rPr>
                <w:sz w:val="16"/>
                <w:szCs w:val="22"/>
              </w:rPr>
              <w:t>Kazimierz Michał Ujazdowski</w:t>
            </w:r>
          </w:p>
        </w:tc>
      </w:tr>
      <w:tr w:rsidR="00817DC8" w:rsidRPr="000B7303" w:rsidTr="00FB4E3E">
        <w:trPr>
          <w:cantSplit/>
        </w:trPr>
        <w:tc>
          <w:tcPr>
            <w:tcW w:w="1701" w:type="dxa"/>
            <w:shd w:val="clear" w:color="auto" w:fill="FFFFFF"/>
            <w:vAlign w:val="center"/>
          </w:tcPr>
          <w:p w:rsidR="00817DC8" w:rsidRPr="000B7303" w:rsidRDefault="00817DC8" w:rsidP="00FB4E3E">
            <w:pPr>
              <w:spacing w:line="276" w:lineRule="auto"/>
              <w:rPr>
                <w:rFonts w:eastAsia="Calibri"/>
                <w:sz w:val="16"/>
                <w:szCs w:val="22"/>
              </w:rPr>
            </w:pPr>
            <w:r>
              <w:rPr>
                <w:sz w:val="16"/>
                <w:szCs w:val="22"/>
              </w:rPr>
              <w:t>PPE</w:t>
            </w:r>
          </w:p>
        </w:tc>
        <w:tc>
          <w:tcPr>
            <w:tcW w:w="7371" w:type="dxa"/>
            <w:shd w:val="clear" w:color="auto" w:fill="FFFFFF"/>
            <w:vAlign w:val="center"/>
          </w:tcPr>
          <w:p w:rsidR="00817DC8" w:rsidRPr="000B7303" w:rsidRDefault="00817DC8" w:rsidP="00FB4E3E">
            <w:pPr>
              <w:spacing w:before="120" w:after="120" w:line="276" w:lineRule="auto"/>
              <w:rPr>
                <w:rFonts w:eastAsia="Calibri"/>
                <w:sz w:val="16"/>
                <w:szCs w:val="22"/>
              </w:rPr>
            </w:pPr>
            <w:r>
              <w:rPr>
                <w:sz w:val="16"/>
                <w:szCs w:val="22"/>
              </w:rPr>
              <w:t>Elmar Brok, Esteban González Pons, Danuta Maria Hübner, Alain Lamassoure, Markus Pieper, Cristian Dan Preda, Paulo Rangel</w:t>
            </w:r>
          </w:p>
        </w:tc>
      </w:tr>
      <w:tr w:rsidR="00817DC8" w:rsidRPr="00C25825" w:rsidTr="00FB4E3E">
        <w:trPr>
          <w:cantSplit/>
        </w:trPr>
        <w:tc>
          <w:tcPr>
            <w:tcW w:w="1701" w:type="dxa"/>
            <w:shd w:val="clear" w:color="auto" w:fill="FFFFFF"/>
            <w:vAlign w:val="center"/>
          </w:tcPr>
          <w:p w:rsidR="00817DC8" w:rsidRPr="000B7303" w:rsidRDefault="00817DC8" w:rsidP="00FB4E3E">
            <w:pPr>
              <w:spacing w:line="276" w:lineRule="auto"/>
              <w:rPr>
                <w:rFonts w:eastAsia="Calibri"/>
                <w:sz w:val="16"/>
                <w:szCs w:val="22"/>
              </w:rPr>
            </w:pPr>
            <w:r>
              <w:rPr>
                <w:sz w:val="16"/>
                <w:szCs w:val="22"/>
              </w:rPr>
              <w:t>S&amp;D</w:t>
            </w:r>
          </w:p>
        </w:tc>
        <w:tc>
          <w:tcPr>
            <w:tcW w:w="7371" w:type="dxa"/>
            <w:shd w:val="clear" w:color="auto" w:fill="FFFFFF"/>
            <w:vAlign w:val="center"/>
          </w:tcPr>
          <w:p w:rsidR="00817DC8" w:rsidRPr="000B7303" w:rsidRDefault="00817DC8" w:rsidP="00FB4E3E">
            <w:pPr>
              <w:spacing w:before="120" w:after="120" w:line="276" w:lineRule="auto"/>
              <w:rPr>
                <w:rFonts w:eastAsia="Calibri"/>
                <w:sz w:val="16"/>
                <w:szCs w:val="22"/>
              </w:rPr>
            </w:pPr>
            <w:r>
              <w:rPr>
                <w:sz w:val="16"/>
                <w:szCs w:val="22"/>
              </w:rPr>
              <w:t>Mercedes Bresso, Richard Corbett, Enrique Guerrero Salom, Ramón Jáuregui Atondo, Jo Leinen, Pedro Silva Pereira</w:t>
            </w:r>
          </w:p>
        </w:tc>
      </w:tr>
    </w:tbl>
    <w:p w:rsidR="00817DC8" w:rsidRPr="000B7303" w:rsidRDefault="00817DC8" w:rsidP="00817DC8">
      <w:pPr>
        <w:spacing w:line="276" w:lineRule="auto"/>
        <w:rPr>
          <w:rFonts w:eastAsia="Calibri"/>
          <w:sz w:val="22"/>
          <w:szCs w:val="22"/>
          <w:lang w:val="pt-PT" w:eastAsia="en-US"/>
        </w:rPr>
      </w:pPr>
    </w:p>
    <w:p w:rsidR="00817DC8" w:rsidRPr="000B7303" w:rsidRDefault="00817DC8" w:rsidP="00817DC8">
      <w:pPr>
        <w:spacing w:line="276" w:lineRule="auto"/>
        <w:rPr>
          <w:rFonts w:eastAsia="Calibri"/>
          <w:sz w:val="22"/>
          <w:szCs w:val="22"/>
          <w:lang w:val="pt-PT" w:eastAsia="en-US"/>
        </w:rPr>
      </w:pPr>
    </w:p>
    <w:p w:rsidR="00817DC8" w:rsidRPr="000B7303" w:rsidRDefault="00817DC8" w:rsidP="00817DC8">
      <w:pPr>
        <w:spacing w:line="276" w:lineRule="auto"/>
        <w:rPr>
          <w:rFonts w:eastAsia="Calibri"/>
          <w:sz w:val="22"/>
          <w:szCs w:val="22"/>
          <w:lang w:val="pt-PT"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17DC8" w:rsidRPr="000B7303" w:rsidTr="00FB4E3E">
        <w:trPr>
          <w:cantSplit/>
        </w:trPr>
        <w:tc>
          <w:tcPr>
            <w:tcW w:w="1701" w:type="dxa"/>
            <w:shd w:val="pct10" w:color="000000" w:fill="FFFFFF"/>
            <w:vAlign w:val="center"/>
          </w:tcPr>
          <w:p w:rsidR="00817DC8" w:rsidRPr="000B7303" w:rsidRDefault="00817DC8" w:rsidP="00FB4E3E">
            <w:pPr>
              <w:spacing w:before="120" w:after="120" w:line="276" w:lineRule="auto"/>
              <w:jc w:val="center"/>
              <w:rPr>
                <w:rFonts w:eastAsia="Calibri"/>
                <w:b/>
                <w:sz w:val="28"/>
                <w:szCs w:val="28"/>
              </w:rPr>
            </w:pPr>
            <w:r>
              <w:rPr>
                <w:b/>
                <w:sz w:val="28"/>
                <w:szCs w:val="28"/>
              </w:rPr>
              <w:t>4</w:t>
            </w:r>
          </w:p>
        </w:tc>
        <w:tc>
          <w:tcPr>
            <w:tcW w:w="7371" w:type="dxa"/>
            <w:shd w:val="pct10" w:color="000000" w:fill="FFFFFF"/>
          </w:tcPr>
          <w:p w:rsidR="00817DC8" w:rsidRPr="000B7303" w:rsidRDefault="00817DC8" w:rsidP="00FB4E3E">
            <w:pPr>
              <w:spacing w:before="120" w:after="120" w:line="276" w:lineRule="auto"/>
              <w:jc w:val="center"/>
              <w:rPr>
                <w:rFonts w:eastAsia="Calibri"/>
                <w:sz w:val="28"/>
                <w:szCs w:val="28"/>
              </w:rPr>
            </w:pPr>
            <w:r>
              <w:rPr>
                <w:b/>
                <w:sz w:val="28"/>
                <w:szCs w:val="28"/>
              </w:rPr>
              <w:t>-</w:t>
            </w:r>
          </w:p>
        </w:tc>
      </w:tr>
      <w:tr w:rsidR="00817DC8" w:rsidRPr="000B7303" w:rsidTr="00FB4E3E">
        <w:trPr>
          <w:cantSplit/>
        </w:trPr>
        <w:tc>
          <w:tcPr>
            <w:tcW w:w="1701" w:type="dxa"/>
            <w:shd w:val="clear" w:color="auto" w:fill="FFFFFF"/>
            <w:vAlign w:val="center"/>
          </w:tcPr>
          <w:p w:rsidR="00817DC8" w:rsidRPr="000B7303" w:rsidRDefault="00817DC8" w:rsidP="00FB4E3E">
            <w:pPr>
              <w:spacing w:line="276" w:lineRule="auto"/>
              <w:rPr>
                <w:rFonts w:eastAsia="Calibri"/>
                <w:sz w:val="16"/>
                <w:szCs w:val="22"/>
              </w:rPr>
            </w:pPr>
            <w:r>
              <w:rPr>
                <w:sz w:val="16"/>
                <w:szCs w:val="22"/>
              </w:rPr>
              <w:t>ECR</w:t>
            </w:r>
          </w:p>
        </w:tc>
        <w:tc>
          <w:tcPr>
            <w:tcW w:w="7371" w:type="dxa"/>
            <w:shd w:val="clear" w:color="auto" w:fill="FFFFFF"/>
            <w:vAlign w:val="center"/>
          </w:tcPr>
          <w:p w:rsidR="00817DC8" w:rsidRPr="000B7303" w:rsidRDefault="00817DC8" w:rsidP="00FB4E3E">
            <w:pPr>
              <w:spacing w:before="120" w:after="120" w:line="276" w:lineRule="auto"/>
              <w:rPr>
                <w:rFonts w:eastAsia="Calibri"/>
                <w:sz w:val="16"/>
                <w:szCs w:val="22"/>
              </w:rPr>
            </w:pPr>
            <w:r>
              <w:rPr>
                <w:sz w:val="16"/>
                <w:szCs w:val="22"/>
              </w:rPr>
              <w:t>Ruža Tomašić</w:t>
            </w:r>
          </w:p>
        </w:tc>
      </w:tr>
      <w:tr w:rsidR="00817DC8" w:rsidRPr="000B7303" w:rsidTr="00FB4E3E">
        <w:trPr>
          <w:cantSplit/>
        </w:trPr>
        <w:tc>
          <w:tcPr>
            <w:tcW w:w="1701" w:type="dxa"/>
            <w:shd w:val="clear" w:color="auto" w:fill="FFFFFF"/>
          </w:tcPr>
          <w:p w:rsidR="00817DC8" w:rsidRPr="000B7303" w:rsidRDefault="00817DC8" w:rsidP="00FB4E3E">
            <w:pPr>
              <w:spacing w:before="120" w:after="120" w:line="276" w:lineRule="auto"/>
              <w:rPr>
                <w:rFonts w:eastAsia="Calibri"/>
                <w:sz w:val="16"/>
                <w:szCs w:val="22"/>
              </w:rPr>
            </w:pPr>
            <w:r>
              <w:rPr>
                <w:sz w:val="16"/>
                <w:szCs w:val="22"/>
              </w:rPr>
              <w:t>GUE/NGL</w:t>
            </w:r>
          </w:p>
        </w:tc>
        <w:tc>
          <w:tcPr>
            <w:tcW w:w="7371" w:type="dxa"/>
            <w:shd w:val="clear" w:color="auto" w:fill="FFFFFF"/>
          </w:tcPr>
          <w:p w:rsidR="00817DC8" w:rsidRPr="000B7303" w:rsidRDefault="00817DC8" w:rsidP="00FB4E3E">
            <w:pPr>
              <w:spacing w:before="120" w:after="120" w:line="276" w:lineRule="auto"/>
              <w:rPr>
                <w:rFonts w:eastAsia="Calibri"/>
                <w:sz w:val="16"/>
                <w:szCs w:val="22"/>
              </w:rPr>
            </w:pPr>
            <w:r>
              <w:rPr>
                <w:sz w:val="16"/>
                <w:szCs w:val="22"/>
              </w:rPr>
              <w:t>Helmut Scholz, Barbara Spinelli</w:t>
            </w:r>
          </w:p>
        </w:tc>
      </w:tr>
      <w:tr w:rsidR="00817DC8" w:rsidRPr="000B7303" w:rsidTr="00FB4E3E">
        <w:trPr>
          <w:cantSplit/>
        </w:trPr>
        <w:tc>
          <w:tcPr>
            <w:tcW w:w="1701" w:type="dxa"/>
            <w:shd w:val="clear" w:color="auto" w:fill="FFFFFF"/>
            <w:vAlign w:val="center"/>
          </w:tcPr>
          <w:p w:rsidR="00817DC8" w:rsidRPr="000B7303" w:rsidRDefault="00817DC8" w:rsidP="00FB4E3E">
            <w:pPr>
              <w:spacing w:line="276" w:lineRule="auto"/>
              <w:rPr>
                <w:rFonts w:eastAsia="Calibri"/>
                <w:sz w:val="16"/>
                <w:szCs w:val="22"/>
              </w:rPr>
            </w:pPr>
            <w:r>
              <w:rPr>
                <w:sz w:val="16"/>
                <w:szCs w:val="22"/>
              </w:rPr>
              <w:t>NI</w:t>
            </w:r>
          </w:p>
        </w:tc>
        <w:tc>
          <w:tcPr>
            <w:tcW w:w="7371" w:type="dxa"/>
            <w:shd w:val="clear" w:color="auto" w:fill="FFFFFF"/>
            <w:vAlign w:val="center"/>
          </w:tcPr>
          <w:p w:rsidR="00817DC8" w:rsidRPr="000B7303" w:rsidRDefault="00817DC8" w:rsidP="00FB4E3E">
            <w:pPr>
              <w:spacing w:before="120" w:after="120" w:line="276" w:lineRule="auto"/>
              <w:rPr>
                <w:rFonts w:eastAsia="Calibri"/>
                <w:sz w:val="16"/>
                <w:szCs w:val="22"/>
              </w:rPr>
            </w:pPr>
            <w:r>
              <w:rPr>
                <w:sz w:val="16"/>
                <w:szCs w:val="22"/>
              </w:rPr>
              <w:t>Diane James</w:t>
            </w:r>
          </w:p>
        </w:tc>
      </w:tr>
    </w:tbl>
    <w:p w:rsidR="00817DC8" w:rsidRPr="000B7303" w:rsidRDefault="00817DC8" w:rsidP="00817DC8">
      <w:pPr>
        <w:spacing w:line="276" w:lineRule="auto"/>
        <w:rPr>
          <w:rFonts w:eastAsia="Calibri"/>
          <w:sz w:val="22"/>
          <w:szCs w:val="22"/>
          <w:lang w:val="pt-PT" w:eastAsia="en-US"/>
        </w:rPr>
      </w:pPr>
    </w:p>
    <w:p w:rsidR="00817DC8" w:rsidRPr="000B7303" w:rsidRDefault="00817DC8" w:rsidP="00817DC8">
      <w:pPr>
        <w:spacing w:line="276" w:lineRule="auto"/>
        <w:rPr>
          <w:rFonts w:eastAsia="Calibri"/>
          <w:sz w:val="22"/>
          <w:szCs w:val="22"/>
          <w:lang w:val="pt-PT" w:eastAsia="en-US"/>
        </w:rPr>
      </w:pPr>
    </w:p>
    <w:p w:rsidR="00817DC8" w:rsidRPr="000B7303" w:rsidRDefault="00817DC8" w:rsidP="00817DC8">
      <w:pPr>
        <w:spacing w:line="276" w:lineRule="auto"/>
        <w:rPr>
          <w:rFonts w:eastAsia="Calibri"/>
          <w:sz w:val="22"/>
          <w:szCs w:val="22"/>
          <w:lang w:val="pt-PT"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17DC8" w:rsidRPr="000B7303" w:rsidTr="00FB4E3E">
        <w:trPr>
          <w:cantSplit/>
        </w:trPr>
        <w:tc>
          <w:tcPr>
            <w:tcW w:w="1701" w:type="dxa"/>
            <w:shd w:val="pct10" w:color="000000" w:fill="FFFFFF"/>
            <w:vAlign w:val="center"/>
          </w:tcPr>
          <w:p w:rsidR="00817DC8" w:rsidRPr="000B7303" w:rsidRDefault="00817DC8" w:rsidP="00FB4E3E">
            <w:pPr>
              <w:spacing w:before="120" w:after="120" w:line="276" w:lineRule="auto"/>
              <w:jc w:val="center"/>
              <w:rPr>
                <w:rFonts w:eastAsia="Calibri"/>
                <w:b/>
                <w:sz w:val="28"/>
                <w:szCs w:val="28"/>
              </w:rPr>
            </w:pPr>
            <w:r>
              <w:rPr>
                <w:b/>
                <w:sz w:val="28"/>
                <w:szCs w:val="28"/>
              </w:rPr>
              <w:t>2</w:t>
            </w:r>
          </w:p>
        </w:tc>
        <w:tc>
          <w:tcPr>
            <w:tcW w:w="7371" w:type="dxa"/>
            <w:shd w:val="pct10" w:color="000000" w:fill="FFFFFF"/>
          </w:tcPr>
          <w:p w:rsidR="00817DC8" w:rsidRPr="000B7303" w:rsidRDefault="00817DC8" w:rsidP="00FB4E3E">
            <w:pPr>
              <w:spacing w:before="120" w:after="120" w:line="276" w:lineRule="auto"/>
              <w:jc w:val="center"/>
              <w:rPr>
                <w:rFonts w:eastAsia="Calibri"/>
                <w:sz w:val="28"/>
                <w:szCs w:val="28"/>
              </w:rPr>
            </w:pPr>
            <w:r>
              <w:rPr>
                <w:b/>
                <w:sz w:val="28"/>
                <w:szCs w:val="28"/>
              </w:rPr>
              <w:t>0</w:t>
            </w:r>
          </w:p>
        </w:tc>
      </w:tr>
      <w:tr w:rsidR="00817DC8" w:rsidRPr="000B7303" w:rsidTr="00FB4E3E">
        <w:trPr>
          <w:cantSplit/>
        </w:trPr>
        <w:tc>
          <w:tcPr>
            <w:tcW w:w="1701" w:type="dxa"/>
            <w:shd w:val="clear" w:color="auto" w:fill="FFFFFF"/>
            <w:vAlign w:val="center"/>
          </w:tcPr>
          <w:p w:rsidR="00817DC8" w:rsidRPr="000B7303" w:rsidRDefault="00817DC8" w:rsidP="00FB4E3E">
            <w:pPr>
              <w:spacing w:line="276" w:lineRule="auto"/>
              <w:rPr>
                <w:rFonts w:eastAsia="Calibri"/>
                <w:sz w:val="16"/>
                <w:szCs w:val="22"/>
              </w:rPr>
            </w:pPr>
            <w:r>
              <w:rPr>
                <w:sz w:val="16"/>
                <w:szCs w:val="22"/>
              </w:rPr>
              <w:t>VERTS/ALE</w:t>
            </w:r>
          </w:p>
        </w:tc>
        <w:tc>
          <w:tcPr>
            <w:tcW w:w="7371" w:type="dxa"/>
            <w:shd w:val="clear" w:color="auto" w:fill="FFFFFF"/>
            <w:vAlign w:val="center"/>
          </w:tcPr>
          <w:p w:rsidR="00817DC8" w:rsidRPr="000B7303" w:rsidRDefault="00817DC8" w:rsidP="00FB4E3E">
            <w:pPr>
              <w:spacing w:before="120" w:after="120" w:line="276" w:lineRule="auto"/>
              <w:rPr>
                <w:rFonts w:eastAsia="Calibri"/>
                <w:sz w:val="16"/>
                <w:szCs w:val="22"/>
              </w:rPr>
            </w:pPr>
            <w:r>
              <w:rPr>
                <w:sz w:val="16"/>
                <w:szCs w:val="22"/>
              </w:rPr>
              <w:t>Max Andersson, Pascal Durand</w:t>
            </w:r>
          </w:p>
        </w:tc>
      </w:tr>
    </w:tbl>
    <w:p w:rsidR="00817DC8" w:rsidRDefault="00817DC8" w:rsidP="00147FBF">
      <w:pPr>
        <w:pStyle w:val="Normal12"/>
      </w:pPr>
    </w:p>
    <w:p w:rsidR="00817DC8" w:rsidRDefault="00817DC8" w:rsidP="00B735E3">
      <w:r>
        <w:t>Korišteni znakovi:</w:t>
      </w:r>
    </w:p>
    <w:p w:rsidR="00817DC8" w:rsidRDefault="00817DC8" w:rsidP="00B735E3">
      <w:pPr>
        <w:pStyle w:val="NormalTabs"/>
      </w:pPr>
      <w:r>
        <w:t>+</w:t>
      </w:r>
      <w:r>
        <w:tab/>
        <w:t>:</w:t>
      </w:r>
      <w:r>
        <w:tab/>
        <w:t>za</w:t>
      </w:r>
    </w:p>
    <w:p w:rsidR="00817DC8" w:rsidRDefault="00817DC8" w:rsidP="00B735E3">
      <w:pPr>
        <w:pStyle w:val="NormalTabs"/>
      </w:pPr>
      <w:r>
        <w:t>-</w:t>
      </w:r>
      <w:r>
        <w:tab/>
        <w:t>:</w:t>
      </w:r>
      <w:r>
        <w:tab/>
        <w:t>protiv</w:t>
      </w:r>
    </w:p>
    <w:p w:rsidR="00817DC8" w:rsidRDefault="00817DC8" w:rsidP="00B735E3">
      <w:pPr>
        <w:pStyle w:val="NormalTabs"/>
      </w:pPr>
      <w:r>
        <w:t>0</w:t>
      </w:r>
      <w:r>
        <w:tab/>
        <w:t>:</w:t>
      </w:r>
      <w:r>
        <w:tab/>
        <w:t>suzdržani</w:t>
      </w:r>
    </w:p>
    <w:p w:rsidR="00817DC8" w:rsidRDefault="00817DC8" w:rsidP="00AD5932"/>
    <w:p w:rsidR="002E2F2E" w:rsidRPr="00817DC8" w:rsidRDefault="002E2F2E" w:rsidP="00817DC8">
      <w:bookmarkStart w:id="2" w:name="_GoBack"/>
      <w:bookmarkEnd w:id="1"/>
      <w:bookmarkEnd w:id="2"/>
    </w:p>
    <w:sectPr w:rsidR="002E2F2E" w:rsidRPr="00817DC8" w:rsidSect="00A16BE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F73" w:rsidRPr="00C23F73" w:rsidRDefault="00C23F73">
      <w:r w:rsidRPr="00C23F73">
        <w:separator/>
      </w:r>
    </w:p>
  </w:endnote>
  <w:endnote w:type="continuationSeparator" w:id="0">
    <w:p w:rsidR="00C23F73" w:rsidRPr="00C23F73" w:rsidRDefault="00C23F73">
      <w:r w:rsidRPr="00C23F7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04" w:rsidRDefault="00335E04" w:rsidP="00335E04">
    <w:pPr>
      <w:pStyle w:val="Footer"/>
    </w:pPr>
    <w:r>
      <w:t>PE</w:t>
    </w:r>
    <w:r w:rsidRPr="00335E04">
      <w:rPr>
        <w:rStyle w:val="HideTWBExt"/>
      </w:rPr>
      <w:t>&lt;NoPE&gt;</w:t>
    </w:r>
    <w:r>
      <w:t>626.722</w:t>
    </w:r>
    <w:r w:rsidRPr="00335E04">
      <w:rPr>
        <w:rStyle w:val="HideTWBExt"/>
      </w:rPr>
      <w:t>&lt;/NoPE&gt;&lt;Version&gt;</w:t>
    </w:r>
    <w:r>
      <w:t>v02-00</w:t>
    </w:r>
    <w:r w:rsidRPr="00335E04">
      <w:rPr>
        <w:rStyle w:val="HideTWBExt"/>
      </w:rPr>
      <w:t>&lt;/Version&gt;</w:t>
    </w:r>
    <w:r>
      <w:tab/>
    </w:r>
    <w:r>
      <w:fldChar w:fldCharType="begin"/>
    </w:r>
    <w:r>
      <w:instrText xml:space="preserve"> PAGE  \* MERGEFORMAT </w:instrText>
    </w:r>
    <w:r>
      <w:fldChar w:fldCharType="separate"/>
    </w:r>
    <w:r w:rsidR="004137A2">
      <w:rPr>
        <w:noProof/>
      </w:rPr>
      <w:t>6</w:t>
    </w:r>
    <w:r>
      <w:fldChar w:fldCharType="end"/>
    </w:r>
    <w:r>
      <w:t>/</w:t>
    </w:r>
    <w:r w:rsidR="00DA28EB">
      <w:rPr>
        <w:noProof/>
      </w:rPr>
      <w:fldChar w:fldCharType="begin"/>
    </w:r>
    <w:r w:rsidR="00DA28EB">
      <w:rPr>
        <w:noProof/>
      </w:rPr>
      <w:instrText xml:space="preserve"> NUMPAGES  \* MERGEFORMAT </w:instrText>
    </w:r>
    <w:r w:rsidR="00DA28EB">
      <w:rPr>
        <w:noProof/>
      </w:rPr>
      <w:fldChar w:fldCharType="separate"/>
    </w:r>
    <w:r w:rsidR="004137A2">
      <w:rPr>
        <w:noProof/>
      </w:rPr>
      <w:t>6</w:t>
    </w:r>
    <w:r w:rsidR="00DA28EB">
      <w:rPr>
        <w:noProof/>
      </w:rPr>
      <w:fldChar w:fldCharType="end"/>
    </w:r>
    <w:r>
      <w:tab/>
    </w:r>
    <w:r w:rsidRPr="00335E04">
      <w:rPr>
        <w:rStyle w:val="HideTWBExt"/>
      </w:rPr>
      <w:t>&lt;PathFdR&gt;</w:t>
    </w:r>
    <w:r>
      <w:t>AD\1163955HR.docx</w:t>
    </w:r>
    <w:r w:rsidRPr="00335E04">
      <w:rPr>
        <w:rStyle w:val="HideTWBExt"/>
      </w:rPr>
      <w:t>&lt;/PathFdR&gt;</w:t>
    </w:r>
  </w:p>
  <w:p w:rsidR="002E2F2E" w:rsidRPr="00C23F73" w:rsidRDefault="00335E04" w:rsidP="00335E04">
    <w:pPr>
      <w:pStyle w:val="Footer2"/>
    </w:pPr>
    <w:r>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04" w:rsidRDefault="00335E04" w:rsidP="00335E04">
    <w:pPr>
      <w:pStyle w:val="Footer"/>
    </w:pPr>
    <w:r w:rsidRPr="00335E04">
      <w:rPr>
        <w:rStyle w:val="HideTWBExt"/>
      </w:rPr>
      <w:t>&lt;PathFdR&gt;</w:t>
    </w:r>
    <w:r>
      <w:t>AD\1163955HR.docx</w:t>
    </w:r>
    <w:r w:rsidRPr="00335E04">
      <w:rPr>
        <w:rStyle w:val="HideTWBExt"/>
      </w:rPr>
      <w:t>&lt;/PathFdR&gt;</w:t>
    </w:r>
    <w:r>
      <w:tab/>
    </w:r>
    <w:r>
      <w:fldChar w:fldCharType="begin"/>
    </w:r>
    <w:r>
      <w:instrText xml:space="preserve"> PAGE  \* MERGEFORMAT </w:instrText>
    </w:r>
    <w:r>
      <w:fldChar w:fldCharType="separate"/>
    </w:r>
    <w:r w:rsidR="004137A2">
      <w:rPr>
        <w:noProof/>
      </w:rPr>
      <w:t>5</w:t>
    </w:r>
    <w:r>
      <w:fldChar w:fldCharType="end"/>
    </w:r>
    <w:r>
      <w:t>/</w:t>
    </w:r>
    <w:r w:rsidR="00DA28EB">
      <w:rPr>
        <w:noProof/>
      </w:rPr>
      <w:fldChar w:fldCharType="begin"/>
    </w:r>
    <w:r w:rsidR="00DA28EB">
      <w:rPr>
        <w:noProof/>
      </w:rPr>
      <w:instrText xml:space="preserve"> NUMPAGES  \* MERGEFORMAT </w:instrText>
    </w:r>
    <w:r w:rsidR="00DA28EB">
      <w:rPr>
        <w:noProof/>
      </w:rPr>
      <w:fldChar w:fldCharType="separate"/>
    </w:r>
    <w:r w:rsidR="004137A2">
      <w:rPr>
        <w:noProof/>
      </w:rPr>
      <w:t>6</w:t>
    </w:r>
    <w:r w:rsidR="00DA28EB">
      <w:rPr>
        <w:noProof/>
      </w:rPr>
      <w:fldChar w:fldCharType="end"/>
    </w:r>
    <w:r>
      <w:tab/>
      <w:t>PE</w:t>
    </w:r>
    <w:r w:rsidRPr="00335E04">
      <w:rPr>
        <w:rStyle w:val="HideTWBExt"/>
      </w:rPr>
      <w:t>&lt;NoPE&gt;</w:t>
    </w:r>
    <w:r>
      <w:t>626.722</w:t>
    </w:r>
    <w:r w:rsidRPr="00335E04">
      <w:rPr>
        <w:rStyle w:val="HideTWBExt"/>
      </w:rPr>
      <w:t>&lt;/NoPE&gt;&lt;Version&gt;</w:t>
    </w:r>
    <w:r>
      <w:t>v02-00</w:t>
    </w:r>
    <w:r w:rsidRPr="00335E04">
      <w:rPr>
        <w:rStyle w:val="HideTWBExt"/>
      </w:rPr>
      <w:t>&lt;/Version&gt;</w:t>
    </w:r>
  </w:p>
  <w:p w:rsidR="002E2F2E" w:rsidRPr="00C23F73" w:rsidRDefault="00335E04" w:rsidP="00335E04">
    <w:pPr>
      <w:pStyle w:val="Footer2"/>
    </w:pPr>
    <w:r>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04" w:rsidRDefault="00335E04" w:rsidP="00335E04">
    <w:pPr>
      <w:pStyle w:val="Footer"/>
    </w:pPr>
    <w:r w:rsidRPr="00335E04">
      <w:rPr>
        <w:rStyle w:val="HideTWBExt"/>
      </w:rPr>
      <w:t>&lt;PathFdR&gt;</w:t>
    </w:r>
    <w:r>
      <w:t>AD\1163955HR.docx</w:t>
    </w:r>
    <w:r w:rsidRPr="00335E04">
      <w:rPr>
        <w:rStyle w:val="HideTWBExt"/>
      </w:rPr>
      <w:t>&lt;/PathFdR&gt;</w:t>
    </w:r>
    <w:r>
      <w:tab/>
    </w:r>
    <w:r>
      <w:tab/>
      <w:t>PE</w:t>
    </w:r>
    <w:r w:rsidRPr="00335E04">
      <w:rPr>
        <w:rStyle w:val="HideTWBExt"/>
      </w:rPr>
      <w:t>&lt;NoPE&gt;</w:t>
    </w:r>
    <w:r>
      <w:t>626.722</w:t>
    </w:r>
    <w:r w:rsidRPr="00335E04">
      <w:rPr>
        <w:rStyle w:val="HideTWBExt"/>
      </w:rPr>
      <w:t>&lt;/NoPE&gt;&lt;Version&gt;</w:t>
    </w:r>
    <w:r>
      <w:t>v02-00</w:t>
    </w:r>
    <w:r w:rsidRPr="00335E04">
      <w:rPr>
        <w:rStyle w:val="HideTWBExt"/>
      </w:rPr>
      <w:t>&lt;/Version&gt;</w:t>
    </w:r>
  </w:p>
  <w:p w:rsidR="002E2F2E" w:rsidRPr="00C23F73" w:rsidRDefault="00335E04" w:rsidP="00335E04">
    <w:pPr>
      <w:pStyle w:val="Footer2"/>
      <w:tabs>
        <w:tab w:val="center" w:pos="4535"/>
      </w:tabs>
    </w:pPr>
    <w:r>
      <w:t>HR</w:t>
    </w:r>
    <w:r>
      <w:tab/>
    </w:r>
    <w:r w:rsidRPr="00335E04">
      <w:rPr>
        <w:b w:val="0"/>
        <w:i/>
        <w:color w:val="C0C0C0"/>
        <w:sz w:val="22"/>
      </w:rPr>
      <w:t>Ujedinjena u raznolikosti</w:t>
    </w:r>
    <w:r>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F73" w:rsidRPr="00C23F73" w:rsidRDefault="00C23F73">
      <w:r w:rsidRPr="00C23F73">
        <w:separator/>
      </w:r>
    </w:p>
  </w:footnote>
  <w:footnote w:type="continuationSeparator" w:id="0">
    <w:p w:rsidR="00C23F73" w:rsidRPr="00C23F73" w:rsidRDefault="00C23F73">
      <w:r w:rsidRPr="00C23F7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DC8" w:rsidRDefault="00817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DC8" w:rsidRDefault="00817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DC8" w:rsidRDefault="00817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JMNU" w:val="1"/>
    <w:docVar w:name="COM2KEY" w:val="AFET"/>
    <w:docVar w:name="COMKEY" w:val="AFCO"/>
    <w:docVar w:name="LastEditedSection" w:val=" 1"/>
    <w:docVar w:name="NRPROCMNU" w:val=" 1"/>
    <w:docVar w:name="PROCMNU" w:val=" 1"/>
    <w:docVar w:name="RepeatBlock-AmendHR"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7\fbidi \froman\fcharset238\fprq2 Times New Roman CE;}_x000d__x000a_{\f278\fbidi \froman\fcharset204\fprq2 Times New Roman Cyr;}{\f280\fbidi \froman\fcharset161\fprq2 Times New Roman Greek;}{\f281\fbidi \froman\fcharset162\fprq2 Times New Roman Tur;}{\f282\fbidi \froman\fcharset177\fprq2 Times New Roman (Hebrew);}_x000d__x000a_{\f283\fbidi \froman\fcharset178\fprq2 Times New Roman (Arabic);}{\f284\fbidi \froman\fcharset186\fprq2 Times New Roman Baltic;}{\f285\fbidi \froman\fcharset163\fprq2 Times New Roman (Vietnamese);}{\f617\fbidi \froman\fcharset238\fprq2 Cambria Math CE;}_x000d__x000a_{\f618\fbidi \froman\fcharset204\fprq2 Cambria Math Cyr;}{\f620\fbidi \froman\fcharset161\fprq2 Cambria Math Greek;}{\f621\fbidi \froman\fcharset162\fprq2 Cambria Math Tur;}{\f624\fbidi \froman\fcharset186\fprq2 Cambria Math Baltic;}_x000d__x000a_{\f62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5181762 HideTWBInt;}{\s16\ql \fi-567\li567\ri0\sa240\nowidctlpar\wrapdefault\aspalpha\aspnum\faauto\adjustright\rin0\lin567\itap0 \rtlch\fcs1 \af0\afs20\alang1025 \ltrch\fcs0 _x000d__x000a_\fs24\lang1050\langfe2057\cgrid\langnp1050\langfenp2057 \sbasedon0 \snext16 \spriority0 \styrsid5181762 Normal12Hanging;}}{\*\rsidtbl \rsid24658\rsid735077\rsid2892074\rsid4666813\rsid4740696\rsid5181762\rsid6641733\rsid9636012\rsid11215221\rsid12154954_x000d__x000a_\rsid14424199\rsid15204470\rsid15285974\rsid15950462\rsid16324206\rsid16662270}{\mmathPr\mmathFont34\mbrkBin0\mbrkBinSub0\msmallFrac0\mdispDef1\mlMargin0\mrMargin0\mdefJc1\mwrapIndent1440\mintLim0\mnaryLim1}{\info{\author BULJAN Jakov}_x000d__x000a_{\operator BULJAN Jakov}{\creatim\yr2018\mo10\dy8\hr7\min57}{\revtim\yr2018\mo10\dy8\hr7\min57}{\version1}{\edmins0}{\nofpages1}{\nofwords3}{\nofchars18}{\*\company European Parliament}{\nofcharsws20}{\vern95}}{\*\xmlnstbl {\xmlns1 http://schemas.microsof_x000d__x000a_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81762\utinl \fet0{\*\wgrffmtfilter 013f}\ilfomacatclnup0{\*\template C:\\Users\\jbuljan\\AppData\\Local\\Temp\\Blank1.dot}{\*\ftnsep \ltrpar \pard\plain \ltrpar_x000d__x000a_\ql \li0\ri0\widctlpar\wrapdefault\aspalpha\aspnum\faauto\adjustright\rin0\lin0\itap0 \rtlch\fcs1 \af0\afs20\alang1025 \ltrch\fcs0 \fs24\lang2057\langfe2057\cgrid\langnp2057\langfenp2057 {\rtlch\fcs1 \af0 \ltrch\fcs0 \insrsid4740696 \chftnsep _x000d__x000a_\par }}{\*\ftnsepc \ltrpar \pard\plain \ltrpar\ql \li0\ri0\widctlpar\wrapdefault\aspalpha\aspnum\faauto\adjustright\rin0\lin0\itap0 \rtlch\fcs1 \af0\afs20\alang1025 \ltrch\fcs0 \fs24\lang2057\langfe2057\cgrid\langnp2057\langfenp2057 {\rtlch\fcs1 \af0 _x000d__x000a_\ltrch\fcs0 \insrsid4740696 \chftnsepc _x000d__x000a_\par }}{\*\aftnsep \ltrpar \pard\plain \ltrpar\ql \li0\ri0\widctlpar\wrapdefault\aspalpha\aspnum\faauto\adjustright\rin0\lin0\itap0 \rtlch\fcs1 \af0\afs20\alang1025 \ltrch\fcs0 \fs24\lang2057\langfe2057\cgrid\langnp2057\langfenp2057 {\rtlch\fcs1 \af0 _x000d__x000a_\ltrch\fcs0 \insrsid4740696 \chftnsep _x000d__x000a_\par }}{\*\aftnsepc \ltrpar \pard\plain \ltrpar\ql \li0\ri0\widctlpar\wrapdefault\aspalpha\aspnum\faauto\adjustright\rin0\lin0\itap0 \rtlch\fcs1 \af0\afs20\alang1025 \ltrch\fcs0 \fs24\lang2057\langfe2057\cgrid\langnp2057\langfenp2057 {\rtlch\fcs1 \af0 _x000d__x000a_\ltrch\fcs0 \insrsid474069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5181762 \rtlch\fcs1 \af0\afs20\alang1025 \ltrch\fcs0 \fs24\lang1050\langfe2057\cgrid\langnp1050\langfenp2057 {\rtlch\fcs1 \af0 _x000d__x000a_\ltrch\fcs0 \insrsid5181762\charrsid12730227 {\*\bkmkstart restart}#}{\rtlch\fcs1 \af0 \ltrch\fcs0 \cs15\v\cf15\insrsid5181762\charrsid12730227 NRMSG}{\rtlch\fcs1 \af0 \ltrch\fcs0 \insrsid5181762\charrsid12730227 #.\tab #}{\rtlch\fcs1 \af0 \ltrch\fcs0 _x000d__x000a_\cs15\v\cf15\insrsid5181762\charrsid12730227 TEXTMSG2}{\rtlch\fcs1 \af0 \ltrch\fcs0 \insrsid5181762\charrsid12730227 #}{\rtlch\fcs1 \af0 \ltrch\fcs0 \insrsid518176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00_x000d__x000a_adc8cb5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7\fbidi \froman\fcharset238\fprq2 Times New Roman CE;}_x000d__x000a_{\f278\fbidi \froman\fcharset204\fprq2 Times New Roman Cyr;}{\f280\fbidi \froman\fcharset161\fprq2 Times New Roman Greek;}{\f281\fbidi \froman\fcharset162\fprq2 Times New Roman Tur;}{\f282\fbidi \froman\fcharset177\fprq2 Times New Roman (Hebrew);}_x000d__x000a_{\f283\fbidi \froman\fcharset178\fprq2 Times New Roman (Arabic);}{\f284\fbidi \froman\fcharset186\fprq2 Times New Roman Baltic;}{\f285\fbidi \froman\fcharset163\fprq2 Times New Roman (Vietnamese);}{\f617\fbidi \froman\fcharset238\fprq2 Cambria Math CE;}_x000d__x000a_{\f618\fbidi \froman\fcharset204\fprq2 Cambria Math Cyr;}{\f620\fbidi \froman\fcharset161\fprq2 Cambria Math Greek;}{\f621\fbidi \froman\fcharset162\fprq2 Cambria Math Tur;}{\f624\fbidi \froman\fcharset186\fprq2 Cambria Math Baltic;}_x000d__x000a_{\f62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2856720 Normal12Hanging;}}{\*\rsidtbl \rsid24658\rsid735077\rsid2892074\rsid4666813\rsid6641733\rsid6834141\rsid9636012\rsid11215221\rsid12154954\rsid12856720\rsid14424199\rsid15204470\rsid15285974\rsid15950462_x000d__x000a_\rsid16324206\rsid16662270}{\mmathPr\mmathFont34\mbrkBin0\mbrkBinSub0\msmallFrac0\mdispDef1\mlMargin0\mrMargin0\mdefJc1\mwrapIndent1440\mintLim0\mnaryLim1}{\info{\author BULJAN Jakov}{\operator BULJAN Jakov}{\creatim\yr2018\mo10\dy8\hr7\min57}_x000d__x000a_{\revtim\yr2018\mo10\dy8\hr7\min57}{\version1}{\edmins0}{\nofpages1}{\nofwords5}{\nofchars30}{\*\company European Parliament}{\nofcharsws34}{\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856720\utinl \fet0{\*\wgrffmtfilter 013f}\ilfomacatclnup0{\*\template C:\\Users\\jbuljan\\AppData\\Local\\Temp\\Blank1.dot}{\*\ftnsep \ltrpar \pard\plain \ltrpar_x000d__x000a_\ql \li0\ri0\widctlpar\wrapdefault\aspalpha\aspnum\faauto\adjustright\rin0\lin0\itap0 \rtlch\fcs1 \af0\afs20\alang1025 \ltrch\fcs0 \fs24\lang2057\langfe2057\cgrid\langnp2057\langfenp2057 {\rtlch\fcs1 \af0 \ltrch\fcs0 \insrsid6834141 \chftnsep _x000d__x000a_\par }}{\*\ftnsepc \ltrpar \pard\plain \ltrpar\ql \li0\ri0\widctlpar\wrapdefault\aspalpha\aspnum\faauto\adjustright\rin0\lin0\itap0 \rtlch\fcs1 \af0\afs20\alang1025 \ltrch\fcs0 \fs24\lang2057\langfe2057\cgrid\langnp2057\langfenp2057 {\rtlch\fcs1 \af0 _x000d__x000a_\ltrch\fcs0 \insrsid6834141 \chftnsepc _x000d__x000a_\par }}{\*\aftnsep \ltrpar \pard\plain \ltrpar\ql \li0\ri0\widctlpar\wrapdefault\aspalpha\aspnum\faauto\adjustright\rin0\lin0\itap0 \rtlch\fcs1 \af0\afs20\alang1025 \ltrch\fcs0 \fs24\lang2057\langfe2057\cgrid\langnp2057\langfenp2057 {\rtlch\fcs1 \af0 _x000d__x000a_\ltrch\fcs0 \insrsid6834141 \chftnsep _x000d__x000a_\par }}{\*\aftnsepc \ltrpar \pard\plain \ltrpar\ql \li0\ri0\widctlpar\wrapdefault\aspalpha\aspnum\faauto\adjustright\rin0\lin0\itap0 \rtlch\fcs1 \af0\afs20\alang1025 \ltrch\fcs0 \fs24\lang2057\langfe2057\cgrid\langnp2057\langfenp2057 {\rtlch\fcs1 \af0 _x000d__x000a_\ltrch\fcs0 \insrsid683414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12856720 \rtlch\fcs1 \af0\afs20\alang1025 \ltrch\fcs0 \fs24\lang2057\langfe2057\cgrid\langnp2057\langfenp2057 {\rtlch\fcs1 \af0 _x000d__x000a_\ltrch\fcs0 \insrsid12856720\charrsid1525456 {\*\bkmkstart restart}[ZSUGGESTIONNR]\tab [ZSUGGESTIONTEXT]}{\rtlch\fcs1 \af0 \ltrch\fcs0 \insrsid1285672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1a_x000d__x000a_cbc9cb5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63"/>
    <w:docVar w:name="TXTLANGUE" w:val="HR"/>
    <w:docVar w:name="TXTLANGUEMIN" w:val="hr"/>
    <w:docVar w:name="TXTNRPE" w:val="626.722"/>
    <w:docVar w:name="TXTNRPROC" w:val="2018/2099"/>
    <w:docVar w:name="TXTPEorAP" w:val="PE"/>
    <w:docVar w:name="TXTROUTE" w:val="AD\1163955HR.docx"/>
    <w:docVar w:name="TXTTITLE" w:val="Annual report on the implementation of the Common Security and Defence Policy"/>
    <w:docVar w:name="TXTVERSION" w:val="02-00"/>
  </w:docVars>
  <w:rsids>
    <w:rsidRoot w:val="00C23F73"/>
    <w:rsid w:val="000E7EBF"/>
    <w:rsid w:val="00140BE6"/>
    <w:rsid w:val="0016635E"/>
    <w:rsid w:val="001746D0"/>
    <w:rsid w:val="001D2ED9"/>
    <w:rsid w:val="00293679"/>
    <w:rsid w:val="002E2F2E"/>
    <w:rsid w:val="00325BCB"/>
    <w:rsid w:val="00335E04"/>
    <w:rsid w:val="00390EB2"/>
    <w:rsid w:val="00396A0E"/>
    <w:rsid w:val="003E2402"/>
    <w:rsid w:val="004137A2"/>
    <w:rsid w:val="004C28FB"/>
    <w:rsid w:val="005A4B76"/>
    <w:rsid w:val="005B2F11"/>
    <w:rsid w:val="005D60C6"/>
    <w:rsid w:val="005E6B07"/>
    <w:rsid w:val="00657AFB"/>
    <w:rsid w:val="006C48C8"/>
    <w:rsid w:val="00817DC8"/>
    <w:rsid w:val="008313E7"/>
    <w:rsid w:val="008A32C5"/>
    <w:rsid w:val="008F7002"/>
    <w:rsid w:val="00A16BEA"/>
    <w:rsid w:val="00A72C35"/>
    <w:rsid w:val="00A977BA"/>
    <w:rsid w:val="00B362F7"/>
    <w:rsid w:val="00BD1EAA"/>
    <w:rsid w:val="00C233A8"/>
    <w:rsid w:val="00C23F73"/>
    <w:rsid w:val="00C424E5"/>
    <w:rsid w:val="00DA28EB"/>
    <w:rsid w:val="00DF49F1"/>
    <w:rsid w:val="00E856D2"/>
    <w:rsid w:val="00F03E6E"/>
    <w:rsid w:val="00F75C3F"/>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FAA9492-2A48-493D-ACA8-90670758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Normal0">
    <w:name w:val="Normal_0"/>
    <w:next w:val="Normal"/>
    <w:qFormat/>
    <w:rsid w:val="005E6B07"/>
    <w:pPr>
      <w:widowControl w:val="0"/>
    </w:pPr>
    <w:rPr>
      <w:sz w:val="24"/>
    </w:rPr>
  </w:style>
  <w:style w:type="paragraph" w:customStyle="1" w:styleId="Normal12Hanging0">
    <w:name w:val="Normal12Hanging0"/>
    <w:qFormat/>
    <w:rsid w:val="005E6B07"/>
    <w:pPr>
      <w:widowControl w:val="0"/>
      <w:spacing w:after="240"/>
      <w:ind w:left="567" w:hanging="567"/>
    </w:pPr>
    <w:rPr>
      <w:sz w:val="24"/>
    </w:r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character" w:customStyle="1" w:styleId="Bold">
    <w:name w:val="Bold"/>
    <w:uiPriority w:val="1"/>
    <w:qFormat/>
    <w:rsid w:val="00817DC8"/>
    <w:rPr>
      <w:b/>
    </w:rPr>
  </w:style>
  <w:style w:type="paragraph" w:customStyle="1" w:styleId="Hanging12">
    <w:name w:val="Hanging12"/>
    <w:rsid w:val="00817DC8"/>
    <w:pPr>
      <w:widowControl w:val="0"/>
      <w:tabs>
        <w:tab w:val="left" w:pos="357"/>
      </w:tabs>
      <w:spacing w:after="240"/>
      <w:ind w:left="357" w:hanging="357"/>
    </w:pPr>
    <w:rPr>
      <w:color w:val="000000"/>
      <w:sz w:val="24"/>
    </w:rPr>
  </w:style>
  <w:style w:type="paragraph" w:customStyle="1" w:styleId="Normal12Tab">
    <w:name w:val="Normal12Tab"/>
    <w:rsid w:val="00817DC8"/>
    <w:pPr>
      <w:widowControl w:val="0"/>
      <w:tabs>
        <w:tab w:val="left" w:pos="567"/>
      </w:tabs>
      <w:spacing w:after="240"/>
    </w:pPr>
    <w:rPr>
      <w:sz w:val="24"/>
    </w:rPr>
  </w:style>
  <w:style w:type="paragraph" w:customStyle="1" w:styleId="NormalTabs">
    <w:name w:val="NormalTabs"/>
    <w:basedOn w:val="Normal"/>
    <w:qFormat/>
    <w:rsid w:val="00817DC8"/>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lazi\AppData\Local\Temp\PA_NonL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PA_NonLeg</Template>
  <TotalTime>0</TotalTime>
  <Pages>6</Pages>
  <Words>752</Words>
  <Characters>4528</Characters>
  <Application>Microsoft Office Word</Application>
  <DocSecurity>0</DocSecurity>
  <Lines>137</Lines>
  <Paragraphs>68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BLAŽI Sanja</dc:creator>
  <cp:keywords/>
  <dc:description/>
  <cp:lastModifiedBy>VUKSAN KNEŽEVIĆ Maja</cp:lastModifiedBy>
  <cp:revision>2</cp:revision>
  <cp:lastPrinted>2004-10-28T10:33:00Z</cp:lastPrinted>
  <dcterms:created xsi:type="dcterms:W3CDTF">2018-10-17T09:00:00Z</dcterms:created>
  <dcterms:modified xsi:type="dcterms:W3CDTF">2018-10-17T09:00:00Z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1163955</vt:lpwstr>
  </property>
  <property fmtid="{D5CDD505-2E9C-101B-9397-08002B2CF9AE}" pid="5" name="&lt;Type&gt;">
    <vt:lpwstr>AD</vt:lpwstr>
  </property>
  <property fmtid="{D5CDD505-2E9C-101B-9397-08002B2CF9AE}" pid="6" name="&lt;ModelCod&gt;">
    <vt:lpwstr>\\eiciLUXpr1\pdocep$\DocEP\DOCS\General\PA\PA_NonLeg.dot(05/07/2017 16:38:43)</vt:lpwstr>
  </property>
  <property fmtid="{D5CDD505-2E9C-101B-9397-08002B2CF9AE}" pid="7" name="&lt;ModelTra&gt;">
    <vt:lpwstr>\\eiciLUXpr1\pdocep$\DocEP\TRANSFIL\HR\PA_NonLeg.HR(12/02/2018 11:58:52)</vt:lpwstr>
  </property>
  <property fmtid="{D5CDD505-2E9C-101B-9397-08002B2CF9AE}" pid="8" name="&lt;Model&gt;">
    <vt:lpwstr>PA_NonLeg</vt:lpwstr>
  </property>
  <property fmtid="{D5CDD505-2E9C-101B-9397-08002B2CF9AE}" pid="9" name="FooterPath">
    <vt:lpwstr>AD\1163955HR.docx</vt:lpwstr>
  </property>
  <property fmtid="{D5CDD505-2E9C-101B-9397-08002B2CF9AE}" pid="10" name="PE number">
    <vt:lpwstr>626.722</vt:lpwstr>
  </property>
  <property fmtid="{D5CDD505-2E9C-101B-9397-08002B2CF9AE}" pid="11" name="Bookout">
    <vt:lpwstr>OK - 2018/10/17 11:00</vt:lpwstr>
  </property>
  <property fmtid="{D5CDD505-2E9C-101B-9397-08002B2CF9AE}" pid="12" name="SubscribeElise">
    <vt:lpwstr/>
  </property>
  <property fmtid="{D5CDD505-2E9C-101B-9397-08002B2CF9AE}" pid="13" name="SDLStudio">
    <vt:lpwstr/>
  </property>
  <property fmtid="{D5CDD505-2E9C-101B-9397-08002B2CF9AE}" pid="14" name="&lt;Extension&gt;">
    <vt:lpwstr>HR</vt:lpwstr>
  </property>
</Properties>
</file>