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5766D7" w:rsidTr="00904864">
        <w:trPr>
          <w:trHeight w:hRule="exact" w:val="1418"/>
        </w:trPr>
        <w:tc>
          <w:tcPr>
            <w:tcW w:w="6804" w:type="dxa"/>
            <w:shd w:val="clear" w:color="auto" w:fill="auto"/>
            <w:vAlign w:val="center"/>
          </w:tcPr>
          <w:p w:rsidR="00522B51" w:rsidRPr="005766D7" w:rsidRDefault="00AE5B29" w:rsidP="00904864">
            <w:pPr>
              <w:pStyle w:val="EPName"/>
              <w:rPr>
                <w:color w:val="auto"/>
              </w:rPr>
            </w:pPr>
            <w:r w:rsidRPr="005766D7">
              <w:rPr>
                <w:color w:val="auto"/>
              </w:rPr>
              <w:t>Europees Parlement</w:t>
            </w:r>
          </w:p>
          <w:p w:rsidR="00522B51" w:rsidRPr="005766D7" w:rsidRDefault="006E53E7" w:rsidP="006E53E7">
            <w:pPr>
              <w:pStyle w:val="EPTerm"/>
              <w:rPr>
                <w:rStyle w:val="HideTWBExt"/>
                <w:noProof w:val="0"/>
                <w:vanish w:val="0"/>
                <w:color w:val="auto"/>
              </w:rPr>
            </w:pPr>
            <w:r w:rsidRPr="005766D7">
              <w:t>2014-2019</w:t>
            </w:r>
          </w:p>
        </w:tc>
        <w:tc>
          <w:tcPr>
            <w:tcW w:w="2268" w:type="dxa"/>
            <w:shd w:val="clear" w:color="auto" w:fill="auto"/>
          </w:tcPr>
          <w:p w:rsidR="00522B51" w:rsidRPr="005766D7" w:rsidRDefault="000D6D2C" w:rsidP="00904864">
            <w:pPr>
              <w:pStyle w:val="EPLogo"/>
            </w:pPr>
            <w:r w:rsidRPr="005766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24D40" w:rsidRPr="005766D7" w:rsidRDefault="00F24D40" w:rsidP="00F24D40">
      <w:pPr>
        <w:pStyle w:val="LineTop"/>
      </w:pPr>
    </w:p>
    <w:p w:rsidR="00F24D40" w:rsidRPr="005766D7" w:rsidRDefault="00F24D40" w:rsidP="00F24D40">
      <w:pPr>
        <w:pStyle w:val="ZCommittee"/>
      </w:pPr>
      <w:r w:rsidRPr="005766D7">
        <w:rPr>
          <w:rStyle w:val="HideTWBExt"/>
          <w:noProof w:val="0"/>
        </w:rPr>
        <w:t>&lt;</w:t>
      </w:r>
      <w:r w:rsidRPr="005766D7">
        <w:rPr>
          <w:rStyle w:val="HideTWBExt"/>
          <w:i w:val="0"/>
          <w:noProof w:val="0"/>
        </w:rPr>
        <w:t>Commission</w:t>
      </w:r>
      <w:r w:rsidRPr="005766D7">
        <w:rPr>
          <w:rStyle w:val="HideTWBExt"/>
          <w:noProof w:val="0"/>
        </w:rPr>
        <w:t>&gt;</w:t>
      </w:r>
      <w:r w:rsidRPr="005766D7">
        <w:rPr>
          <w:rStyle w:val="HideTWBInt"/>
        </w:rPr>
        <w:t>{AGRI}</w:t>
      </w:r>
      <w:r w:rsidRPr="005766D7">
        <w:t>Commissie landbouw en plattelandsontwikkeling</w:t>
      </w:r>
      <w:r w:rsidRPr="005766D7">
        <w:rPr>
          <w:rStyle w:val="HideTWBExt"/>
          <w:noProof w:val="0"/>
        </w:rPr>
        <w:t>&lt;/</w:t>
      </w:r>
      <w:r w:rsidRPr="005766D7">
        <w:rPr>
          <w:rStyle w:val="HideTWBExt"/>
          <w:i w:val="0"/>
          <w:noProof w:val="0"/>
        </w:rPr>
        <w:t>Commission</w:t>
      </w:r>
      <w:r w:rsidRPr="005766D7">
        <w:rPr>
          <w:rStyle w:val="HideTWBExt"/>
          <w:noProof w:val="0"/>
        </w:rPr>
        <w:t>&gt;</w:t>
      </w:r>
    </w:p>
    <w:p w:rsidR="00F24D40" w:rsidRPr="005766D7" w:rsidRDefault="00F24D40" w:rsidP="00F24D40">
      <w:pPr>
        <w:pStyle w:val="LineBottom"/>
      </w:pPr>
    </w:p>
    <w:p w:rsidR="00DB56E4" w:rsidRPr="005766D7" w:rsidRDefault="00DB56E4" w:rsidP="00DB56E4">
      <w:pPr>
        <w:pStyle w:val="RefProc"/>
      </w:pPr>
      <w:r w:rsidRPr="005766D7">
        <w:rPr>
          <w:rStyle w:val="HideTWBExt"/>
          <w:b w:val="0"/>
          <w:noProof w:val="0"/>
        </w:rPr>
        <w:t>&lt;</w:t>
      </w:r>
      <w:r w:rsidRPr="005766D7">
        <w:rPr>
          <w:rStyle w:val="HideTWBExt"/>
          <w:b w:val="0"/>
          <w:caps w:val="0"/>
          <w:noProof w:val="0"/>
        </w:rPr>
        <w:t>RefProc</w:t>
      </w:r>
      <w:r w:rsidRPr="005766D7">
        <w:rPr>
          <w:rStyle w:val="HideTWBExt"/>
          <w:b w:val="0"/>
          <w:noProof w:val="0"/>
        </w:rPr>
        <w:t>&gt;</w:t>
      </w:r>
      <w:r w:rsidRPr="005766D7">
        <w:t>2018/0209</w:t>
      </w:r>
      <w:r w:rsidRPr="005766D7">
        <w:rPr>
          <w:rStyle w:val="HideTWBExt"/>
          <w:b w:val="0"/>
          <w:noProof w:val="0"/>
        </w:rPr>
        <w:t>&lt;/</w:t>
      </w:r>
      <w:r w:rsidRPr="005766D7">
        <w:rPr>
          <w:rStyle w:val="HideTWBExt"/>
          <w:b w:val="0"/>
          <w:caps w:val="0"/>
          <w:noProof w:val="0"/>
        </w:rPr>
        <w:t>RefProc</w:t>
      </w:r>
      <w:r w:rsidRPr="005766D7">
        <w:rPr>
          <w:rStyle w:val="HideTWBExt"/>
          <w:b w:val="0"/>
          <w:noProof w:val="0"/>
        </w:rPr>
        <w:t>&gt;&lt;</w:t>
      </w:r>
      <w:r w:rsidRPr="005766D7">
        <w:rPr>
          <w:rStyle w:val="HideTWBExt"/>
          <w:b w:val="0"/>
          <w:caps w:val="0"/>
          <w:noProof w:val="0"/>
        </w:rPr>
        <w:t>RefTypeProc</w:t>
      </w:r>
      <w:r w:rsidRPr="005766D7">
        <w:rPr>
          <w:rStyle w:val="HideTWBExt"/>
          <w:b w:val="0"/>
          <w:noProof w:val="0"/>
        </w:rPr>
        <w:t>&gt;</w:t>
      </w:r>
      <w:r w:rsidRPr="005766D7">
        <w:t>(COD)</w:t>
      </w:r>
      <w:r w:rsidRPr="005766D7">
        <w:rPr>
          <w:rStyle w:val="HideTWBExt"/>
          <w:b w:val="0"/>
          <w:noProof w:val="0"/>
        </w:rPr>
        <w:t>&lt;/</w:t>
      </w:r>
      <w:r w:rsidRPr="005766D7">
        <w:rPr>
          <w:rStyle w:val="HideTWBExt"/>
          <w:b w:val="0"/>
          <w:caps w:val="0"/>
          <w:noProof w:val="0"/>
        </w:rPr>
        <w:t>RefTypeProc</w:t>
      </w:r>
      <w:r w:rsidRPr="005766D7">
        <w:rPr>
          <w:rStyle w:val="HideTWBExt"/>
          <w:b w:val="0"/>
          <w:noProof w:val="0"/>
        </w:rPr>
        <w:t>&gt;</w:t>
      </w:r>
    </w:p>
    <w:p w:rsidR="00DB56E4" w:rsidRPr="005766D7" w:rsidRDefault="00DB56E4" w:rsidP="00DB56E4">
      <w:pPr>
        <w:pStyle w:val="ZDate"/>
      </w:pPr>
      <w:r w:rsidRPr="005766D7">
        <w:rPr>
          <w:rStyle w:val="HideTWBExt"/>
          <w:noProof w:val="0"/>
        </w:rPr>
        <w:t>&lt;Date&gt;</w:t>
      </w:r>
      <w:r w:rsidRPr="005766D7">
        <w:rPr>
          <w:rStyle w:val="HideTWBInt"/>
        </w:rPr>
        <w:t>{16/10/2018}</w:t>
      </w:r>
      <w:r w:rsidRPr="005766D7">
        <w:t>16.10.2018</w:t>
      </w:r>
      <w:r w:rsidRPr="005766D7">
        <w:rPr>
          <w:rStyle w:val="HideTWBExt"/>
          <w:noProof w:val="0"/>
        </w:rPr>
        <w:t>&lt;/Date&gt;</w:t>
      </w:r>
    </w:p>
    <w:p w:rsidR="00DB56E4" w:rsidRPr="005766D7" w:rsidRDefault="00DB56E4" w:rsidP="00DB56E4">
      <w:pPr>
        <w:pStyle w:val="TypeDoc"/>
      </w:pPr>
      <w:r w:rsidRPr="005766D7">
        <w:rPr>
          <w:rStyle w:val="HideTWBExt"/>
          <w:b w:val="0"/>
          <w:noProof w:val="0"/>
        </w:rPr>
        <w:t>&lt;TitreType&gt;</w:t>
      </w:r>
      <w:r w:rsidRPr="005766D7">
        <w:t>ADVIES</w:t>
      </w:r>
      <w:r w:rsidRPr="005766D7">
        <w:rPr>
          <w:rStyle w:val="HideTWBExt"/>
          <w:b w:val="0"/>
          <w:noProof w:val="0"/>
        </w:rPr>
        <w:t>&lt;/TitreType&gt;</w:t>
      </w:r>
    </w:p>
    <w:p w:rsidR="00DB56E4" w:rsidRPr="005766D7" w:rsidRDefault="00DB56E4" w:rsidP="00DB56E4">
      <w:pPr>
        <w:pStyle w:val="Cover24"/>
      </w:pPr>
      <w:r w:rsidRPr="005766D7">
        <w:rPr>
          <w:rStyle w:val="HideTWBExt"/>
          <w:noProof w:val="0"/>
        </w:rPr>
        <w:t>&lt;CommissionResp&gt;</w:t>
      </w:r>
      <w:r w:rsidRPr="005766D7">
        <w:t>van de Commissie landbouw en plattelandsontwikkeling</w:t>
      </w:r>
      <w:r w:rsidRPr="005766D7">
        <w:rPr>
          <w:rStyle w:val="HideTWBExt"/>
          <w:noProof w:val="0"/>
        </w:rPr>
        <w:t>&lt;/CommissionResp&gt;</w:t>
      </w:r>
    </w:p>
    <w:p w:rsidR="00DB56E4" w:rsidRPr="005766D7" w:rsidRDefault="00DB56E4" w:rsidP="00DB56E4">
      <w:pPr>
        <w:pStyle w:val="Cover24"/>
      </w:pPr>
      <w:r w:rsidRPr="005766D7">
        <w:rPr>
          <w:rStyle w:val="HideTWBExt"/>
          <w:noProof w:val="0"/>
        </w:rPr>
        <w:t>&lt;CommissionInt&gt;</w:t>
      </w:r>
      <w:r w:rsidRPr="005766D7">
        <w:t>aan de Commissie milieubeheer, volksgezondheid en voedselveiligheid</w:t>
      </w:r>
      <w:r w:rsidRPr="005766D7">
        <w:rPr>
          <w:rStyle w:val="HideTWBExt"/>
          <w:noProof w:val="0"/>
        </w:rPr>
        <w:t>&lt;/CommissionInt&gt;</w:t>
      </w:r>
    </w:p>
    <w:p w:rsidR="00DB56E4" w:rsidRPr="005766D7" w:rsidRDefault="00DB56E4" w:rsidP="00DB56E4">
      <w:pPr>
        <w:pStyle w:val="CoverNormal"/>
      </w:pPr>
      <w:r w:rsidRPr="005766D7">
        <w:rPr>
          <w:rStyle w:val="HideTWBExt"/>
          <w:noProof w:val="0"/>
        </w:rPr>
        <w:t>&lt;Titre&gt;</w:t>
      </w:r>
      <w:r w:rsidRPr="005766D7">
        <w:t>over het voorstel voor een verordening van het Europees Parlement en de Raad tot vaststelling van een programma voor het milieu en klimaatactie (LIFE) en tot intrekking van Verordening (EU) nr. 1293/2013</w:t>
      </w:r>
      <w:r w:rsidRPr="005766D7">
        <w:rPr>
          <w:rStyle w:val="HideTWBExt"/>
          <w:noProof w:val="0"/>
        </w:rPr>
        <w:t>&lt;/Titre&gt;</w:t>
      </w:r>
    </w:p>
    <w:p w:rsidR="00DB56E4" w:rsidRPr="005766D7" w:rsidRDefault="00DB56E4" w:rsidP="00DB56E4">
      <w:pPr>
        <w:pStyle w:val="Cover24"/>
      </w:pPr>
      <w:r w:rsidRPr="005766D7">
        <w:rPr>
          <w:rStyle w:val="HideTWBExt"/>
          <w:noProof w:val="0"/>
        </w:rPr>
        <w:t>&lt;DocRef&gt;</w:t>
      </w:r>
      <w:r w:rsidRPr="005766D7">
        <w:t xml:space="preserve">(COM(2018)0385 – </w:t>
      </w:r>
      <w:bookmarkStart w:id="0" w:name="_GoBack"/>
      <w:bookmarkEnd w:id="0"/>
      <w:r w:rsidRPr="005766D7">
        <w:t>C8</w:t>
      </w:r>
      <w:r w:rsidRPr="005766D7">
        <w:noBreakHyphen/>
        <w:t>0249/2018 – 2018/0209(COD))</w:t>
      </w:r>
      <w:r w:rsidRPr="005766D7">
        <w:rPr>
          <w:rStyle w:val="HideTWBExt"/>
          <w:noProof w:val="0"/>
        </w:rPr>
        <w:t>&lt;/DocRef&gt;</w:t>
      </w:r>
    </w:p>
    <w:p w:rsidR="00DB56E4" w:rsidRPr="005766D7" w:rsidRDefault="00AE5B29" w:rsidP="00DB56E4">
      <w:pPr>
        <w:pStyle w:val="Cover24"/>
      </w:pPr>
      <w:r w:rsidRPr="005766D7">
        <w:t xml:space="preserve">Rapporteur voor advies: </w:t>
      </w:r>
      <w:r w:rsidRPr="005766D7">
        <w:rPr>
          <w:rStyle w:val="HideTWBExt"/>
          <w:noProof w:val="0"/>
        </w:rPr>
        <w:t>&lt;Depute&gt;</w:t>
      </w:r>
      <w:r w:rsidRPr="005766D7">
        <w:t>Czesław Adam Siekierski</w:t>
      </w:r>
      <w:r w:rsidRPr="005766D7">
        <w:rPr>
          <w:rStyle w:val="HideTWBExt"/>
          <w:noProof w:val="0"/>
        </w:rPr>
        <w:t>&lt;/Depute&gt;</w:t>
      </w:r>
    </w:p>
    <w:p w:rsidR="00C22327" w:rsidRPr="005766D7" w:rsidRDefault="00DB56E4" w:rsidP="0004474F">
      <w:pPr>
        <w:tabs>
          <w:tab w:val="center" w:pos="4677"/>
        </w:tabs>
      </w:pPr>
      <w:r w:rsidRPr="005766D7">
        <w:br w:type="page"/>
      </w:r>
    </w:p>
    <w:p w:rsidR="00DB56E4" w:rsidRPr="005766D7" w:rsidRDefault="00AE5B29" w:rsidP="0004474F">
      <w:pPr>
        <w:tabs>
          <w:tab w:val="center" w:pos="4677"/>
        </w:tabs>
      </w:pPr>
      <w:r w:rsidRPr="005766D7">
        <w:t>PA_Legam</w:t>
      </w:r>
    </w:p>
    <w:p w:rsidR="00DB56E4" w:rsidRPr="005766D7" w:rsidRDefault="00DB56E4" w:rsidP="00DB56E4">
      <w:pPr>
        <w:pStyle w:val="PageHeadingNotTOC"/>
      </w:pPr>
      <w:r w:rsidRPr="005766D7">
        <w:br w:type="page"/>
      </w:r>
      <w:r w:rsidRPr="005766D7">
        <w:lastRenderedPageBreak/>
        <w:t>BEKNOPTE MOTIVERING</w:t>
      </w:r>
    </w:p>
    <w:p w:rsidR="00AD6531" w:rsidRPr="005766D7" w:rsidRDefault="00AD6531" w:rsidP="00AD6531">
      <w:r w:rsidRPr="005766D7">
        <w:t>Het programma voor het milieu en klimaatactie (LIFE), vastgesteld bij Verordening (EU) nr. 1293/2013 voor de periode 2014 tot en met 2020, is het recentste van een reeks programma's van de Unie waarmee over een periode van 25 jaar de tenuitvoerlegging van wetgeving en beleidsprioriteiten inzake milieu en klimaat wordt ondersteund. Het programma ondersteunt via de rol die het speelt als katalysator kleinschalige acties die tot doel hebben duurzame productie-, distributie- en consumptiepraktijken op te starten, uit te breiden of te bevorderen.</w:t>
      </w:r>
    </w:p>
    <w:p w:rsidR="00AD6531" w:rsidRPr="005766D7" w:rsidRDefault="00AD6531" w:rsidP="00AD6531"/>
    <w:p w:rsidR="00AD6531" w:rsidRPr="005766D7" w:rsidRDefault="00AD6531" w:rsidP="00AD6531">
      <w:r w:rsidRPr="005766D7">
        <w:t>Het doel van de voorgestelde verordening is om het programma voor het milieu en klimaatactie (LIFE) vast te stellen voor de periode vanaf 2021, en hieraan moet steun worden verleend vanwege de relevantie van het programma voor de aanpak van de behoeften en problemen op het gebied van klimaat en milieu. Het aanpakken van de klimaatverandering is een van de belangrijkste mondiale uitdagingen waarvoor een gecoördineerde en ambitieuze reactie vereist is.</w:t>
      </w:r>
    </w:p>
    <w:p w:rsidR="00AD6531" w:rsidRPr="005766D7" w:rsidRDefault="00AD6531" w:rsidP="00AD6531"/>
    <w:p w:rsidR="00AD6531" w:rsidRPr="005766D7" w:rsidRDefault="00AD6531" w:rsidP="00AD6531">
      <w:r w:rsidRPr="005766D7">
        <w:t>De voorgestelde amendementen hebben met name betrekking op de hieronder beschreven aspecten:</w:t>
      </w:r>
    </w:p>
    <w:p w:rsidR="00AD6531" w:rsidRPr="005766D7" w:rsidRDefault="00AD6531" w:rsidP="00AD6531"/>
    <w:p w:rsidR="00AD6531" w:rsidRPr="005766D7" w:rsidRDefault="00AD6531" w:rsidP="00AD6531">
      <w:r w:rsidRPr="005766D7">
        <w:t xml:space="preserve">- Verduidelijking van de algemene en specifieke doelstellingen van het programma </w:t>
      </w:r>
    </w:p>
    <w:p w:rsidR="00AD6531" w:rsidRPr="005766D7" w:rsidRDefault="00AD6531" w:rsidP="00AD6531">
      <w:pPr>
        <w:rPr>
          <w:b/>
          <w:i/>
        </w:rPr>
      </w:pPr>
    </w:p>
    <w:p w:rsidR="00AD6531" w:rsidRPr="005766D7" w:rsidRDefault="00AD6531" w:rsidP="00AD6531">
      <w:r w:rsidRPr="005766D7">
        <w:t>Het programma moet bijdragen aan de overstap op een duurzame, circulaire, hulpbronnen- en energie-efficiënte, koolstofarme en klimaatbestendige economie, onder meer door de overgang naar een zeer energie-efficiënt en op hernieuwbare energiebronnen gebaseerd energiesysteem. Hierbij moet de ondersteuning van Natura 2000 en de aanpak van de aantasting van ecosystemen worden vermeld, evenals een hoog niveau van milieubescherming en ambitieuze klimaatmaatregelen. Het programma moet betere milieu- en klimaatgovernance op alle niveaus ondersteunen, inclusief grotere betrokkenheid van het maatschappelijk middenveld, ngo's en lokale actoren. Er moeten verwijzingen naar duurzame landbouw en voedselsystemen, evenals naar landbouw, tuinbouw, bosbouw en visserij worden opgenomen bij de specifieke doelstellingen van het programma. Het programma mag bovendien geen afbreuk doen aan de doelstellingen van andere wetgeving en beleid van de Unie;</w:t>
      </w:r>
    </w:p>
    <w:p w:rsidR="00AD6531" w:rsidRPr="005766D7" w:rsidRDefault="00AD6531" w:rsidP="00AD6531"/>
    <w:p w:rsidR="00AD6531" w:rsidRPr="005766D7" w:rsidRDefault="00AD6531" w:rsidP="00AD6531">
      <w:r w:rsidRPr="005766D7">
        <w:t>- Structuur van het programma</w:t>
      </w:r>
    </w:p>
    <w:p w:rsidR="00AD6531" w:rsidRPr="005766D7" w:rsidRDefault="00AD6531" w:rsidP="00AD6531"/>
    <w:p w:rsidR="00AD6531" w:rsidRPr="005766D7" w:rsidRDefault="00AD6531" w:rsidP="00AD6531">
      <w:r w:rsidRPr="005766D7">
        <w:t>Het hoofdstuk "Milieu" moet tevens duurzame landbouwpraktijken omvatten, zoals bodem- en agrarische diversiteit, het afvangen van koolstof, bodemmonitoring, bescherming van de bodem en het water;</w:t>
      </w:r>
    </w:p>
    <w:p w:rsidR="00AD6531" w:rsidRPr="005766D7" w:rsidRDefault="00AD6531" w:rsidP="00AD6531"/>
    <w:p w:rsidR="00AD6531" w:rsidRPr="005766D7" w:rsidRDefault="00AD6531" w:rsidP="00AD6531">
      <w:r w:rsidRPr="005766D7">
        <w:t xml:space="preserve">- Toekenningscriteria </w:t>
      </w:r>
    </w:p>
    <w:p w:rsidR="00AD6531" w:rsidRPr="005766D7" w:rsidRDefault="00AD6531" w:rsidP="00AD6531"/>
    <w:p w:rsidR="00AD6531" w:rsidRPr="005766D7" w:rsidRDefault="00AD6531" w:rsidP="00AD6531">
      <w:r w:rsidRPr="005766D7">
        <w:t xml:space="preserve">De door het programma gefinancierde projecten leveren een aanzienlijke bijdrage aan de verwezenlijking van ten minste een van de doelstellingen die in artikel 3 van de voorgestelde verordening zijn vastgelegd; deze projecten druisen niet in tegen andere wetgeving en beleidsprioriteiten van de Unie, met name hulpbronnenefficiëntie en voedselproductie; Bovendien wordt er prioriteit toegekend aan projecten met het grootste potentieel voor de </w:t>
      </w:r>
      <w:r w:rsidRPr="005766D7">
        <w:lastRenderedPageBreak/>
        <w:t>betrokkenheid van en slimme samenwerking met het maatschappelijk middenveld, grondbezitters en de sectoren landbouw, tuinbouw en bosbouw. De Commissie ziet toe op geografisch evenwicht voor de door het programma gefinancierde projecten.</w:t>
      </w:r>
    </w:p>
    <w:p w:rsidR="00AD6531" w:rsidRPr="005766D7" w:rsidRDefault="00AD6531" w:rsidP="00AD6531"/>
    <w:p w:rsidR="00AD6531" w:rsidRPr="005766D7" w:rsidRDefault="00AD6531" w:rsidP="00AD6531">
      <w:r w:rsidRPr="005766D7">
        <w:t xml:space="preserve">- In aanmerking komende kosten in verband met de aankoop van grond </w:t>
      </w:r>
    </w:p>
    <w:p w:rsidR="00AD6531" w:rsidRPr="005766D7" w:rsidRDefault="00AD6531" w:rsidP="00AD6531"/>
    <w:p w:rsidR="00AD6531" w:rsidRPr="005766D7" w:rsidRDefault="00AD6531" w:rsidP="00AD6531">
      <w:r w:rsidRPr="005766D7">
        <w:t>In het verleden zijn percelen landbouwgrond gekocht of onteigend door gebruik te maken van LIFE-middelen, wat aanleiding heeft gegeven tot publieke verontwaardiging. Grondaankoop moet de enige manier zijn om tot het gewenste resultaat te komen. De voorkeur moet worden gegeven aan samenwerking met landbouwers om de instandhoudingsdoelen te halen.</w:t>
      </w:r>
    </w:p>
    <w:p w:rsidR="00AD6531" w:rsidRPr="005766D7" w:rsidRDefault="00AD6531" w:rsidP="00AD6531"/>
    <w:p w:rsidR="00AD6531" w:rsidRPr="005766D7" w:rsidRDefault="00AD6531" w:rsidP="00AD6531">
      <w:r w:rsidRPr="005766D7">
        <w:t xml:space="preserve">- Programmering, monitoring, verslaglegging en evaluatie </w:t>
      </w:r>
    </w:p>
    <w:p w:rsidR="00AD6531" w:rsidRPr="005766D7" w:rsidRDefault="00AD6531" w:rsidP="00AD6531"/>
    <w:p w:rsidR="00AD6531" w:rsidRPr="005766D7" w:rsidRDefault="00AD6531" w:rsidP="00AD6531">
      <w:r w:rsidRPr="005766D7">
        <w:t>De Commissie stelt, door middel van uitvoeringshandelingen, meerjarige werkprogramma's voor het LIFE-programma vast. Die uitvoeringshandelingen worden volgens de in een nieuw voorgesteld artikel bedoelde onderzoeksprocedure vastgesteld in overeenstemming met het huidige LIFE-programma. Het LIFE-comité moet in stand worden gehouden. De Commissie ziet erop toe dat de medewetgevers en belanghebbenden op passende wijze worden geraadpleegd bij de opstelling van werkprogramma’s.</w:t>
      </w:r>
    </w:p>
    <w:p w:rsidR="00AD6531" w:rsidRPr="005766D7" w:rsidRDefault="00AD6531" w:rsidP="00AD6531"/>
    <w:p w:rsidR="00AD6531" w:rsidRPr="005766D7" w:rsidRDefault="00AD6531" w:rsidP="00AD6531">
      <w:r w:rsidRPr="005766D7">
        <w:t>De tussentijdse evaluatie van het programma gaat zo nodig vergezeld van een voorstel tot wijziging van de voorgestelde verordening. De Commissie maakt de resultaten van de evaluaties openbaar. Bovendien omvatten de evaluaties de beoordeling van synergieën tussen het programma en andere complementaire programma's van de Unie en tussen subprogramma's.</w:t>
      </w:r>
    </w:p>
    <w:p w:rsidR="00CB29C5" w:rsidRPr="005766D7" w:rsidRDefault="00CB29C5" w:rsidP="00CB29C5"/>
    <w:p w:rsidR="00CB29C5" w:rsidRPr="005766D7" w:rsidRDefault="00CB29C5" w:rsidP="00DB56E4">
      <w:pPr>
        <w:pStyle w:val="ConclusionsPA"/>
      </w:pPr>
    </w:p>
    <w:p w:rsidR="00DB56E4" w:rsidRPr="005766D7" w:rsidRDefault="00AE5B29" w:rsidP="00DB56E4">
      <w:pPr>
        <w:pStyle w:val="ConclusionsPA"/>
      </w:pPr>
      <w:r w:rsidRPr="005766D7">
        <w:t>AMENDEMENTEN</w:t>
      </w:r>
    </w:p>
    <w:p w:rsidR="00DB56E4" w:rsidRPr="005766D7" w:rsidRDefault="00AE5B29" w:rsidP="001E3AC4">
      <w:pPr>
        <w:pStyle w:val="Normal12"/>
      </w:pPr>
      <w:bookmarkStart w:id="1" w:name="IntroA"/>
      <w:r w:rsidRPr="005766D7">
        <w:t>De Commissie landbouw en plattelandsontwikkeling verzoekt de bevoegde Commissie milieubeheer, volksgezondheid en voedselveiligheid onderstaande amendementen in aanmerking te nemen:</w:t>
      </w:r>
    </w:p>
    <w:p w:rsidR="00516FB4" w:rsidRPr="005766D7" w:rsidRDefault="00C6730D" w:rsidP="00516FB4">
      <w:bookmarkStart w:id="2" w:name="PasteOldAMStart"/>
      <w:bookmarkStart w:id="3" w:name="PasteOldAMEnd"/>
      <w:bookmarkEnd w:id="2"/>
      <w:bookmarkEnd w:id="3"/>
      <w:r w:rsidRPr="005766D7">
        <w:rPr>
          <w:rStyle w:val="HideTWBExt"/>
          <w:noProof w:val="0"/>
        </w:rPr>
        <w:t>&lt;RepeatBlock-Amend&gt;</w:t>
      </w:r>
      <w:bookmarkStart w:id="4" w:name="AM0"/>
      <w:bookmarkEnd w:id="4"/>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1</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(1)</w:t>
            </w:r>
            <w:r w:rsidRPr="005766D7">
              <w:tab/>
              <w:t>Door het beleid en de wetgeving van de Unie inzake milieu, klimaat en, waar relevant, de overgang naar schone energie is de toestand van het milieu aanzienlijk verbeterd. Er blijven evenwel grote milieu- en klimaatuitdagingen bestaan, die, indien er niets wordt ondernomen, aanzienlijke negatieve gevolgen voor de Unie en het welzijn van haar burgers zullen hebben.</w:t>
            </w:r>
          </w:p>
        </w:tc>
        <w:tc>
          <w:tcPr>
            <w:tcW w:w="4876" w:type="dxa"/>
          </w:tcPr>
          <w:p w:rsidR="00516FB4" w:rsidRPr="005766D7" w:rsidRDefault="00516FB4" w:rsidP="00C91789">
            <w:pPr>
              <w:pStyle w:val="Normal6"/>
            </w:pPr>
            <w:r w:rsidRPr="005766D7">
              <w:t>(1)</w:t>
            </w:r>
            <w:r w:rsidRPr="005766D7">
              <w:tab/>
              <w:t xml:space="preserve">Door het beleid en de wetgeving van de Unie inzake milieu, klimaat en, waar relevant, de overgang naar schone energie is de toestand van het milieu aanzienlijk verbeterd. </w:t>
            </w:r>
            <w:r w:rsidRPr="005766D7">
              <w:rPr>
                <w:b/>
                <w:i/>
              </w:rPr>
              <w:t>De opname van milieumaatregelen in andere beleidsterreinen, zoals landbouw en energie, leidt tot aanzienlijke verbeteringen in de milieutoestand.</w:t>
            </w:r>
            <w:r w:rsidRPr="005766D7">
              <w:t xml:space="preserve"> Er blijven evenwel grote milieu- en klimaatuitdagingen bestaan, die, indien er niets wordt ondernomen, aanzienlijke negatieve gevolgen voor de Unie en het welzijn van haar burgers zullen hebben.</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3</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(3)</w:t>
            </w:r>
            <w:r w:rsidRPr="005766D7">
              <w:tab/>
            </w:r>
            <w:r w:rsidRPr="005766D7">
              <w:rPr>
                <w:b/>
                <w:i/>
              </w:rPr>
              <w:t>In</w:t>
            </w:r>
            <w:r w:rsidRPr="005766D7">
              <w:t xml:space="preserve"> het streven naar verwezenlijking van de doelstellingen en streefdoelen van de Unie zoals vastgelegd in wetgeving, beleid, plannen en internationale verplichtingen inzake milieu, klimaat en, waar relevant, schone energie</w:t>
            </w:r>
            <w:r w:rsidRPr="005766D7">
              <w:rPr>
                <w:b/>
                <w:i/>
              </w:rPr>
              <w:t>,</w:t>
            </w:r>
            <w:r w:rsidRPr="005766D7">
              <w:t xml:space="preserve"> moet het programma bijdragen aan de overgang naar een schone, circulaire, energie-efficiënte, koolstofarme en klimaatbestendige economie, aan de bescherming en verbetering van de kwaliteit van het milieu en aan het tot staan brengen en ombuigen van biodiversiteitsverlies, hetzij door rechtstreekse interventies, hetzij door ondersteuning van de integratie van die doelstellingen in ander beleid.</w:t>
            </w:r>
          </w:p>
        </w:tc>
        <w:tc>
          <w:tcPr>
            <w:tcW w:w="4876" w:type="dxa"/>
          </w:tcPr>
          <w:p w:rsidR="00516FB4" w:rsidRPr="005766D7" w:rsidRDefault="00516FB4" w:rsidP="00C91789">
            <w:pPr>
              <w:pStyle w:val="Normal6"/>
            </w:pPr>
            <w:r w:rsidRPr="005766D7">
              <w:t>(3)</w:t>
            </w:r>
            <w:r w:rsidRPr="005766D7">
              <w:tab/>
              <w:t xml:space="preserve">Het streven naar verwezenlijking van de doelstellingen en streefdoelen van de Unie zoals vastgelegd in wetgeving, beleid, plannen en internationale verplichtingen inzake milieu, klimaat en, waar relevant, schone energie moet </w:t>
            </w:r>
            <w:r w:rsidRPr="005766D7">
              <w:rPr>
                <w:b/>
                <w:i/>
              </w:rPr>
              <w:t>worden geëerbiedigd.</w:t>
            </w:r>
            <w:r w:rsidRPr="005766D7">
              <w:t xml:space="preserve"> Het programma </w:t>
            </w:r>
            <w:r w:rsidRPr="005766D7">
              <w:rPr>
                <w:b/>
                <w:i/>
              </w:rPr>
              <w:t>moet</w:t>
            </w:r>
            <w:r w:rsidRPr="005766D7">
              <w:t xml:space="preserve"> bijdragen aan de overgang naar een schone, circulaire, energie-efficiënte, </w:t>
            </w:r>
            <w:r w:rsidRPr="005766D7">
              <w:rPr>
                <w:b/>
                <w:i/>
              </w:rPr>
              <w:t>technologisch geavanceerde,</w:t>
            </w:r>
            <w:r w:rsidRPr="005766D7">
              <w:t>koolstofarme en klimaatbestendige economie, aan de bescherming en verbetering van de kwaliteit van het milieu en aan het tot staan brengen en ombuigen van biodiversiteitsverlies, hetzij door rechtstreekse interventies, hetzij door ondersteuning van de integratie van die doelstellingen in ander beleid.</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3</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5</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(5)</w:t>
            </w:r>
            <w:r w:rsidRPr="005766D7">
              <w:tab/>
              <w:t>Het programma moet bijdragen aan duurzame ontwikkeling en aan de verwezenlijking van de doelstellingen en streefdoelen van wetgeving, strategieën, plannen en internationale verplichtingen van de Unie inzake milieu, klimaat en, waar relevant, schone energie, met name van de Agenda 2030 voor duurzame ontwikkeling van de Verenigde Naties</w:t>
            </w:r>
            <w:r w:rsidRPr="005766D7">
              <w:rPr>
                <w:rStyle w:val="Sup"/>
                <w:color w:val="auto"/>
              </w:rPr>
              <w:t>8</w:t>
            </w:r>
            <w:r w:rsidRPr="005766D7">
              <w:t>, het Verdrag inzake biologische diversiteit</w:t>
            </w:r>
            <w:r w:rsidRPr="005766D7">
              <w:rPr>
                <w:rStyle w:val="Sup"/>
                <w:color w:val="auto"/>
              </w:rPr>
              <w:t>9</w:t>
            </w:r>
            <w:r w:rsidRPr="005766D7">
              <w:t xml:space="preserve"> en de Overeenkomst van Parijs, die is aangenomen in het kader van het Raamverdrag van de Verenigde Naties inzake klimaatverandering</w:t>
            </w:r>
            <w:r w:rsidRPr="005766D7">
              <w:rPr>
                <w:rStyle w:val="Sup"/>
                <w:color w:val="auto"/>
              </w:rPr>
              <w:t>10</w:t>
            </w:r>
            <w:r w:rsidRPr="005766D7">
              <w:t xml:space="preserve"> ("Overeenkomst van Parijs inzake klimaatverandering").</w:t>
            </w:r>
          </w:p>
        </w:tc>
        <w:tc>
          <w:tcPr>
            <w:tcW w:w="4876" w:type="dxa"/>
          </w:tcPr>
          <w:p w:rsidR="00516FB4" w:rsidRPr="005766D7" w:rsidRDefault="00516FB4" w:rsidP="00C91789">
            <w:pPr>
              <w:pStyle w:val="Normal6"/>
            </w:pPr>
            <w:r w:rsidRPr="005766D7">
              <w:t>(5)</w:t>
            </w:r>
            <w:r w:rsidRPr="005766D7">
              <w:tab/>
              <w:t xml:space="preserve">Het programma moet bijdragen aan duurzame ontwikkeling en aan de verwezenlijking van de doelstellingen en streefdoelen van wetgeving, strategieën, plannen en internationale verplichtingen van de Unie inzake milieu, klimaat en, waar relevant, schone energie, met name van de </w:t>
            </w:r>
            <w:r w:rsidRPr="005766D7">
              <w:rPr>
                <w:b/>
                <w:i/>
              </w:rPr>
              <w:t>belangrijke</w:t>
            </w:r>
            <w:r w:rsidRPr="005766D7">
              <w:t xml:space="preserve"> Agenda 2030 voor duurzame ontwikkeling van de Verenigde Naties</w:t>
            </w:r>
            <w:r w:rsidRPr="005766D7">
              <w:rPr>
                <w:rStyle w:val="Sup"/>
                <w:color w:val="auto"/>
              </w:rPr>
              <w:t>8</w:t>
            </w:r>
            <w:r w:rsidRPr="005766D7">
              <w:t>, het Verdrag inzake biologische diversiteit</w:t>
            </w:r>
            <w:r w:rsidRPr="005766D7">
              <w:rPr>
                <w:rStyle w:val="Sup"/>
                <w:color w:val="auto"/>
              </w:rPr>
              <w:t>9</w:t>
            </w:r>
            <w:r w:rsidRPr="005766D7">
              <w:t xml:space="preserve"> en de Overeenkomst van Parijs, die is aangenomen in het kader van het Raamverdrag van de Verenigde Naties inzake klimaatverandering</w:t>
            </w:r>
            <w:r w:rsidRPr="005766D7">
              <w:rPr>
                <w:rStyle w:val="Sup"/>
                <w:color w:val="auto"/>
              </w:rPr>
              <w:t>10</w:t>
            </w:r>
            <w:r w:rsidRPr="005766D7">
              <w:t xml:space="preserve"> ("Overeenkomst van Parijs inzake klimaatverandering").</w:t>
            </w:r>
          </w:p>
        </w:tc>
      </w:tr>
      <w:tr w:rsidR="00516FB4" w:rsidRPr="005766D7" w:rsidTr="00C91789">
        <w:trPr>
          <w:jc w:val="center"/>
        </w:trPr>
        <w:tc>
          <w:tcPr>
            <w:tcW w:w="4876" w:type="dxa"/>
          </w:tcPr>
          <w:p w:rsidR="00516FB4" w:rsidRPr="005766D7" w:rsidRDefault="00516FB4" w:rsidP="00C91789">
            <w:pPr>
              <w:pStyle w:val="Normal6"/>
            </w:pPr>
            <w:r w:rsidRPr="005766D7">
              <w:t>_________________</w:t>
            </w:r>
          </w:p>
        </w:tc>
        <w:tc>
          <w:tcPr>
            <w:tcW w:w="4876" w:type="dxa"/>
          </w:tcPr>
          <w:p w:rsidR="00516FB4" w:rsidRPr="005766D7" w:rsidRDefault="00516FB4" w:rsidP="00C91789">
            <w:pPr>
              <w:pStyle w:val="Normal6"/>
            </w:pPr>
            <w:r w:rsidRPr="005766D7">
              <w:t>_________________</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8</w:t>
            </w:r>
            <w:r w:rsidRPr="005766D7">
              <w:t xml:space="preserve"> Agenda 2030, resolutie goedgekeurd door de Algemene Vergadering van de VN, 25 september 2015.</w:t>
            </w:r>
          </w:p>
        </w:tc>
        <w:tc>
          <w:tcPr>
            <w:tcW w:w="4876" w:type="dxa"/>
          </w:tcPr>
          <w:p w:rsidR="00516FB4" w:rsidRPr="005766D7" w:rsidRDefault="00516FB4" w:rsidP="00C91789">
            <w:pPr>
              <w:pStyle w:val="Normal6"/>
            </w:pPr>
            <w:r w:rsidRPr="005766D7">
              <w:rPr>
                <w:rStyle w:val="Sup"/>
                <w:color w:val="auto"/>
              </w:rPr>
              <w:t>8</w:t>
            </w:r>
            <w:r w:rsidRPr="005766D7">
              <w:t xml:space="preserve"> Agenda 2030, resolutie goedgekeurd door de Algemene Vergadering van de VN, 25 september 2015.</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9</w:t>
            </w:r>
            <w:r w:rsidRPr="005766D7">
              <w:t xml:space="preserve"> 93/626/EEG: Besluit van de Raad van 25 oktober 1993 betreffende de sluiting van het Verdrag inzake biologische diversiteit (PB L 309 van 13.12.1993, blz. 1).</w:t>
            </w:r>
          </w:p>
        </w:tc>
        <w:tc>
          <w:tcPr>
            <w:tcW w:w="4876" w:type="dxa"/>
          </w:tcPr>
          <w:p w:rsidR="00516FB4" w:rsidRPr="005766D7" w:rsidRDefault="00516FB4" w:rsidP="00C91789">
            <w:pPr>
              <w:pStyle w:val="Normal6"/>
            </w:pPr>
            <w:r w:rsidRPr="005766D7">
              <w:rPr>
                <w:rStyle w:val="Sup"/>
                <w:color w:val="auto"/>
              </w:rPr>
              <w:t>9</w:t>
            </w:r>
            <w:r w:rsidRPr="005766D7">
              <w:t xml:space="preserve"> 93/626/EEG: Besluit van de Raad van 25 oktober 1993 betreffende de sluiting van het Verdrag inzake biologische diversiteit (PB L 309 van 13.12.1993, blz. 1).</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10</w:t>
            </w:r>
            <w:r w:rsidRPr="005766D7">
              <w:t xml:space="preserve"> PB L 282 van 19.10.2016, blz. 4.</w:t>
            </w:r>
          </w:p>
        </w:tc>
        <w:tc>
          <w:tcPr>
            <w:tcW w:w="4876" w:type="dxa"/>
          </w:tcPr>
          <w:p w:rsidR="00516FB4" w:rsidRPr="005766D7" w:rsidRDefault="00516FB4" w:rsidP="00C91789">
            <w:pPr>
              <w:pStyle w:val="Normal6"/>
            </w:pPr>
            <w:r w:rsidRPr="005766D7">
              <w:rPr>
                <w:rStyle w:val="Sup"/>
                <w:color w:val="auto"/>
              </w:rPr>
              <w:t>10</w:t>
            </w:r>
            <w:r w:rsidRPr="005766D7">
              <w:t xml:space="preserve"> PB L 282 van 19.10.2016, blz. 4.</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4</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6</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(6)</w:t>
            </w:r>
            <w:r w:rsidRPr="005766D7">
              <w:tab/>
              <w:t>Om de overkoepelende doelstellingen te verwezenlijken, is de tenuitvoerlegging van het pakket circulaire economie</w:t>
            </w:r>
            <w:r w:rsidRPr="005766D7">
              <w:rPr>
                <w:rStyle w:val="Sup"/>
                <w:color w:val="auto"/>
              </w:rPr>
              <w:t>11</w:t>
            </w:r>
            <w:r w:rsidRPr="005766D7">
              <w:t>, van het beleidskader voor klimaat en energie 2030</w:t>
            </w:r>
            <w:r w:rsidRPr="005766D7">
              <w:rPr>
                <w:rStyle w:val="Sup"/>
                <w:color w:val="auto"/>
              </w:rPr>
              <w:t>12</w:t>
            </w:r>
            <w:r w:rsidRPr="005766D7">
              <w:t xml:space="preserve">, </w:t>
            </w:r>
            <w:r w:rsidRPr="005766D7">
              <w:rPr>
                <w:rStyle w:val="Sup"/>
                <w:color w:val="auto"/>
              </w:rPr>
              <w:t>13</w:t>
            </w:r>
            <w:r w:rsidRPr="005766D7">
              <w:t xml:space="preserve">, </w:t>
            </w:r>
            <w:r w:rsidRPr="005766D7">
              <w:rPr>
                <w:rStyle w:val="Sup"/>
                <w:color w:val="auto"/>
              </w:rPr>
              <w:t>14</w:t>
            </w:r>
            <w:r w:rsidRPr="005766D7">
              <w:t>, van de natuurwetgeving van de Unie</w:t>
            </w:r>
            <w:r w:rsidRPr="005766D7">
              <w:rPr>
                <w:rStyle w:val="Sup"/>
                <w:color w:val="auto"/>
              </w:rPr>
              <w:t>15</w:t>
            </w:r>
            <w:r w:rsidRPr="005766D7">
              <w:t xml:space="preserve">, en van aanverwant beleid </w:t>
            </w:r>
            <w:r w:rsidRPr="005766D7">
              <w:rPr>
                <w:rStyle w:val="Sup"/>
                <w:color w:val="auto"/>
              </w:rPr>
              <w:t>16</w:t>
            </w:r>
            <w:r w:rsidRPr="005766D7">
              <w:t xml:space="preserve">, </w:t>
            </w:r>
            <w:r w:rsidRPr="005766D7">
              <w:rPr>
                <w:rStyle w:val="Sup"/>
                <w:color w:val="auto"/>
              </w:rPr>
              <w:t>17</w:t>
            </w:r>
            <w:r w:rsidRPr="005766D7">
              <w:t xml:space="preserve">, </w:t>
            </w:r>
            <w:r w:rsidRPr="005766D7">
              <w:rPr>
                <w:rStyle w:val="Sup"/>
                <w:color w:val="auto"/>
              </w:rPr>
              <w:t>18</w:t>
            </w:r>
            <w:r w:rsidRPr="005766D7">
              <w:t xml:space="preserve">, </w:t>
            </w:r>
            <w:r w:rsidRPr="005766D7">
              <w:rPr>
                <w:rStyle w:val="Sup"/>
                <w:color w:val="auto"/>
              </w:rPr>
              <w:t>19</w:t>
            </w:r>
            <w:r w:rsidRPr="005766D7">
              <w:t xml:space="preserve">, </w:t>
            </w:r>
            <w:r w:rsidRPr="005766D7">
              <w:rPr>
                <w:rStyle w:val="Sup"/>
                <w:color w:val="auto"/>
              </w:rPr>
              <w:t>20</w:t>
            </w:r>
            <w:r w:rsidRPr="005766D7">
              <w:t>, van bijzonder belang.</w:t>
            </w:r>
          </w:p>
        </w:tc>
        <w:tc>
          <w:tcPr>
            <w:tcW w:w="4876" w:type="dxa"/>
          </w:tcPr>
          <w:p w:rsidR="00516FB4" w:rsidRPr="005766D7" w:rsidRDefault="00516FB4" w:rsidP="00C91789">
            <w:pPr>
              <w:pStyle w:val="Normal6"/>
            </w:pPr>
            <w:r w:rsidRPr="005766D7">
              <w:t>(6)</w:t>
            </w:r>
            <w:r w:rsidRPr="005766D7">
              <w:tab/>
              <w:t>Om de overkoepelende doelstellingen te verwezenlijken, is de tenuitvoerlegging van het pakket circulaire economie</w:t>
            </w:r>
            <w:r w:rsidRPr="005766D7">
              <w:rPr>
                <w:rStyle w:val="Sup"/>
                <w:color w:val="auto"/>
              </w:rPr>
              <w:t>11</w:t>
            </w:r>
            <w:r w:rsidRPr="005766D7">
              <w:t>, van het beleidskader voor klimaat en energie 2030</w:t>
            </w:r>
            <w:r w:rsidRPr="005766D7">
              <w:rPr>
                <w:rStyle w:val="Sup"/>
                <w:color w:val="auto"/>
              </w:rPr>
              <w:t>12</w:t>
            </w:r>
            <w:r w:rsidRPr="005766D7">
              <w:t xml:space="preserve">, </w:t>
            </w:r>
            <w:r w:rsidRPr="005766D7">
              <w:rPr>
                <w:rStyle w:val="Sup"/>
                <w:color w:val="auto"/>
              </w:rPr>
              <w:t>13</w:t>
            </w:r>
            <w:r w:rsidRPr="005766D7">
              <w:t xml:space="preserve">, </w:t>
            </w:r>
            <w:r w:rsidRPr="005766D7">
              <w:rPr>
                <w:rStyle w:val="Sup"/>
                <w:color w:val="auto"/>
              </w:rPr>
              <w:t>14</w:t>
            </w:r>
            <w:r w:rsidRPr="005766D7">
              <w:t>, van de natuurwetgeving van de Unie</w:t>
            </w:r>
            <w:r w:rsidRPr="005766D7">
              <w:rPr>
                <w:rStyle w:val="Sup"/>
                <w:color w:val="auto"/>
              </w:rPr>
              <w:t>15</w:t>
            </w:r>
            <w:r w:rsidRPr="005766D7">
              <w:t xml:space="preserve">, en van aanverwant beleid </w:t>
            </w:r>
            <w:r w:rsidRPr="005766D7">
              <w:rPr>
                <w:rStyle w:val="Sup"/>
                <w:color w:val="auto"/>
              </w:rPr>
              <w:t>16</w:t>
            </w:r>
            <w:r w:rsidRPr="005766D7">
              <w:t xml:space="preserve">, </w:t>
            </w:r>
            <w:r w:rsidRPr="005766D7">
              <w:rPr>
                <w:rStyle w:val="Sup"/>
                <w:color w:val="auto"/>
              </w:rPr>
              <w:t>17</w:t>
            </w:r>
            <w:r w:rsidRPr="005766D7">
              <w:t xml:space="preserve">, </w:t>
            </w:r>
            <w:r w:rsidRPr="005766D7">
              <w:rPr>
                <w:rStyle w:val="Sup"/>
                <w:color w:val="auto"/>
              </w:rPr>
              <w:t>18</w:t>
            </w:r>
            <w:r w:rsidRPr="005766D7">
              <w:t xml:space="preserve">, </w:t>
            </w:r>
            <w:r w:rsidRPr="005766D7">
              <w:rPr>
                <w:rStyle w:val="Sup"/>
                <w:color w:val="auto"/>
              </w:rPr>
              <w:t>19</w:t>
            </w:r>
            <w:r w:rsidRPr="005766D7">
              <w:t xml:space="preserve">, </w:t>
            </w:r>
            <w:r w:rsidRPr="005766D7">
              <w:rPr>
                <w:rStyle w:val="Sup"/>
                <w:color w:val="auto"/>
              </w:rPr>
              <w:t>20</w:t>
            </w:r>
            <w:r w:rsidRPr="005766D7">
              <w:t xml:space="preserve">, </w:t>
            </w:r>
            <w:r w:rsidRPr="005766D7">
              <w:rPr>
                <w:b/>
                <w:i/>
              </w:rPr>
              <w:t>waaronder de strategie voor de bio-economie</w:t>
            </w:r>
            <w:r w:rsidRPr="005766D7">
              <w:rPr>
                <w:rStyle w:val="SupBoldItalic"/>
                <w:color w:val="auto"/>
              </w:rPr>
              <w:t>20 bis</w:t>
            </w:r>
            <w:r w:rsidRPr="005766D7">
              <w:t>, van bijzonder belang.</w:t>
            </w:r>
          </w:p>
        </w:tc>
      </w:tr>
      <w:tr w:rsidR="00516FB4" w:rsidRPr="005766D7" w:rsidTr="00C91789">
        <w:trPr>
          <w:jc w:val="center"/>
        </w:trPr>
        <w:tc>
          <w:tcPr>
            <w:tcW w:w="4876" w:type="dxa"/>
          </w:tcPr>
          <w:p w:rsidR="00516FB4" w:rsidRPr="005766D7" w:rsidRDefault="00516FB4" w:rsidP="00C91789">
            <w:pPr>
              <w:pStyle w:val="Normal6"/>
            </w:pPr>
            <w:r w:rsidRPr="005766D7">
              <w:t>_________________</w:t>
            </w:r>
          </w:p>
        </w:tc>
        <w:tc>
          <w:tcPr>
            <w:tcW w:w="4876" w:type="dxa"/>
          </w:tcPr>
          <w:p w:rsidR="00516FB4" w:rsidRPr="005766D7" w:rsidRDefault="00516FB4" w:rsidP="00C91789">
            <w:pPr>
              <w:pStyle w:val="Normal6"/>
            </w:pPr>
            <w:r w:rsidRPr="005766D7">
              <w:t>_________________</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11</w:t>
            </w:r>
            <w:r w:rsidRPr="005766D7">
              <w:t xml:space="preserve"> COM(2015) 614 final van 2.12.2015.</w:t>
            </w:r>
          </w:p>
        </w:tc>
        <w:tc>
          <w:tcPr>
            <w:tcW w:w="4876" w:type="dxa"/>
          </w:tcPr>
          <w:p w:rsidR="00516FB4" w:rsidRPr="005766D7" w:rsidRDefault="00516FB4" w:rsidP="00C91789">
            <w:pPr>
              <w:pStyle w:val="Normal6"/>
            </w:pPr>
            <w:r w:rsidRPr="005766D7">
              <w:rPr>
                <w:rStyle w:val="Sup"/>
                <w:color w:val="auto"/>
              </w:rPr>
              <w:t>11</w:t>
            </w:r>
            <w:r w:rsidRPr="005766D7">
              <w:t xml:space="preserve"> COM(2015) 614 final van 2.12.2015.</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12</w:t>
            </w:r>
            <w:r w:rsidRPr="005766D7">
              <w:t xml:space="preserve"> Een beleidskader voor klimaat en energie in de periode 2020-2030, COM(2014)15 van 22.1.2014.</w:t>
            </w:r>
          </w:p>
        </w:tc>
        <w:tc>
          <w:tcPr>
            <w:tcW w:w="4876" w:type="dxa"/>
          </w:tcPr>
          <w:p w:rsidR="00516FB4" w:rsidRPr="005766D7" w:rsidRDefault="00516FB4" w:rsidP="00C91789">
            <w:pPr>
              <w:pStyle w:val="Normal6"/>
            </w:pPr>
            <w:r w:rsidRPr="005766D7">
              <w:rPr>
                <w:rStyle w:val="Sup"/>
                <w:color w:val="auto"/>
              </w:rPr>
              <w:t>12</w:t>
            </w:r>
            <w:r w:rsidRPr="005766D7">
              <w:t xml:space="preserve"> Een beleidskader voor klimaat en energie in de periode 2020-2030, COM(2014)15 van 22.1.2014.</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13</w:t>
            </w:r>
            <w:r w:rsidRPr="005766D7">
              <w:t xml:space="preserve"> Een EU-strategie voor aanpassing aan de klimaatverandering, COM(2013)216 van 16.4.2013.</w:t>
            </w:r>
          </w:p>
        </w:tc>
        <w:tc>
          <w:tcPr>
            <w:tcW w:w="4876" w:type="dxa"/>
          </w:tcPr>
          <w:p w:rsidR="00516FB4" w:rsidRPr="005766D7" w:rsidRDefault="00516FB4" w:rsidP="00C91789">
            <w:pPr>
              <w:pStyle w:val="Normal6"/>
            </w:pPr>
            <w:r w:rsidRPr="005766D7">
              <w:rPr>
                <w:rStyle w:val="Sup"/>
                <w:color w:val="auto"/>
              </w:rPr>
              <w:t>13</w:t>
            </w:r>
            <w:r w:rsidRPr="005766D7">
              <w:t xml:space="preserve"> Een EU-strategie voor aanpassing aan de klimaatverandering, COM(2013)216 van 16.4.2013.</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14</w:t>
            </w:r>
            <w:r w:rsidRPr="005766D7">
              <w:t xml:space="preserve"> Pakket "Schone energie voor alle Europeanen", COM(2016)860 van 30.11.2016.</w:t>
            </w:r>
          </w:p>
        </w:tc>
        <w:tc>
          <w:tcPr>
            <w:tcW w:w="4876" w:type="dxa"/>
          </w:tcPr>
          <w:p w:rsidR="00516FB4" w:rsidRPr="005766D7" w:rsidRDefault="00516FB4" w:rsidP="00C91789">
            <w:pPr>
              <w:pStyle w:val="Normal6"/>
            </w:pPr>
            <w:r w:rsidRPr="005766D7">
              <w:rPr>
                <w:rStyle w:val="Sup"/>
                <w:color w:val="auto"/>
              </w:rPr>
              <w:t>14</w:t>
            </w:r>
            <w:r w:rsidRPr="005766D7">
              <w:t xml:space="preserve"> Pakket "Schone energie voor alle Europeanen", COM(2016)860 van 30.11.2016.</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15</w:t>
            </w:r>
            <w:r w:rsidRPr="005766D7">
              <w:t xml:space="preserve"> Een actieplan voor de natuur, de mensen en de economie, COM(2017)198 van 27.4.2017.</w:t>
            </w:r>
          </w:p>
        </w:tc>
        <w:tc>
          <w:tcPr>
            <w:tcW w:w="4876" w:type="dxa"/>
          </w:tcPr>
          <w:p w:rsidR="00516FB4" w:rsidRPr="005766D7" w:rsidRDefault="00516FB4" w:rsidP="00C91789">
            <w:pPr>
              <w:pStyle w:val="Normal6"/>
            </w:pPr>
            <w:r w:rsidRPr="005766D7">
              <w:rPr>
                <w:rStyle w:val="Sup"/>
                <w:color w:val="auto"/>
              </w:rPr>
              <w:t>15</w:t>
            </w:r>
            <w:r w:rsidRPr="005766D7">
              <w:t xml:space="preserve"> Een actieplan voor de natuur, de mensen en de economie, COM(2017)198 van 27.4.2017.</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16</w:t>
            </w:r>
            <w:r w:rsidRPr="005766D7">
              <w:t xml:space="preserve"> Programma "Schone lucht voor Europa", COM(2013)918.</w:t>
            </w:r>
          </w:p>
        </w:tc>
        <w:tc>
          <w:tcPr>
            <w:tcW w:w="4876" w:type="dxa"/>
          </w:tcPr>
          <w:p w:rsidR="00516FB4" w:rsidRPr="005766D7" w:rsidRDefault="00516FB4" w:rsidP="00C91789">
            <w:pPr>
              <w:pStyle w:val="Normal6"/>
            </w:pPr>
            <w:r w:rsidRPr="005766D7">
              <w:rPr>
                <w:rStyle w:val="Sup"/>
                <w:color w:val="auto"/>
              </w:rPr>
              <w:t>16</w:t>
            </w:r>
            <w:r w:rsidRPr="005766D7">
              <w:t xml:space="preserve"> Programma "Schone lucht voor Europa", COM(2013)918.</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17</w:t>
            </w:r>
            <w:r w:rsidRPr="005766D7">
              <w:t xml:space="preserve"> Richtlijn 2000/60/EG van het Europees Parlement en de Raad van 23 oktober 2000 tot vaststelling van een kader voor communautaire maatregelen betreffende het waterbeleid (PB L 327 van 22.12.2000, blz. 1).</w:t>
            </w:r>
          </w:p>
        </w:tc>
        <w:tc>
          <w:tcPr>
            <w:tcW w:w="4876" w:type="dxa"/>
          </w:tcPr>
          <w:p w:rsidR="00516FB4" w:rsidRPr="005766D7" w:rsidRDefault="00516FB4" w:rsidP="00C91789">
            <w:pPr>
              <w:pStyle w:val="Normal6"/>
            </w:pPr>
            <w:r w:rsidRPr="005766D7">
              <w:rPr>
                <w:rStyle w:val="Sup"/>
                <w:color w:val="auto"/>
              </w:rPr>
              <w:t>17</w:t>
            </w:r>
            <w:r w:rsidRPr="005766D7">
              <w:t xml:space="preserve"> Richtlijn 2000/60/EG van het Europees Parlement en de Raad van 23 oktober 2000 tot vaststelling van een kader voor communautaire maatregelen betreffende het waterbeleid (PB L 327 van 22.12.2000, blz. 1).</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18</w:t>
            </w:r>
            <w:r w:rsidRPr="005766D7">
              <w:t xml:space="preserve"> Thematische strategie voor bodembescherming, COM(2006)231.</w:t>
            </w:r>
          </w:p>
        </w:tc>
        <w:tc>
          <w:tcPr>
            <w:tcW w:w="4876" w:type="dxa"/>
          </w:tcPr>
          <w:p w:rsidR="00516FB4" w:rsidRPr="005766D7" w:rsidRDefault="00516FB4" w:rsidP="00C91789">
            <w:pPr>
              <w:pStyle w:val="Normal6"/>
            </w:pPr>
            <w:r w:rsidRPr="005766D7">
              <w:rPr>
                <w:rStyle w:val="Sup"/>
                <w:color w:val="auto"/>
              </w:rPr>
              <w:t>18</w:t>
            </w:r>
            <w:r w:rsidRPr="005766D7">
              <w:t xml:space="preserve"> Thematische strategie voor bodembescherming, COM(2006)231.</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19</w:t>
            </w:r>
            <w:r w:rsidRPr="005766D7">
              <w:t xml:space="preserve"> Een Europese strategie voor emissiearme mobiliteit, COM(2016)501.</w:t>
            </w:r>
          </w:p>
        </w:tc>
        <w:tc>
          <w:tcPr>
            <w:tcW w:w="4876" w:type="dxa"/>
          </w:tcPr>
          <w:p w:rsidR="00516FB4" w:rsidRPr="005766D7" w:rsidRDefault="00516FB4" w:rsidP="00C91789">
            <w:pPr>
              <w:pStyle w:val="Normal6"/>
            </w:pPr>
            <w:r w:rsidRPr="005766D7">
              <w:rPr>
                <w:rStyle w:val="Sup"/>
                <w:color w:val="auto"/>
              </w:rPr>
              <w:t>19</w:t>
            </w:r>
            <w:r w:rsidRPr="005766D7">
              <w:t xml:space="preserve"> Een Europese strategie voor emissiearme mobiliteit, COM(2016)501.</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20</w:t>
            </w:r>
            <w:r w:rsidRPr="005766D7">
              <w:t xml:space="preserve"> Een actieplan inzake infrastructuur voor alternatieve brandstoffen volgens artikel 10, lid 6, van Richtlijn 2014/94/EU, 8.11.2017.</w:t>
            </w:r>
          </w:p>
        </w:tc>
        <w:tc>
          <w:tcPr>
            <w:tcW w:w="4876" w:type="dxa"/>
          </w:tcPr>
          <w:p w:rsidR="00516FB4" w:rsidRPr="005766D7" w:rsidRDefault="00516FB4" w:rsidP="00C91789">
            <w:pPr>
              <w:pStyle w:val="Normal6"/>
            </w:pPr>
            <w:r w:rsidRPr="005766D7">
              <w:rPr>
                <w:rStyle w:val="Sup"/>
                <w:color w:val="auto"/>
              </w:rPr>
              <w:t>20</w:t>
            </w:r>
            <w:r w:rsidRPr="005766D7">
              <w:t xml:space="preserve"> Een actieplan inzake infrastructuur voor alternatieve brandstoffen volgens artikel 10, lid 6, van Richtlijn 2014/94/EU, 8.11.2017.</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rStyle w:val="Sup"/>
                <w:b/>
                <w:i/>
                <w:color w:val="auto"/>
              </w:rPr>
              <w:t>20 bis</w:t>
            </w:r>
            <w:r w:rsidRPr="005766D7">
              <w:t xml:space="preserve"> </w:t>
            </w:r>
            <w:r w:rsidRPr="005766D7">
              <w:rPr>
                <w:b/>
                <w:i/>
              </w:rPr>
              <w:t>Innovatie voor duurzame groei:</w:t>
            </w:r>
            <w:r w:rsidRPr="005766D7">
              <w:t xml:space="preserve"> </w:t>
            </w:r>
            <w:r w:rsidRPr="005766D7">
              <w:rPr>
                <w:b/>
                <w:i/>
              </w:rPr>
              <w:t>Een bio-economie voor Europa, COM (2012) 60 final, 13.02.2012.</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5</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7</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(7)</w:t>
            </w:r>
            <w:r w:rsidRPr="005766D7">
              <w:tab/>
              <w:t>Om de verplichtingen van de Unie in het kader van de Overeenkomst van Parijs inzake klimaatverandering na te komen, is het nodig de Unie om te vormen tot een energie-efficiënte, koolstofarme en klimaatbestendige samenleving. Dit vereist op zijn beurt acties, in het bijzondere gericht op de sectoren die het meest bijdragen tot het huidige niveau van CO2-uitstoot en verontreiniging, die bijdragen tot de tenuitvoerlegging van het beleidskader voor klimaat en energie 2030 en de geïntegreerde nationale energie- en klimaatplannen van de lidstaten, alsmede tot de voorbereidingen voor de klimaat- en energiestrategie van de Unie voor het midden van deze eeuw en voor de lange termijn. Het programma moet ook maatregelen omvatten die bijdragen tot de tenuitvoerlegging van het beleid van de Unie voor aanpassing aan de klimaatverandering om de kwetsbaarheid voor de negatieve gevolgen van klimaatverandering te verminderen.</w:t>
            </w:r>
          </w:p>
        </w:tc>
        <w:tc>
          <w:tcPr>
            <w:tcW w:w="4876" w:type="dxa"/>
          </w:tcPr>
          <w:p w:rsidR="00516FB4" w:rsidRPr="005766D7" w:rsidRDefault="00516FB4" w:rsidP="00C91789">
            <w:pPr>
              <w:pStyle w:val="Normal6"/>
            </w:pPr>
            <w:r w:rsidRPr="005766D7">
              <w:t>(7)</w:t>
            </w:r>
            <w:r w:rsidRPr="005766D7">
              <w:tab/>
              <w:t xml:space="preserve">Om de </w:t>
            </w:r>
            <w:r w:rsidRPr="005766D7">
              <w:rPr>
                <w:b/>
                <w:i/>
              </w:rPr>
              <w:t>te eerbiedigen</w:t>
            </w:r>
            <w:r w:rsidRPr="005766D7">
              <w:t xml:space="preserve"> verplichtingen van de Unie in het kader van de Overeenkomst van Parijs inzake klimaatverandering na te komen, is het nodig de Unie om te vormen tot een energie-efficiënte, koolstofarme en klimaatbestendige samenleving. Dit vereist op zijn beurt acties, in het bijzondere gericht op de sectoren die het meest bijdragen tot het huidige niveau van CO2-uitstoot en verontreiniging, die bijdragen tot de tenuitvoerlegging van het beleidskader voor klimaat en energie 2030 en de geïntegreerde nationale energie- en klimaatplannen van de lidstaten, alsmede tot de voorbereidingen voor de klimaat- en energiestrategie van de Unie voor het midden van deze eeuw en voor de lange termijn. Het programma moet ook maatregelen omvatten die bijdragen tot de tenuitvoerlegging van het beleid van de Unie voor aanpassing aan de klimaatverandering om de kwetsbaarheid voor de negatieve gevolgen van klimaatverandering te verminderen </w:t>
            </w:r>
            <w:r w:rsidRPr="005766D7">
              <w:rPr>
                <w:b/>
                <w:i/>
              </w:rPr>
              <w:t>en om te anticiperen op de rampen die daardoor kunnen worden veroorzaakt en deze tegen te gaan</w:t>
            </w:r>
            <w:r w:rsidRPr="005766D7">
              <w:t>.</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6</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8</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(8)</w:t>
            </w:r>
            <w:r w:rsidRPr="005766D7">
              <w:tab/>
              <w:t>De overgang naar schone energie levert een essentiële bijdrage aan de klimaatmitigatie, met positieve neveneffecten voor het milieu. Acties voor capaciteitsopbouw ter ondersteuning van de overgang naar schone energie, die tot en met 2020 uit Horizon 2020 worden gefinancierd, moeten in het programma worden opgenomen, aangezien zij niet tot doel hebben excellentie te financieren en innovatie te genereren, maar om ervoor te zorgen dat reeds beschikbare technologie die zal bijdragen aan klimaatmitigatie, gemakkelijker wordt overgenomen. De opname in het programma van deze activiteiten voor capaciteitsopbouw biedt mogelijkheden voor synergieën tussen de subprogramma's en vergroot de algehele samenhang van de financiering door de Unie. Daarom moeten gegevens worden verzameld en verspreid met betrekking tot het overnemen van bestaande onderzoeks- en innovatieresultaten in de LIFE-projecten, met inbegrip van die uit het programma Horizon Europa en de programma's die daaraan voorafgingen.</w:t>
            </w:r>
          </w:p>
        </w:tc>
        <w:tc>
          <w:tcPr>
            <w:tcW w:w="4876" w:type="dxa"/>
          </w:tcPr>
          <w:p w:rsidR="00516FB4" w:rsidRPr="005766D7" w:rsidRDefault="00516FB4" w:rsidP="00C91789">
            <w:pPr>
              <w:pStyle w:val="Normal6"/>
            </w:pPr>
            <w:r w:rsidRPr="005766D7">
              <w:t>(8)</w:t>
            </w:r>
            <w:r w:rsidRPr="005766D7">
              <w:tab/>
              <w:t>De overgang naar schone energie levert een essentiële bijdrage aan de klimaatmitigatie</w:t>
            </w:r>
            <w:r w:rsidRPr="005766D7">
              <w:rPr>
                <w:b/>
                <w:i/>
              </w:rPr>
              <w:t xml:space="preserve"> en -beperking</w:t>
            </w:r>
            <w:r w:rsidRPr="005766D7">
              <w:t>, met positieve neveneffecten voor het milieu. Acties voor capaciteitsopbouw ter ondersteuning van de overgang naar schone energie, die tot en met 2020 uit Horizon 2020 worden gefinancierd, moeten in het programma worden opgenomen, aangezien zij niet tot doel hebben excellentie te financieren en innovatie te genereren, maar om ervoor te zorgen dat reeds beschikbare technologie die zal bijdragen aan klimaatmitigatie</w:t>
            </w:r>
            <w:r w:rsidRPr="005766D7">
              <w:rPr>
                <w:b/>
                <w:i/>
              </w:rPr>
              <w:t xml:space="preserve"> en -beperking</w:t>
            </w:r>
            <w:r w:rsidRPr="005766D7">
              <w:t xml:space="preserve">, gemakkelijker wordt overgenomen. De opname in het programma van deze activiteiten voor capaciteitsopbouw biedt mogelijkheden voor synergieën tussen de subprogramma's </w:t>
            </w:r>
            <w:r w:rsidRPr="005766D7">
              <w:rPr>
                <w:b/>
                <w:i/>
              </w:rPr>
              <w:t>door financiering uit meerdere bronnen aan te moedigen</w:t>
            </w:r>
            <w:r w:rsidRPr="005766D7">
              <w:t xml:space="preserve"> en vergroot de algehele samenhang van de financiering door de Unie. Daarom moeten gegevens worden verzameld en verspreid met betrekking tot het overnemen van bestaande onderzoeks- en innovatieresultaten in de LIFE-projecten, met inbegrip van die uit het programma Horizon Europa en de programma's die daaraan voorafgingen.</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7</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9</w:t>
      </w:r>
      <w:r w:rsidRPr="005766D7">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5A0E40">
        <w:trPr>
          <w:trHeight w:hRule="exact" w:val="240"/>
          <w:jc w:val="center"/>
        </w:trPr>
        <w:tc>
          <w:tcPr>
            <w:tcW w:w="9752" w:type="dxa"/>
            <w:gridSpan w:val="2"/>
          </w:tcPr>
          <w:p w:rsidR="00516FB4" w:rsidRPr="005766D7" w:rsidRDefault="00516FB4" w:rsidP="00C91789"/>
        </w:tc>
      </w:tr>
      <w:tr w:rsidR="00516FB4" w:rsidRPr="005766D7" w:rsidTr="005A0E40">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5A0E40">
        <w:trPr>
          <w:jc w:val="center"/>
        </w:trPr>
        <w:tc>
          <w:tcPr>
            <w:tcW w:w="4876" w:type="dxa"/>
          </w:tcPr>
          <w:p w:rsidR="00516FB4" w:rsidRPr="005766D7" w:rsidRDefault="00516FB4" w:rsidP="00C91789">
            <w:pPr>
              <w:pStyle w:val="Normal6"/>
            </w:pPr>
            <w:r w:rsidRPr="005766D7">
              <w:t>(9)</w:t>
            </w:r>
            <w:r w:rsidRPr="005766D7">
              <w:tab/>
              <w:t xml:space="preserve">Volgens ramingen in de effectbeoordelingen van de wetgeving inzake schone energie zullen voor de verwezenlijking van de energiedoelstellingen van de Unie voor 2030 in de periode 2021-2030 aanvullende investeringen van 177 miljard EUR per jaar nodig zijn. De grootste tekortkomingen betreffen de investeringen in het koolstofvrij maken van gebouwen (energie-efficiëntie en </w:t>
            </w:r>
            <w:r w:rsidRPr="005766D7">
              <w:rPr>
                <w:b/>
                <w:i/>
              </w:rPr>
              <w:t>kleinschalige</w:t>
            </w:r>
            <w:r w:rsidRPr="005766D7">
              <w:t xml:space="preserve"> hernieuwbare energiebronnen), waar kapitaal naar projecten met een sterk gedistribueerd karakter moet worden geleid. Een van de doelstellingen van het subprogramma Overgang naar schone energie is om capaciteit op te bouwen voor het ontwikkelen en bundelen van projecten, hetgeen ook bijdraagt tot het opnemen van middelen uit de Europese structuur- en investeringsfondsen en het katalyseren van investeringen in schone energie, ook met behulp van de financiële instrumenten van InvestEU.</w:t>
            </w:r>
          </w:p>
        </w:tc>
        <w:tc>
          <w:tcPr>
            <w:tcW w:w="4876" w:type="dxa"/>
          </w:tcPr>
          <w:p w:rsidR="00516FB4" w:rsidRPr="005766D7" w:rsidRDefault="00516FB4" w:rsidP="00C91789">
            <w:pPr>
              <w:pStyle w:val="Normal6"/>
            </w:pPr>
            <w:r w:rsidRPr="005766D7">
              <w:t>(9)</w:t>
            </w:r>
            <w:r w:rsidRPr="005766D7">
              <w:tab/>
              <w:t xml:space="preserve">Volgens ramingen in de effectbeoordelingen van de wetgeving inzake schone energie zullen voor de verwezenlijking van de </w:t>
            </w:r>
            <w:r w:rsidRPr="005766D7">
              <w:rPr>
                <w:b/>
                <w:i/>
              </w:rPr>
              <w:t>door de Commissie</w:t>
            </w:r>
            <w:r w:rsidRPr="005766D7">
              <w:t xml:space="preserve"> voorgestelde energiedoelstellingen van de Unie voor 2030 in de periode 2021-2030 aanvullende investeringen van 177 miljard EUR per jaar nodig zijn. </w:t>
            </w:r>
            <w:r w:rsidRPr="005766D7">
              <w:rPr>
                <w:b/>
                <w:i/>
              </w:rPr>
              <w:t>Deze doelstellingen werden door de medewetgevers te berde gebracht bij de afronding van de richtlijn hernieuwbare energie en de richtlijn betreffende energie-efficiëntie, om de doelstellingen van de Unie beter te laten aansluiten op de verplichtingen van de Unie in het kader van de Overeenkomst van Parijs.</w:t>
            </w:r>
            <w:r w:rsidRPr="005766D7">
              <w:t xml:space="preserve"> De grootste tekortkomingen betreffen de investeringen in het koolstofvrij maken van gebouwen (energie-efficiëntie en </w:t>
            </w:r>
            <w:r w:rsidRPr="005766D7">
              <w:rPr>
                <w:b/>
                <w:i/>
              </w:rPr>
              <w:t>gedecentraliseerde</w:t>
            </w:r>
            <w:r w:rsidRPr="005766D7">
              <w:t xml:space="preserve"> hernieuwbare energiebronnen</w:t>
            </w:r>
            <w:r w:rsidRPr="005766D7">
              <w:rPr>
                <w:b/>
                <w:i/>
              </w:rPr>
              <w:t>, met name wat energie betreft die gebruikt wordt voor verwarming en koeling</w:t>
            </w:r>
            <w:r w:rsidRPr="005766D7">
              <w:t>), waar kapitaal naar projecten met een sterk gedistribueerd karakter moet worden geleid</w:t>
            </w:r>
            <w:r w:rsidRPr="005766D7">
              <w:rPr>
                <w:b/>
                <w:i/>
              </w:rPr>
              <w:t>, bijvoorbeeld door het bevorderen van proefprojecten op basis van kleine stedelijke conglomeraten</w:t>
            </w:r>
            <w:r w:rsidRPr="005766D7">
              <w:t>. Een van de doelstellingen van het subprogramma Overgang naar schone energie is om capaciteit op te bouwen voor het ontwikkelen en bundelen van projecten, hetgeen ook bijdraagt tot het opnemen van middelen uit de Europese structuur- en investeringsfondsen en het katalyseren van investeringen in schone energie, ook met behulp van de financiële instrumenten van InvestEU.</w:t>
            </w:r>
          </w:p>
        </w:tc>
      </w:tr>
    </w:tbl>
    <w:p w:rsidR="005A0E40" w:rsidRPr="005766D7" w:rsidRDefault="005A0E40" w:rsidP="005A0E40">
      <w:pPr>
        <w:pStyle w:val="JustificationTitle"/>
      </w:pPr>
      <w:r w:rsidRPr="005766D7">
        <w:rPr>
          <w:rStyle w:val="HideTWBExt"/>
          <w:noProof w:val="0"/>
        </w:rPr>
        <w:t>&lt;TitreJust&gt;</w:t>
      </w:r>
      <w:r w:rsidRPr="005766D7">
        <w:t>Motivering</w:t>
      </w:r>
      <w:r w:rsidRPr="005766D7">
        <w:rPr>
          <w:rStyle w:val="HideTWBExt"/>
          <w:noProof w:val="0"/>
        </w:rPr>
        <w:t>&lt;/TitreJust&gt;</w:t>
      </w:r>
    </w:p>
    <w:p w:rsidR="005A0E40" w:rsidRPr="005766D7" w:rsidRDefault="005A0E40" w:rsidP="005A0E40">
      <w:pPr>
        <w:pStyle w:val="Normal12Italic"/>
      </w:pPr>
      <w:r w:rsidRPr="005766D7">
        <w:t>Het koolstofvrij maken van de bouwsector is een essentiële stap om de klimaat- en energiedoelstellingen van de EU te verwezenlijken en zo de doelstellingen van de Overeenkomst van Parijs te realiseren. Het is echter belangrijk meer aandacht te besteden aan het energieverbruik voor verwarming en koeling, dat goed is voor een groot deel van het Europese energieverbruik.</w:t>
      </w:r>
    </w:p>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8</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12</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(12)</w:t>
            </w:r>
            <w:r w:rsidRPr="005766D7">
              <w:tab/>
              <w:t>Uit het recentste evaluatiepakket inzake de tenuitvoerlegging van het milieubeleid</w:t>
            </w:r>
            <w:r w:rsidRPr="005766D7">
              <w:rPr>
                <w:rStyle w:val="Sup"/>
                <w:color w:val="auto"/>
              </w:rPr>
              <w:t>21</w:t>
            </w:r>
            <w:r w:rsidRPr="005766D7">
              <w:t xml:space="preserve"> blijkt dat er aanzienlijke vooruitgang moet worden geboekt om vaart te zetten achter de tenuitvoerlegging van het milieuacquis van de Unie en ervoor te zorgen dat milieu- en klimaatdoelstellingen beter in ander beleid worden opgenomen. Het programma moet dan ook als katalysator fungeren om de vereiste vooruitgang te kunnen ontwikkelen door nieuwe benaderingen te ontwikkelen, testen en dupliceren; beleidsontwikkeling, toezicht en beoordeling te ondersteunen; de betrokkenheid van belanghebbenden te versterken; investeringen te mobiliseren binnen het geheel aan investeringsprogramma's van de Unie of andere financieringsbronnen en acties te ondersteunen om de verschillende belemmeringen voor de doeltreffende tenuitvoerlegging van de belangrijkste in de milieuwetgeving voorgeschreven plannen weg te nemen.</w:t>
            </w:r>
          </w:p>
        </w:tc>
        <w:tc>
          <w:tcPr>
            <w:tcW w:w="4876" w:type="dxa"/>
          </w:tcPr>
          <w:p w:rsidR="00516FB4" w:rsidRPr="005766D7" w:rsidRDefault="00516FB4" w:rsidP="00496A81">
            <w:pPr>
              <w:pStyle w:val="Normal6"/>
            </w:pPr>
            <w:r w:rsidRPr="005766D7">
              <w:t>(12)</w:t>
            </w:r>
            <w:r w:rsidRPr="005766D7">
              <w:tab/>
              <w:t>Uit het recentste evaluatiepakket inzake de tenuitvoerlegging van het milieubeleid</w:t>
            </w:r>
            <w:r w:rsidRPr="005766D7">
              <w:rPr>
                <w:rStyle w:val="Sup"/>
                <w:color w:val="auto"/>
              </w:rPr>
              <w:t>21</w:t>
            </w:r>
            <w:r w:rsidRPr="005766D7">
              <w:t xml:space="preserve"> blijkt dat er aanzienlijke vooruitgang moet worden geboekt om vaart te zetten achter de tenuitvoerlegging van het milieuacquis van de Unie en ervoor te zorgen dat milieu- en klimaatdoelstellingen beter in ander beleid worden opgenomen. Het programma moet dan ook als </w:t>
            </w:r>
            <w:r w:rsidRPr="005766D7">
              <w:rPr>
                <w:b/>
                <w:i/>
              </w:rPr>
              <w:t>een essentiële</w:t>
            </w:r>
            <w:r w:rsidRPr="005766D7">
              <w:t xml:space="preserve"> katalysator fungeren om de vereiste vooruitgang te kunnen ontwikkelen door nieuwe benaderingen te ontwikkelen, testen en dupliceren; beleidsontwikkeling, toezicht en beoordeling te ondersteunen; </w:t>
            </w:r>
            <w:r w:rsidRPr="005766D7">
              <w:rPr>
                <w:b/>
                <w:i/>
              </w:rPr>
              <w:t>meer bewustzijn en communicatie te bevorderen; goede governance te ontwikkelen</w:t>
            </w:r>
            <w:r w:rsidRPr="005766D7">
              <w:t>; de betrokkenheid van belanghebbenden te versterken; investeringen te mobiliseren binnen het geheel aan investeringsprogramma's van de Unie of andere financieringsbronnen en acties te ondersteunen om de verschillende belemmeringen voor de doeltreffende tenuitvoerlegging van de belangrijkste in de milieuwetgeving voorgeschreven plannen weg te nemen.</w:t>
            </w:r>
          </w:p>
        </w:tc>
      </w:tr>
      <w:tr w:rsidR="00516FB4" w:rsidRPr="005766D7" w:rsidTr="00C91789">
        <w:trPr>
          <w:jc w:val="center"/>
        </w:trPr>
        <w:tc>
          <w:tcPr>
            <w:tcW w:w="4876" w:type="dxa"/>
          </w:tcPr>
          <w:p w:rsidR="00516FB4" w:rsidRPr="005766D7" w:rsidRDefault="00516FB4" w:rsidP="00C91789">
            <w:pPr>
              <w:pStyle w:val="Normal6"/>
            </w:pPr>
            <w:r w:rsidRPr="005766D7">
              <w:t>_________________</w:t>
            </w:r>
          </w:p>
        </w:tc>
        <w:tc>
          <w:tcPr>
            <w:tcW w:w="4876" w:type="dxa"/>
          </w:tcPr>
          <w:p w:rsidR="00516FB4" w:rsidRPr="005766D7" w:rsidRDefault="00516FB4" w:rsidP="00C91789">
            <w:pPr>
              <w:pStyle w:val="Normal6"/>
            </w:pPr>
            <w:r w:rsidRPr="005766D7">
              <w:t>_________________</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21</w:t>
            </w:r>
            <w:r w:rsidRPr="005766D7">
              <w:t xml:space="preserve"> Mededeling van de Commissie aan het Europees Parlement, de Raad, het Europees Economisch en Sociaal Comité en het Comité van de Regio's - EU-evaluatie van de tenuitvoerlegging van het milieubeleid: Gemeenschappelijke uitdagingen en hoe inspanningen te bundelen om betere resultaten te realiseren (COM(2017) 63 final).</w:t>
            </w:r>
          </w:p>
        </w:tc>
        <w:tc>
          <w:tcPr>
            <w:tcW w:w="4876" w:type="dxa"/>
          </w:tcPr>
          <w:p w:rsidR="00516FB4" w:rsidRPr="005766D7" w:rsidRDefault="00516FB4" w:rsidP="00C91789">
            <w:pPr>
              <w:pStyle w:val="Normal6"/>
            </w:pPr>
            <w:r w:rsidRPr="005766D7">
              <w:rPr>
                <w:rStyle w:val="Sup"/>
                <w:color w:val="auto"/>
              </w:rPr>
              <w:t>21</w:t>
            </w:r>
            <w:r w:rsidRPr="005766D7">
              <w:t xml:space="preserve"> Mededeling van de Commissie aan het Europees Parlement, de Raad, het Europees Economisch en Sociaal Comité en het Comité van de Regio's - EU-evaluatie van de tenuitvoerlegging van het milieubeleid: Gemeenschappelijke uitdagingen en hoe inspanningen te bundelen om betere resultaten te realiseren (COM(2017) 63 final).</w:t>
            </w:r>
          </w:p>
        </w:tc>
      </w:tr>
    </w:tbl>
    <w:p w:rsidR="00516FB4" w:rsidRPr="005766D7" w:rsidRDefault="00516FB4" w:rsidP="00516FB4">
      <w:pPr>
        <w:pStyle w:val="JustificationTitle"/>
      </w:pPr>
      <w:r w:rsidRPr="005766D7">
        <w:rPr>
          <w:rStyle w:val="HideTWBExt"/>
          <w:noProof w:val="0"/>
        </w:rPr>
        <w:t>&lt;TitreJust&gt;</w:t>
      </w:r>
      <w:r w:rsidRPr="005766D7">
        <w:t>Motivering</w:t>
      </w:r>
      <w:r w:rsidRPr="005766D7">
        <w:rPr>
          <w:rStyle w:val="HideTWBExt"/>
          <w:noProof w:val="0"/>
        </w:rPr>
        <w:t>&lt;/TitreJust&gt;</w:t>
      </w:r>
    </w:p>
    <w:p w:rsidR="00516FB4" w:rsidRPr="005766D7" w:rsidRDefault="00516FB4" w:rsidP="00516FB4">
      <w:pPr>
        <w:pStyle w:val="Normal12Italic"/>
      </w:pPr>
      <w:r w:rsidRPr="005766D7">
        <w:t>Een verbetering van de governance, met name door bewustmakingscampagnes en betrokkenheid van de belanghebbenden, is van essentieel belang voor het verwezenlijken van de milieudoelstellingen en werd in het vorige LIFE-programma uitdrukkelijk genoemd als prioriteit.</w:t>
      </w:r>
    </w:p>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9</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13</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(13)</w:t>
            </w:r>
            <w:r w:rsidRPr="005766D7">
              <w:tab/>
              <w:t xml:space="preserve">Om het biodiversiteitsverlies, ook in </w:t>
            </w:r>
            <w:r w:rsidRPr="005766D7">
              <w:rPr>
                <w:b/>
                <w:i/>
              </w:rPr>
              <w:t>mariene</w:t>
            </w:r>
            <w:r w:rsidRPr="005766D7">
              <w:t xml:space="preserve"> ecosystemen, tot staan te brengen en om te buigen, moet de ontwikkeling, tenuitvoerlegging, handhaving en beoordeling van wetgeving en beleid van de Unie ter zake, waaronder de EU-biodiversiteitsstrategie voor 2020</w:t>
            </w:r>
            <w:r w:rsidRPr="005766D7">
              <w:rPr>
                <w:rStyle w:val="Sup"/>
                <w:color w:val="auto"/>
              </w:rPr>
              <w:t>22</w:t>
            </w:r>
            <w:r w:rsidRPr="005766D7">
              <w:t>, Richtlijn 92/43/EEG van de Raad</w:t>
            </w:r>
            <w:r w:rsidRPr="005766D7">
              <w:rPr>
                <w:rStyle w:val="Sup"/>
                <w:color w:val="auto"/>
              </w:rPr>
              <w:t>23</w:t>
            </w:r>
            <w:r w:rsidRPr="005766D7">
              <w:t xml:space="preserve"> en Richtlijn 2009/147/EG van het Europees Parlement en de Raad</w:t>
            </w:r>
            <w:r w:rsidRPr="005766D7">
              <w:rPr>
                <w:rStyle w:val="Sup"/>
                <w:color w:val="auto"/>
              </w:rPr>
              <w:t>24</w:t>
            </w:r>
            <w:r w:rsidRPr="005766D7">
              <w:t>, en Verordening (EU) nr. 1143/2014 van het Europees Parlement en de Raad</w:t>
            </w:r>
            <w:r w:rsidRPr="005766D7">
              <w:rPr>
                <w:rStyle w:val="Sup"/>
                <w:color w:val="auto"/>
              </w:rPr>
              <w:t>25</w:t>
            </w:r>
            <w:r w:rsidRPr="005766D7">
              <w:t>, worden ondersteund, met name door de kennisbasis voor de ontwikkeling en uitvoering van beleid uit te bouwen en door beste praktijken en oplossingen, op kleine schaal of toegesneden op de specifieke lokale, regionale of nationale situatie, te ontwikkelen, te testen, te demonstreren en toe te passen, met inbegrip van geïntegreerde benaderingen voor de tenuitvoerlegging van de op basis van Richtlijn 92/43/EEG opgestelde prioritaire actiekaders. De Unie moet haar biodiversiteitsgerelateerde uitgaven traceren om te voldoen aan haar verslagleggingsverplichtingen uit hoofde van het Verdrag inzake biologische diversiteit. Aan traceringvoorschriften in andere toepasselijke wetgeving van de Unie moet eveneens worden voldaan.</w:t>
            </w:r>
          </w:p>
        </w:tc>
        <w:tc>
          <w:tcPr>
            <w:tcW w:w="4876" w:type="dxa"/>
          </w:tcPr>
          <w:p w:rsidR="00516FB4" w:rsidRPr="005766D7" w:rsidRDefault="00516FB4" w:rsidP="00C91789">
            <w:pPr>
              <w:pStyle w:val="Normal6"/>
            </w:pPr>
            <w:r w:rsidRPr="005766D7">
              <w:t>(13)</w:t>
            </w:r>
            <w:r w:rsidRPr="005766D7">
              <w:tab/>
              <w:t xml:space="preserve">Om het biodiversiteitsverlies, ook in </w:t>
            </w:r>
            <w:r w:rsidRPr="005766D7">
              <w:rPr>
                <w:b/>
                <w:i/>
              </w:rPr>
              <w:t>aquatische</w:t>
            </w:r>
            <w:r w:rsidRPr="005766D7">
              <w:t xml:space="preserve"> ecosystemen, tot staan te brengen en om te buigen, moet de ontwikkeling, tenuitvoerlegging, handhaving en beoordeling van wetgeving en beleid van de Unie ter zake, waaronder de EU-biodiversiteitsstrategie voor 2020</w:t>
            </w:r>
            <w:r w:rsidRPr="005766D7">
              <w:rPr>
                <w:rStyle w:val="Sup"/>
                <w:color w:val="auto"/>
              </w:rPr>
              <w:t>22</w:t>
            </w:r>
            <w:r w:rsidRPr="005766D7">
              <w:t>, Richtlijn 92/43/EEG van de Raad</w:t>
            </w:r>
            <w:r w:rsidRPr="005766D7">
              <w:rPr>
                <w:rStyle w:val="Sup"/>
                <w:color w:val="auto"/>
              </w:rPr>
              <w:t>23</w:t>
            </w:r>
            <w:r w:rsidRPr="005766D7">
              <w:t xml:space="preserve"> en Richtlijn 2009/147/EG van het Europees Parlement en de Raad</w:t>
            </w:r>
            <w:r w:rsidRPr="005766D7">
              <w:rPr>
                <w:rStyle w:val="Sup"/>
                <w:color w:val="auto"/>
              </w:rPr>
              <w:t>24</w:t>
            </w:r>
            <w:r w:rsidRPr="005766D7">
              <w:t>, en Verordening (EU) nr. 1143/2014 van het Europees Parlement en de Raad</w:t>
            </w:r>
            <w:r w:rsidRPr="005766D7">
              <w:rPr>
                <w:rStyle w:val="Sup"/>
                <w:color w:val="auto"/>
              </w:rPr>
              <w:t>25</w:t>
            </w:r>
            <w:r w:rsidRPr="005766D7">
              <w:t>, worden ondersteund, met name door de kennisbasis voor de ontwikkeling en uitvoering van beleid uit te bouwen en door beste praktijken en oplossingen, op kleine schaal of toegesneden op de specifieke lokale, regionale of nationale situatie, te ontwikkelen, te testen, te demonstreren en toe te passen, met inbegrip van geïntegreerde benaderingen voor de tenuitvoerlegging van de op basis van Richtlijn 92/43/EEG opgestelde prioritaire actiekaders. De Unie moet haar biodiversiteitsgerelateerde uitgaven traceren om te voldoen aan haar verslagleggingsverplichtingen uit hoofde van het Verdrag inzake biologische diversiteit. Aan traceringvoorschriften in andere toepasselijke wetgeving van de Unie moet eveneens worden voldaan.</w:t>
            </w:r>
          </w:p>
        </w:tc>
      </w:tr>
      <w:tr w:rsidR="00516FB4" w:rsidRPr="005766D7" w:rsidTr="00C91789">
        <w:trPr>
          <w:jc w:val="center"/>
        </w:trPr>
        <w:tc>
          <w:tcPr>
            <w:tcW w:w="4876" w:type="dxa"/>
          </w:tcPr>
          <w:p w:rsidR="00516FB4" w:rsidRPr="005766D7" w:rsidRDefault="00516FB4" w:rsidP="00C91789">
            <w:pPr>
              <w:pStyle w:val="Normal6"/>
            </w:pPr>
            <w:r w:rsidRPr="005766D7">
              <w:t>_________________</w:t>
            </w:r>
          </w:p>
        </w:tc>
        <w:tc>
          <w:tcPr>
            <w:tcW w:w="4876" w:type="dxa"/>
          </w:tcPr>
          <w:p w:rsidR="00516FB4" w:rsidRPr="005766D7" w:rsidRDefault="00516FB4" w:rsidP="00C91789">
            <w:pPr>
              <w:pStyle w:val="Normal6"/>
            </w:pPr>
            <w:r w:rsidRPr="005766D7">
              <w:t>_________________</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22</w:t>
            </w:r>
            <w:r w:rsidRPr="005766D7">
              <w:t xml:space="preserve"> COM(2011) 244 final.</w:t>
            </w:r>
          </w:p>
        </w:tc>
        <w:tc>
          <w:tcPr>
            <w:tcW w:w="4876" w:type="dxa"/>
          </w:tcPr>
          <w:p w:rsidR="00516FB4" w:rsidRPr="005766D7" w:rsidRDefault="00516FB4" w:rsidP="00C91789">
            <w:pPr>
              <w:pStyle w:val="Normal6"/>
            </w:pPr>
            <w:r w:rsidRPr="005766D7">
              <w:rPr>
                <w:rStyle w:val="Sup"/>
                <w:color w:val="auto"/>
              </w:rPr>
              <w:t>22</w:t>
            </w:r>
            <w:r w:rsidRPr="005766D7">
              <w:t xml:space="preserve"> COM(2011) 244 final.</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23</w:t>
            </w:r>
            <w:r w:rsidRPr="005766D7">
              <w:t xml:space="preserve"> Richtlijn 92/43/EEG van de Raad van 21 mei 1992 inzake de instandhouding van de natuurlijke habitats en de wilde flora en fauna (PB L 206 van 22.7.1992, blz. 7).</w:t>
            </w:r>
          </w:p>
        </w:tc>
        <w:tc>
          <w:tcPr>
            <w:tcW w:w="4876" w:type="dxa"/>
          </w:tcPr>
          <w:p w:rsidR="00516FB4" w:rsidRPr="005766D7" w:rsidRDefault="00516FB4" w:rsidP="00C91789">
            <w:pPr>
              <w:pStyle w:val="Normal6"/>
            </w:pPr>
            <w:r w:rsidRPr="005766D7">
              <w:rPr>
                <w:rStyle w:val="Sup"/>
                <w:color w:val="auto"/>
              </w:rPr>
              <w:t>23</w:t>
            </w:r>
            <w:r w:rsidRPr="005766D7">
              <w:t xml:space="preserve"> Richtlijn 92/43/EEG van de Raad van 21 mei 1992 inzake de instandhouding van de natuurlijke habitats en de wilde flora en fauna (PB L 206 van 22.7.1992, blz. 7).</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24</w:t>
            </w:r>
            <w:r w:rsidRPr="005766D7">
              <w:t xml:space="preserve"> Richtlijn 2009/147/EG van het Europees Parlement en de Raad van 30 november 2009 inzake het behoud van de vogelstand (PB L 20 van 26.1.2010, blz. 7).</w:t>
            </w:r>
          </w:p>
        </w:tc>
        <w:tc>
          <w:tcPr>
            <w:tcW w:w="4876" w:type="dxa"/>
          </w:tcPr>
          <w:p w:rsidR="00516FB4" w:rsidRPr="005766D7" w:rsidRDefault="00516FB4" w:rsidP="00C91789">
            <w:pPr>
              <w:pStyle w:val="Normal6"/>
            </w:pPr>
            <w:r w:rsidRPr="005766D7">
              <w:rPr>
                <w:rStyle w:val="Sup"/>
                <w:color w:val="auto"/>
              </w:rPr>
              <w:t>24</w:t>
            </w:r>
            <w:r w:rsidRPr="005766D7">
              <w:t xml:space="preserve"> Richtlijn 2009/147/EG van het Europees Parlement en de Raad van 30 november 2009 inzake het behoud van de vogelstand (PB L 20 van 26.1.2010, blz. 7).</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25</w:t>
            </w:r>
            <w:r w:rsidRPr="005766D7">
              <w:t xml:space="preserve"> Verordening (EU) nr. 1143/2014 van het Europees Parlement en de Raad van 22 oktober 2014 betreffende de preventie en beheersing van de introductie en verspreiding van invasieve uitheemse soorten (PB L 317 van 4.11.2014, blz. 35).</w:t>
            </w:r>
          </w:p>
        </w:tc>
        <w:tc>
          <w:tcPr>
            <w:tcW w:w="4876" w:type="dxa"/>
          </w:tcPr>
          <w:p w:rsidR="00516FB4" w:rsidRPr="005766D7" w:rsidRDefault="00516FB4" w:rsidP="00C91789">
            <w:pPr>
              <w:pStyle w:val="Normal6"/>
            </w:pPr>
            <w:r w:rsidRPr="005766D7">
              <w:rPr>
                <w:rStyle w:val="Sup"/>
                <w:color w:val="auto"/>
              </w:rPr>
              <w:t>25</w:t>
            </w:r>
            <w:r w:rsidRPr="005766D7">
              <w:t xml:space="preserve"> Verordening (EU) nr. 1143/2014 van het Europees Parlement en de Raad van 22 oktober 2014 betreffende de preventie en beheersing van de introductie en verspreiding van invasieve uitheemse soorten (PB L 317 van 4.11.2014, blz. 35).</w:t>
            </w:r>
          </w:p>
        </w:tc>
      </w:tr>
    </w:tbl>
    <w:p w:rsidR="00516FB4" w:rsidRPr="005766D7" w:rsidRDefault="00516FB4" w:rsidP="00516FB4">
      <w:r w:rsidRPr="005766D7">
        <w:rPr>
          <w:rStyle w:val="HideTWBExt"/>
          <w:noProof w:val="0"/>
        </w:rPr>
        <w:t>&lt;/Amend&gt;</w:t>
      </w:r>
    </w:p>
    <w:p w:rsidR="00804D54" w:rsidRPr="005766D7" w:rsidRDefault="00804D54" w:rsidP="00804D5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10</w:t>
      </w:r>
      <w:r w:rsidRPr="005766D7">
        <w:rPr>
          <w:rStyle w:val="HideTWBExt"/>
          <w:noProof w:val="0"/>
        </w:rPr>
        <w:t>&lt;/NumAm&gt;</w:t>
      </w:r>
    </w:p>
    <w:p w:rsidR="00804D54" w:rsidRPr="005766D7" w:rsidRDefault="00804D54" w:rsidP="00804D5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804D54" w:rsidRPr="005766D7" w:rsidRDefault="00804D54" w:rsidP="00804D54">
      <w:pPr>
        <w:pStyle w:val="NormalBold"/>
      </w:pPr>
      <w:r w:rsidRPr="005766D7">
        <w:rPr>
          <w:rStyle w:val="HideTWBExt"/>
          <w:noProof w:val="0"/>
        </w:rPr>
        <w:t>&lt;Article&gt;</w:t>
      </w:r>
      <w:r w:rsidRPr="005766D7">
        <w:t>Overweging 16</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4D54" w:rsidRPr="005766D7" w:rsidTr="00EB2E31">
        <w:trPr>
          <w:trHeight w:hRule="exact" w:val="240"/>
          <w:jc w:val="center"/>
        </w:trPr>
        <w:tc>
          <w:tcPr>
            <w:tcW w:w="9752" w:type="dxa"/>
            <w:gridSpan w:val="2"/>
          </w:tcPr>
          <w:p w:rsidR="00804D54" w:rsidRPr="005766D7" w:rsidRDefault="00804D54" w:rsidP="00EB2E31"/>
        </w:tc>
      </w:tr>
      <w:tr w:rsidR="00804D54" w:rsidRPr="005766D7" w:rsidTr="00EB2E31">
        <w:trPr>
          <w:trHeight w:val="240"/>
          <w:jc w:val="center"/>
        </w:trPr>
        <w:tc>
          <w:tcPr>
            <w:tcW w:w="4876" w:type="dxa"/>
          </w:tcPr>
          <w:p w:rsidR="00804D54" w:rsidRPr="005766D7" w:rsidRDefault="00804D54" w:rsidP="00EB2E31">
            <w:pPr>
              <w:pStyle w:val="ColumnHeading"/>
            </w:pPr>
            <w:r w:rsidRPr="005766D7">
              <w:t>Door de Commissie voorgestelde tekst</w:t>
            </w:r>
          </w:p>
        </w:tc>
        <w:tc>
          <w:tcPr>
            <w:tcW w:w="4876" w:type="dxa"/>
          </w:tcPr>
          <w:p w:rsidR="00804D54" w:rsidRPr="005766D7" w:rsidRDefault="00804D54" w:rsidP="00EB2E31">
            <w:pPr>
              <w:pStyle w:val="ColumnHeading"/>
            </w:pPr>
            <w:r w:rsidRPr="005766D7">
              <w:t>Amendement</w:t>
            </w:r>
          </w:p>
        </w:tc>
      </w:tr>
      <w:tr w:rsidR="00804D54" w:rsidRPr="005766D7" w:rsidTr="00EB2E31">
        <w:trPr>
          <w:jc w:val="center"/>
        </w:trPr>
        <w:tc>
          <w:tcPr>
            <w:tcW w:w="4876" w:type="dxa"/>
          </w:tcPr>
          <w:p w:rsidR="00804D54" w:rsidRPr="005766D7" w:rsidRDefault="00804D54" w:rsidP="00EB2E31">
            <w:pPr>
              <w:pStyle w:val="Normal6"/>
            </w:pPr>
            <w:r w:rsidRPr="005766D7">
              <w:t>(16)</w:t>
            </w:r>
            <w:r w:rsidRPr="005766D7">
              <w:tab/>
              <w:t xml:space="preserve">De bevordering van de circulaire economie vergt een mentaliteitswijziging wat betreft de wijze waarop materialen en producten, met inbegrip van kunststoffen, worden ontworpen, geproduceerd, geconsumeerd en verwijderd. Het programma moet bijdragen aan de overgang naar een circulaire economie door middel van financiële steun die gericht is op een veelheid van actoren (ondernemingen, overheden en consumenten), met name door de beste, op de specifieke lokale, regionale of nationale situatie toegesneden, technologieën, praktijken en oplossingen, met inbegrip van geïntegreerde benaderingen voor de tenuitvoerlegging van plannen voor afvalbeheer en -preventie, toe te passen, te ontwikkelen en te dupliceren. Door de tenuitvoerlegging van de strategie voor kunststoffen kunnen maatregelen worden genomen om met name het probleem van zwerfvuil </w:t>
            </w:r>
            <w:r w:rsidRPr="005766D7">
              <w:rPr>
                <w:b/>
                <w:i/>
              </w:rPr>
              <w:t>op zee</w:t>
            </w:r>
            <w:r w:rsidRPr="005766D7">
              <w:t xml:space="preserve"> aan te pakken.</w:t>
            </w:r>
          </w:p>
        </w:tc>
        <w:tc>
          <w:tcPr>
            <w:tcW w:w="4876" w:type="dxa"/>
          </w:tcPr>
          <w:p w:rsidR="00804D54" w:rsidRPr="005766D7" w:rsidRDefault="00804D54" w:rsidP="00EB2E31">
            <w:pPr>
              <w:pStyle w:val="Normal6"/>
            </w:pPr>
            <w:r w:rsidRPr="005766D7">
              <w:t>(16)</w:t>
            </w:r>
            <w:r w:rsidRPr="005766D7">
              <w:tab/>
              <w:t xml:space="preserve">De bevordering van de circulaire economie vergt een mentaliteitswijziging wat betreft de wijze waarop materialen en producten, met inbegrip van kunststoffen, worden ontworpen, geproduceerd, geconsumeerd en verwijderd. Het programma moet bijdragen aan de overgang naar een circulaire economie door middel van financiële steun die gericht is op een veelheid van actoren (ondernemingen, overheden en consumenten), met name door de beste, op de specifieke lokale, regionale of nationale situatie toegesneden, technologieën, praktijken en oplossingen, met inbegrip van geïntegreerde benaderingen voor de tenuitvoerlegging van plannen voor afvalbeheer en -preventie, toe te passen, te ontwikkelen en te dupliceren. Door de tenuitvoerlegging van de strategie voor kunststoffen kunnen maatregelen worden genomen om met name het probleem van zwerfvuil </w:t>
            </w:r>
            <w:r w:rsidRPr="005766D7">
              <w:rPr>
                <w:b/>
                <w:i/>
              </w:rPr>
              <w:t>in het aquatische milieu</w:t>
            </w:r>
            <w:r w:rsidRPr="005766D7">
              <w:t xml:space="preserve"> aan te pakken.</w:t>
            </w:r>
          </w:p>
        </w:tc>
      </w:tr>
    </w:tbl>
    <w:p w:rsidR="00804D54" w:rsidRPr="005766D7" w:rsidRDefault="00804D54" w:rsidP="00804D54">
      <w:r w:rsidRPr="005766D7">
        <w:rPr>
          <w:rStyle w:val="HideTWBExt"/>
          <w:noProof w:val="0"/>
        </w:rPr>
        <w:t>&lt;/Amend&gt;</w:t>
      </w:r>
    </w:p>
    <w:p w:rsidR="00804D54" w:rsidRPr="005766D7" w:rsidRDefault="00804D54" w:rsidP="00804D5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11</w:t>
      </w:r>
      <w:r w:rsidRPr="005766D7">
        <w:rPr>
          <w:rStyle w:val="HideTWBExt"/>
          <w:noProof w:val="0"/>
        </w:rPr>
        <w:t>&lt;/NumAm&gt;</w:t>
      </w:r>
    </w:p>
    <w:p w:rsidR="00804D54" w:rsidRPr="005766D7" w:rsidRDefault="00804D54" w:rsidP="00804D5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804D54" w:rsidRPr="005766D7" w:rsidRDefault="00804D54" w:rsidP="00804D54">
      <w:pPr>
        <w:pStyle w:val="NormalBold"/>
      </w:pPr>
      <w:r w:rsidRPr="005766D7">
        <w:rPr>
          <w:rStyle w:val="HideTWBExt"/>
          <w:noProof w:val="0"/>
        </w:rPr>
        <w:t>&lt;Article&gt;</w:t>
      </w:r>
      <w:r w:rsidRPr="005766D7">
        <w:t>Overweging 19</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4D54" w:rsidRPr="005766D7" w:rsidTr="00EB2E31">
        <w:trPr>
          <w:trHeight w:hRule="exact" w:val="240"/>
          <w:jc w:val="center"/>
        </w:trPr>
        <w:tc>
          <w:tcPr>
            <w:tcW w:w="9752" w:type="dxa"/>
            <w:gridSpan w:val="2"/>
          </w:tcPr>
          <w:p w:rsidR="00804D54" w:rsidRPr="005766D7" w:rsidRDefault="00804D54" w:rsidP="00EB2E31"/>
        </w:tc>
      </w:tr>
      <w:tr w:rsidR="00804D54" w:rsidRPr="005766D7" w:rsidTr="00EB2E31">
        <w:trPr>
          <w:trHeight w:val="240"/>
          <w:jc w:val="center"/>
        </w:trPr>
        <w:tc>
          <w:tcPr>
            <w:tcW w:w="4876" w:type="dxa"/>
          </w:tcPr>
          <w:p w:rsidR="00804D54" w:rsidRPr="005766D7" w:rsidRDefault="00804D54" w:rsidP="00EB2E31">
            <w:pPr>
              <w:pStyle w:val="ColumnHeading"/>
            </w:pPr>
            <w:r w:rsidRPr="005766D7">
              <w:t>Door de Commissie voorgestelde tekst</w:t>
            </w:r>
          </w:p>
        </w:tc>
        <w:tc>
          <w:tcPr>
            <w:tcW w:w="4876" w:type="dxa"/>
          </w:tcPr>
          <w:p w:rsidR="00804D54" w:rsidRPr="005766D7" w:rsidRDefault="00804D54" w:rsidP="00EB2E31">
            <w:pPr>
              <w:pStyle w:val="ColumnHeading"/>
            </w:pPr>
            <w:r w:rsidRPr="005766D7">
              <w:t>Amendement</w:t>
            </w:r>
          </w:p>
        </w:tc>
      </w:tr>
      <w:tr w:rsidR="00804D54" w:rsidRPr="005766D7" w:rsidTr="00EB2E31">
        <w:trPr>
          <w:jc w:val="center"/>
        </w:trPr>
        <w:tc>
          <w:tcPr>
            <w:tcW w:w="4876" w:type="dxa"/>
          </w:tcPr>
          <w:p w:rsidR="00804D54" w:rsidRPr="005766D7" w:rsidRDefault="00804D54" w:rsidP="00EB2E31">
            <w:pPr>
              <w:pStyle w:val="Normal6"/>
            </w:pPr>
            <w:r w:rsidRPr="005766D7">
              <w:t>(19)</w:t>
            </w:r>
            <w:r w:rsidRPr="005766D7">
              <w:tab/>
              <w:t xml:space="preserve">De bescherming en het herstel van het </w:t>
            </w:r>
            <w:r w:rsidRPr="005766D7">
              <w:rPr>
                <w:b/>
                <w:i/>
              </w:rPr>
              <w:t>mariene</w:t>
            </w:r>
            <w:r w:rsidRPr="005766D7">
              <w:t xml:space="preserve"> milieu is een van de algemene doelstellingen van het milieubeleid van de Unie. Het programma moet ten dienste staan van het volgende: het beheer, de instandhouding, het herstel en de monitoring van de biodiversiteit en </w:t>
            </w:r>
            <w:r w:rsidRPr="005766D7">
              <w:rPr>
                <w:b/>
                <w:i/>
              </w:rPr>
              <w:t>mariene</w:t>
            </w:r>
            <w:r w:rsidRPr="005766D7">
              <w:t xml:space="preserve"> ecosystemen, met name de mariene gebieden van Natura 2000, en de bescherming van soorten overeenkomstig de krachtens Richtlijn 92/43/EEG ontwikkelde prioritaire actiekaders; het bereiken van een goede milieutoestand in de zin van Richtlijn 2008/56/EG van het Europees Parlement en de Raad</w:t>
            </w:r>
            <w:r w:rsidRPr="005766D7">
              <w:rPr>
                <w:rStyle w:val="Sup"/>
                <w:color w:val="auto"/>
              </w:rPr>
              <w:t>28</w:t>
            </w:r>
            <w:r w:rsidRPr="005766D7">
              <w:t xml:space="preserve">; de bevordering van schone en gezonde zeeën; de tenuitvoerlegging van de Europese strategie voor kunststoffen in een circulaire economie, met name om het probleem van verloren vistuig en zwerfvuil op zee aan te pakken; en de bevordering van de rol van de Unie in de internationale oceaangovernance, die van essentieel belang is voor de verwezenlijking van de doelstellingen van de Agenda 2030 voor duurzame ontwikkeling van de Verenigde Naties en voor het veiligstellen van gezonde oceanen voor toekomstige generaties. De strategische geïntegreerde projecten en strategische natuurprojecten van het programma moeten relevante acties omvatten die gericht zijn op de bescherming van het </w:t>
            </w:r>
            <w:r w:rsidRPr="005766D7">
              <w:rPr>
                <w:b/>
                <w:i/>
              </w:rPr>
              <w:t>mariene</w:t>
            </w:r>
            <w:r w:rsidRPr="005766D7">
              <w:t xml:space="preserve"> milieu.</w:t>
            </w:r>
          </w:p>
        </w:tc>
        <w:tc>
          <w:tcPr>
            <w:tcW w:w="4876" w:type="dxa"/>
          </w:tcPr>
          <w:p w:rsidR="00804D54" w:rsidRPr="005766D7" w:rsidRDefault="00804D54" w:rsidP="00EB2E31">
            <w:pPr>
              <w:pStyle w:val="Normal6"/>
            </w:pPr>
            <w:r w:rsidRPr="005766D7">
              <w:t>(19)</w:t>
            </w:r>
            <w:r w:rsidRPr="005766D7">
              <w:tab/>
              <w:t xml:space="preserve">De bescherming en het herstel van het </w:t>
            </w:r>
            <w:r w:rsidRPr="005766D7">
              <w:rPr>
                <w:b/>
                <w:i/>
              </w:rPr>
              <w:t>aquatische</w:t>
            </w:r>
            <w:r w:rsidRPr="005766D7">
              <w:t xml:space="preserve"> milieu is een van de algemene doelstellingen van het milieubeleid van de Unie. Het programma moet ten dienste staan van het volgende: het beheer, de instandhouding, het herstel en de monitoring van de biodiversiteit en </w:t>
            </w:r>
            <w:r w:rsidRPr="005766D7">
              <w:rPr>
                <w:b/>
                <w:i/>
              </w:rPr>
              <w:t>aquatische</w:t>
            </w:r>
            <w:r w:rsidRPr="005766D7">
              <w:t xml:space="preserve"> ecosystemen, met name de mariene gebieden van Natura 2000, en de bescherming van soorten overeenkomstig de krachtens Richtlijn 92/43/EEG ontwikkelde prioritaire actiekaders; het bereiken van een goede milieutoestand in de zin van Richtlijn 2008/56/EG van het Europees Parlement en de Raad</w:t>
            </w:r>
            <w:r w:rsidRPr="005766D7">
              <w:rPr>
                <w:rStyle w:val="Sup"/>
                <w:color w:val="auto"/>
              </w:rPr>
              <w:t>28</w:t>
            </w:r>
            <w:r w:rsidRPr="005766D7">
              <w:t xml:space="preserve">; de bevordering van schone en gezonde zeeën; de tenuitvoerlegging van de Europese strategie voor kunststoffen in een circulaire economie, met name om het probleem van verloren vistuig en zwerfvuil op zee aan te pakken; en de bevordering van de rol van de Unie in de internationale oceaangovernance, die van essentieel belang is voor de verwezenlijking van de doelstellingen van de Agenda 2030 voor duurzame ontwikkeling van de Verenigde Naties en voor het veiligstellen van gezonde oceanen voor toekomstige generaties. De strategische geïntegreerde projecten en strategische natuurprojecten van het programma moeten relevante acties omvatten die gericht zijn op de bescherming van het </w:t>
            </w:r>
            <w:r w:rsidRPr="005766D7">
              <w:rPr>
                <w:b/>
                <w:i/>
              </w:rPr>
              <w:t>aquatische</w:t>
            </w:r>
            <w:r w:rsidRPr="005766D7">
              <w:t xml:space="preserve"> milieu.</w:t>
            </w:r>
          </w:p>
        </w:tc>
      </w:tr>
      <w:tr w:rsidR="00804D54" w:rsidRPr="005766D7" w:rsidTr="00EB2E31">
        <w:trPr>
          <w:jc w:val="center"/>
        </w:trPr>
        <w:tc>
          <w:tcPr>
            <w:tcW w:w="4876" w:type="dxa"/>
          </w:tcPr>
          <w:p w:rsidR="00804D54" w:rsidRPr="005766D7" w:rsidRDefault="00804D54" w:rsidP="00EB2E31">
            <w:pPr>
              <w:pStyle w:val="Normal6"/>
            </w:pPr>
            <w:r w:rsidRPr="005766D7">
              <w:t>_________________</w:t>
            </w:r>
          </w:p>
        </w:tc>
        <w:tc>
          <w:tcPr>
            <w:tcW w:w="4876" w:type="dxa"/>
          </w:tcPr>
          <w:p w:rsidR="00804D54" w:rsidRPr="005766D7" w:rsidRDefault="00804D54" w:rsidP="00EB2E31">
            <w:pPr>
              <w:pStyle w:val="Normal6"/>
            </w:pPr>
            <w:r w:rsidRPr="005766D7">
              <w:t>_________________</w:t>
            </w:r>
          </w:p>
        </w:tc>
      </w:tr>
      <w:tr w:rsidR="00804D54" w:rsidRPr="005766D7" w:rsidTr="00EB2E31">
        <w:trPr>
          <w:jc w:val="center"/>
        </w:trPr>
        <w:tc>
          <w:tcPr>
            <w:tcW w:w="4876" w:type="dxa"/>
          </w:tcPr>
          <w:p w:rsidR="00804D54" w:rsidRPr="005766D7" w:rsidRDefault="00804D54" w:rsidP="00EB2E31">
            <w:pPr>
              <w:pStyle w:val="Normal6"/>
            </w:pPr>
            <w:r w:rsidRPr="005766D7">
              <w:rPr>
                <w:rStyle w:val="Sup"/>
                <w:color w:val="auto"/>
              </w:rPr>
              <w:t>28</w:t>
            </w:r>
            <w:r w:rsidRPr="005766D7">
              <w:t xml:space="preserve"> Richtlijn 2008/56/EG van het Europees Parlement en de Raad van 17 juni 2008 tot vaststelling van een kader voor communautaire maatregelen betreffende het beleid ten aanzien van het mariene milieu (Kaderrichtlijn mariene strategie) (PB L 164 van 25.6.2008, blz. 19).</w:t>
            </w:r>
          </w:p>
        </w:tc>
        <w:tc>
          <w:tcPr>
            <w:tcW w:w="4876" w:type="dxa"/>
          </w:tcPr>
          <w:p w:rsidR="00804D54" w:rsidRPr="005766D7" w:rsidRDefault="00804D54" w:rsidP="00EB2E31">
            <w:pPr>
              <w:pStyle w:val="Normal6"/>
            </w:pPr>
            <w:r w:rsidRPr="005766D7">
              <w:rPr>
                <w:rStyle w:val="Sup"/>
                <w:color w:val="auto"/>
              </w:rPr>
              <w:t>28</w:t>
            </w:r>
            <w:r w:rsidRPr="005766D7">
              <w:t xml:space="preserve"> Richtlijn 2008/56/EG van het Europees Parlement en de Raad van 17 juni 2008 tot vaststelling van een kader voor communautaire maatregelen betreffende het beleid ten aanzien van het mariene milieu (Kaderrichtlijn mariene strategie) (PB L 164 van 25.6.2008, blz. 19).</w:t>
            </w:r>
          </w:p>
        </w:tc>
      </w:tr>
    </w:tbl>
    <w:p w:rsidR="00804D54" w:rsidRPr="005766D7" w:rsidRDefault="00804D54" w:rsidP="00804D5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12</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20</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(20)</w:t>
            </w:r>
            <w:r w:rsidRPr="005766D7">
              <w:tab/>
              <w:t>Verbetering van de governance op het gebied van milieu en klimaatverandering en van daarmee verband houdende kwesties met betrekking tot de overgang naar schone energie, vereist betrokkenheid van het maatschappelijk middenveld dankzij bewustmaking van het publiek, consumentenparticipatie</w:t>
            </w:r>
            <w:r w:rsidRPr="005766D7">
              <w:rPr>
                <w:b/>
                <w:i/>
              </w:rPr>
              <w:t xml:space="preserve">, </w:t>
            </w:r>
            <w:r w:rsidRPr="005766D7">
              <w:t>en</w:t>
            </w:r>
            <w:r w:rsidRPr="005766D7">
              <w:rPr>
                <w:b/>
                <w:i/>
              </w:rPr>
              <w:t xml:space="preserve"> een bredere </w:t>
            </w:r>
            <w:r w:rsidRPr="005766D7">
              <w:t>betrokkenheid van belanghebbenden, met inbegrip van niet-gouvernementele organisaties, bij het overleg over en de tenuitvoerlegging van aanverwant beleid.</w:t>
            </w:r>
          </w:p>
        </w:tc>
        <w:tc>
          <w:tcPr>
            <w:tcW w:w="4876" w:type="dxa"/>
          </w:tcPr>
          <w:p w:rsidR="00516FB4" w:rsidRPr="005766D7" w:rsidRDefault="00516FB4" w:rsidP="00C91789">
            <w:pPr>
              <w:pStyle w:val="Normal6"/>
            </w:pPr>
            <w:r w:rsidRPr="005766D7">
              <w:t>(20)</w:t>
            </w:r>
            <w:r w:rsidRPr="005766D7">
              <w:tab/>
              <w:t xml:space="preserve">Verbetering van de governance op het gebied van milieu en klimaatverandering en van daarmee verband houdende kwesties met betrekking tot de overgang naar schone energie, vereist betrokkenheid van het maatschappelijk middenveld dankzij bewustmaking van het publiek, </w:t>
            </w:r>
            <w:r w:rsidRPr="005766D7">
              <w:rPr>
                <w:b/>
                <w:i/>
              </w:rPr>
              <w:t>onder andere door middel van een communicatiestrategie waarin rekening wordt gehouden met de nieuwe media en sociale netwerken en die leidt tot meer</w:t>
            </w:r>
            <w:r w:rsidRPr="005766D7">
              <w:t xml:space="preserve"> consumentenparticipatie en betrokkenheid van belanghebbenden, met inbegrip van niet-gouvernementele organisaties, bij het overleg over en de tenuitvoerlegging van aanverwant beleid.</w:t>
            </w:r>
          </w:p>
        </w:tc>
      </w:tr>
    </w:tbl>
    <w:p w:rsidR="00516FB4" w:rsidRPr="005766D7" w:rsidRDefault="00516FB4" w:rsidP="00516FB4">
      <w:pPr>
        <w:pStyle w:val="JustificationTitle"/>
      </w:pPr>
      <w:r w:rsidRPr="005766D7">
        <w:rPr>
          <w:rStyle w:val="HideTWBExt"/>
          <w:noProof w:val="0"/>
        </w:rPr>
        <w:t>&lt;TitreJust&gt;</w:t>
      </w:r>
      <w:r w:rsidRPr="005766D7">
        <w:t>Motivering</w:t>
      </w:r>
      <w:r w:rsidRPr="005766D7">
        <w:rPr>
          <w:rStyle w:val="HideTWBExt"/>
          <w:noProof w:val="0"/>
        </w:rPr>
        <w:t>&lt;/TitreJust&gt;</w:t>
      </w:r>
    </w:p>
    <w:p w:rsidR="00516FB4" w:rsidRPr="005766D7" w:rsidRDefault="00516FB4" w:rsidP="00516FB4">
      <w:pPr>
        <w:pStyle w:val="Normal12Italic"/>
      </w:pPr>
      <w:r w:rsidRPr="005766D7">
        <w:t>Het is belangrijk te wijzen op de behoefte aan moderne communicatie.</w:t>
      </w:r>
    </w:p>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13</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22</w:t>
      </w:r>
      <w:r w:rsidRPr="005766D7">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5A0E40">
        <w:trPr>
          <w:trHeight w:hRule="exact" w:val="240"/>
          <w:jc w:val="center"/>
        </w:trPr>
        <w:tc>
          <w:tcPr>
            <w:tcW w:w="9752" w:type="dxa"/>
            <w:gridSpan w:val="2"/>
          </w:tcPr>
          <w:p w:rsidR="00516FB4" w:rsidRPr="005766D7" w:rsidRDefault="00516FB4" w:rsidP="00C91789"/>
        </w:tc>
      </w:tr>
      <w:tr w:rsidR="00516FB4" w:rsidRPr="005766D7" w:rsidTr="005A0E40">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5A0E40">
        <w:trPr>
          <w:jc w:val="center"/>
        </w:trPr>
        <w:tc>
          <w:tcPr>
            <w:tcW w:w="4876" w:type="dxa"/>
          </w:tcPr>
          <w:p w:rsidR="00516FB4" w:rsidRPr="005766D7" w:rsidRDefault="00516FB4" w:rsidP="00C91789">
            <w:pPr>
              <w:pStyle w:val="Normal6"/>
            </w:pPr>
            <w:r w:rsidRPr="005766D7">
              <w:t>(22)</w:t>
            </w:r>
            <w:r w:rsidRPr="005766D7">
              <w:tab/>
              <w:t>Het programma moet marktdeelnemers voorbereiden op en ondersteunen bij de overgang naar een schone, circulaire, energie-efficiënte, koolstofarme en klimaatbestendige economie door nieuwe zakelijke kansen te toetsen, beroepsvaardigheden te verbeteren, de toegang van consumenten tot duurzame producten en diensten te vergemakkelijken, opinie- en smaakmakers over te halen zich voor dit doel in te zetten en hen daartoe de gelegenheid te bieden, en nieuwe methoden te testen voor aanpassing van de bestaande processen en het ondernemingslandschap. Ter ondersteuning van een bredere marktintroductie van duurzame oplossingen moeten maatschappelijk draagvlak en consumentenparticipatie worden gecultiveerd.</w:t>
            </w:r>
          </w:p>
        </w:tc>
        <w:tc>
          <w:tcPr>
            <w:tcW w:w="4876" w:type="dxa"/>
          </w:tcPr>
          <w:p w:rsidR="00516FB4" w:rsidRPr="005766D7" w:rsidRDefault="00516FB4" w:rsidP="00C91789">
            <w:pPr>
              <w:pStyle w:val="Normal6"/>
            </w:pPr>
            <w:r w:rsidRPr="005766D7">
              <w:t>(22)</w:t>
            </w:r>
            <w:r w:rsidRPr="005766D7">
              <w:tab/>
              <w:t xml:space="preserve">Het programma moet marktdeelnemers voorbereiden op en ondersteunen bij de overgang naar een schone, circulaire, energie-efficiënte, koolstofarme en klimaatbestendige economie </w:t>
            </w:r>
            <w:r w:rsidRPr="005766D7">
              <w:rPr>
                <w:b/>
                <w:i/>
              </w:rPr>
              <w:t>door duurzamer om te springen met de bestaande natuurlijke hulpbronnen en</w:t>
            </w:r>
            <w:r w:rsidRPr="005766D7">
              <w:t xml:space="preserve"> door nieuwe zakelijke kansen te toetsen, beroepsvaardigheden te verbeteren, de toegang van consumenten tot duurzame producten en diensten te vergemakkelijken, opinie- en smaakmakers over te halen zich voor dit doel in te zetten en hen daartoe de gelegenheid te bieden, en nieuwe methoden te testen voor aanpassing van de bestaande processen en het ondernemingslandschap. Ter ondersteuning van een bredere marktintroductie van duurzame oplossingen</w:t>
            </w:r>
            <w:r w:rsidRPr="005766D7">
              <w:rPr>
                <w:b/>
                <w:i/>
              </w:rPr>
              <w:t>, met name de ontwikkeling van innovatieve en hernieuwbare energietechnologieën,</w:t>
            </w:r>
            <w:r w:rsidRPr="005766D7">
              <w:t xml:space="preserve"> moeten maatschappelijk draagvlak en consumentenparticipatie worden gecultiveerd.</w:t>
            </w:r>
          </w:p>
        </w:tc>
      </w:tr>
    </w:tbl>
    <w:p w:rsidR="005A0E40" w:rsidRPr="005766D7" w:rsidRDefault="005A0E40" w:rsidP="005A0E40">
      <w:pPr>
        <w:pStyle w:val="JustificationTitle"/>
      </w:pPr>
      <w:r w:rsidRPr="005766D7">
        <w:rPr>
          <w:rStyle w:val="HideTWBExt"/>
          <w:noProof w:val="0"/>
        </w:rPr>
        <w:t>&lt;TitreJust&gt;</w:t>
      </w:r>
      <w:r w:rsidRPr="005766D7">
        <w:t>Motivering</w:t>
      </w:r>
      <w:r w:rsidRPr="005766D7">
        <w:rPr>
          <w:rStyle w:val="HideTWBExt"/>
          <w:noProof w:val="0"/>
        </w:rPr>
        <w:t>&lt;/TitreJust&gt;</w:t>
      </w:r>
    </w:p>
    <w:p w:rsidR="005A0E40" w:rsidRPr="005766D7" w:rsidRDefault="005A0E40" w:rsidP="005A0E40">
      <w:pPr>
        <w:pStyle w:val="Normal12Italic"/>
      </w:pPr>
      <w:r w:rsidRPr="005766D7">
        <w:t>Dankzij de technologische en marktontwikkelingen en (daarnaast) de ondersteuning door de overheid zijn de kosten van installaties voor hernieuwbare energiesystemen de afgelopen tien jaar zeer sterk gedaald. We moeten in deze richting voortgaan om het potentieel van Europa op energiegebied volledig te ontwikkelen, door alternatieve energiebronnen te beoordelen die vandaag nog maar weinig gebruikt worden (zoals mariene of geothermische energie) en door de energie-onafhankelijkheid van de EU ten aanzien van derde landen te ontwikkelen.</w:t>
      </w:r>
    </w:p>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14</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24</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(24)</w:t>
            </w:r>
            <w:r w:rsidRPr="005766D7">
              <w:tab/>
            </w:r>
            <w:r w:rsidRPr="005766D7">
              <w:rPr>
                <w:b/>
                <w:i/>
              </w:rPr>
              <w:t>Wegens het belang van</w:t>
            </w:r>
            <w:r w:rsidRPr="005766D7">
              <w:t xml:space="preserve"> </w:t>
            </w:r>
            <w:r w:rsidRPr="005766D7">
              <w:rPr>
                <w:b/>
                <w:i/>
              </w:rPr>
              <w:t>de strijd tegen</w:t>
            </w:r>
            <w:r w:rsidRPr="005766D7">
              <w:t xml:space="preserve"> klimaatverandering overeenkomstig de verbintenissen van de Unie tot uitvoering van de Overeenkomst van Parijs en de duurzameontwikkelingsdoelstellingen van de Verenigde Naties, zal dit programma bijdragen aan de mainstreaming van </w:t>
            </w:r>
            <w:r w:rsidRPr="005766D7">
              <w:rPr>
                <w:b/>
                <w:i/>
              </w:rPr>
              <w:t>klimaatacties</w:t>
            </w:r>
            <w:r w:rsidRPr="005766D7">
              <w:t xml:space="preserve"> en aan het algemene streven dat 25 % van de uitgaven op de begroting van de EU </w:t>
            </w:r>
            <w:r w:rsidRPr="005766D7">
              <w:rPr>
                <w:b/>
                <w:i/>
              </w:rPr>
              <w:t>klimaatdoelstellingen</w:t>
            </w:r>
            <w:r w:rsidRPr="005766D7">
              <w:t xml:space="preserve"> ondersteunen. Met de acties in het kader van dit programma zal naar verwachting een bedrag ter waarde van 61 % van de totale financiële middelen van het programma worden bijgedragen aan de verwezenlijking van klimaatdoelstellingen. De desbetreffende acties zullen worden vastgesteld tijdens de voorbereiding en uitvoering van het programma en zullen opnieuw worden bekeken in het kader van de desbetreffende beoordelingen en evaluatieprocessen.</w:t>
            </w:r>
          </w:p>
        </w:tc>
        <w:tc>
          <w:tcPr>
            <w:tcW w:w="4876" w:type="dxa"/>
          </w:tcPr>
          <w:p w:rsidR="00516FB4" w:rsidRPr="005766D7" w:rsidRDefault="00516FB4" w:rsidP="00C91789">
            <w:pPr>
              <w:pStyle w:val="Normal6"/>
            </w:pPr>
            <w:r w:rsidRPr="005766D7">
              <w:t>(24)</w:t>
            </w:r>
            <w:r w:rsidRPr="005766D7">
              <w:tab/>
            </w:r>
            <w:r w:rsidRPr="005766D7">
              <w:rPr>
                <w:b/>
                <w:i/>
              </w:rPr>
              <w:t>Het aanpakken van de klimaatverandering is een van de belangrijkste mondiale uitdagingen waarvoor een gecoördineerde en ambitieuze reactie vereist is.</w:t>
            </w:r>
            <w:r w:rsidRPr="005766D7">
              <w:t xml:space="preserve"> </w:t>
            </w:r>
            <w:r w:rsidRPr="005766D7">
              <w:rPr>
                <w:b/>
                <w:i/>
              </w:rPr>
              <w:t>De Unie moet</w:t>
            </w:r>
            <w:r w:rsidRPr="005766D7">
              <w:t xml:space="preserve"> de klimaatverandering </w:t>
            </w:r>
            <w:r w:rsidRPr="005766D7">
              <w:rPr>
                <w:b/>
                <w:i/>
              </w:rPr>
              <w:t>aanpakken</w:t>
            </w:r>
            <w:r w:rsidRPr="005766D7">
              <w:t xml:space="preserve"> overeenkomstig de verbintenissen van de Unie tot uitvoering van de Overeenkomst van Parijs en de duurzameontwikkelingsdoelstellingen van de Verenigde Naties, zal dit programma bijdragen aan de mainstreaming van </w:t>
            </w:r>
            <w:r w:rsidRPr="005766D7">
              <w:rPr>
                <w:b/>
                <w:i/>
              </w:rPr>
              <w:t>klimaat- en milieuacties</w:t>
            </w:r>
            <w:r w:rsidRPr="005766D7">
              <w:t xml:space="preserve"> en aan het algemene streven dat 25 % van de uitgaven op de begroting van de EU </w:t>
            </w:r>
            <w:r w:rsidRPr="005766D7">
              <w:rPr>
                <w:b/>
                <w:i/>
              </w:rPr>
              <w:t>klimaat- en milieudoelstellingen</w:t>
            </w:r>
            <w:r w:rsidRPr="005766D7">
              <w:t xml:space="preserve"> ondersteunen. Met de acties in het kader van dit programma zal naar verwachting een bedrag ter waarde van 61 % van de totale financiële middelen van het programma worden bijgedragen aan de verwezenlijking van klimaatdoelstellingen. De desbetreffende acties zullen worden vastgesteld tijdens de voorbereiding en uitvoering van het programma en zullen opnieuw worden bekeken in het kader van de desbetreffende beoordelingen en evaluatieprocessen.</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15</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25</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(25)</w:t>
            </w:r>
            <w:r w:rsidRPr="005766D7">
              <w:tab/>
              <w:t>Bij de tenuitvoerlegging van het programma moet terdege rekening worden gehouden met de strategie voor ultraperifere gebieden</w:t>
            </w:r>
            <w:r w:rsidRPr="005766D7">
              <w:rPr>
                <w:rStyle w:val="Sup"/>
                <w:color w:val="auto"/>
              </w:rPr>
              <w:t>30</w:t>
            </w:r>
            <w:r w:rsidRPr="005766D7">
              <w:t xml:space="preserve"> in het licht van artikel 349 VWEU en de specifieke behoeften en kwetsbaarheden van deze gebieden. Ander beleid van de Unie dan dat op het gebied van het milieu, het klimaat en, waar relevant, de overgang naar schone energie moet ook in aanmerking worden genomen.</w:t>
            </w:r>
          </w:p>
        </w:tc>
        <w:tc>
          <w:tcPr>
            <w:tcW w:w="4876" w:type="dxa"/>
          </w:tcPr>
          <w:p w:rsidR="00516FB4" w:rsidRPr="005766D7" w:rsidRDefault="00516FB4" w:rsidP="00C91789">
            <w:pPr>
              <w:pStyle w:val="Normal6"/>
            </w:pPr>
            <w:r w:rsidRPr="005766D7">
              <w:t>(25)</w:t>
            </w:r>
            <w:r w:rsidRPr="005766D7">
              <w:tab/>
              <w:t>Bij de tenuitvoerlegging van het programma moet terdege rekening worden gehouden met de strategie voor ultraperifere gebieden</w:t>
            </w:r>
            <w:r w:rsidRPr="005766D7">
              <w:rPr>
                <w:rStyle w:val="Sup"/>
                <w:color w:val="auto"/>
              </w:rPr>
              <w:t>30</w:t>
            </w:r>
            <w:r w:rsidRPr="005766D7">
              <w:t xml:space="preserve"> in het licht van artikel 349 VWEU en de specifieke behoeften en kwetsbaarheden van deze gebieden. Ander beleid van de Unie dan dat op het gebied van het milieu, het klimaat</w:t>
            </w:r>
            <w:r w:rsidRPr="005766D7">
              <w:rPr>
                <w:b/>
                <w:i/>
              </w:rPr>
              <w:t>, de circulaire economie</w:t>
            </w:r>
            <w:r w:rsidRPr="005766D7">
              <w:t xml:space="preserve"> en, waar relevant, de overgang naar schone energie moet ook in aanmerking worden genomen.</w:t>
            </w:r>
          </w:p>
        </w:tc>
      </w:tr>
      <w:tr w:rsidR="00516FB4" w:rsidRPr="005766D7" w:rsidTr="00C91789">
        <w:trPr>
          <w:jc w:val="center"/>
        </w:trPr>
        <w:tc>
          <w:tcPr>
            <w:tcW w:w="4876" w:type="dxa"/>
          </w:tcPr>
          <w:p w:rsidR="00516FB4" w:rsidRPr="005766D7" w:rsidRDefault="00516FB4" w:rsidP="00C91789">
            <w:pPr>
              <w:pStyle w:val="Normal6"/>
            </w:pPr>
            <w:r w:rsidRPr="005766D7">
              <w:t>_________________</w:t>
            </w:r>
          </w:p>
        </w:tc>
        <w:tc>
          <w:tcPr>
            <w:tcW w:w="4876" w:type="dxa"/>
          </w:tcPr>
          <w:p w:rsidR="00516FB4" w:rsidRPr="005766D7" w:rsidRDefault="00516FB4" w:rsidP="00C91789">
            <w:pPr>
              <w:pStyle w:val="Normal6"/>
            </w:pPr>
            <w:r w:rsidRPr="005766D7">
              <w:t>_________________</w:t>
            </w:r>
          </w:p>
        </w:tc>
      </w:tr>
      <w:tr w:rsidR="00516FB4" w:rsidRPr="005766D7" w:rsidTr="00C91789">
        <w:trPr>
          <w:jc w:val="center"/>
        </w:trPr>
        <w:tc>
          <w:tcPr>
            <w:tcW w:w="4876" w:type="dxa"/>
          </w:tcPr>
          <w:p w:rsidR="00516FB4" w:rsidRPr="005766D7" w:rsidRDefault="00516FB4" w:rsidP="00C91789">
            <w:pPr>
              <w:pStyle w:val="Normal6"/>
            </w:pPr>
            <w:r w:rsidRPr="005766D7">
              <w:rPr>
                <w:rStyle w:val="Sup"/>
                <w:color w:val="auto"/>
              </w:rPr>
              <w:t>30</w:t>
            </w:r>
            <w:r w:rsidRPr="005766D7">
              <w:t xml:space="preserve"> COM(2017) 623 final</w:t>
            </w:r>
          </w:p>
        </w:tc>
        <w:tc>
          <w:tcPr>
            <w:tcW w:w="4876" w:type="dxa"/>
          </w:tcPr>
          <w:p w:rsidR="00516FB4" w:rsidRPr="005766D7" w:rsidRDefault="00516FB4" w:rsidP="00C91789">
            <w:pPr>
              <w:pStyle w:val="Normal6"/>
            </w:pPr>
            <w:r w:rsidRPr="005766D7">
              <w:rPr>
                <w:rStyle w:val="Sup"/>
                <w:color w:val="auto"/>
              </w:rPr>
              <w:t>30</w:t>
            </w:r>
            <w:r w:rsidRPr="005766D7">
              <w:t xml:space="preserve"> COM(2017) 623 final</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16</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Overweging 26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(26 bis)</w:t>
            </w:r>
            <w:r w:rsidRPr="005766D7">
              <w:tab/>
            </w:r>
            <w:r w:rsidRPr="005766D7">
              <w:rPr>
                <w:b/>
                <w:i/>
              </w:rPr>
              <w:t>De evaluatie van deze verordening zal de informatie opleveren die nodig is voor het besluitvormingsproces om het programma zo nodig te verbeteren.</w:t>
            </w:r>
            <w:r w:rsidRPr="005766D7">
              <w:t xml:space="preserve"> </w:t>
            </w:r>
            <w:r w:rsidRPr="005766D7">
              <w:rPr>
                <w:b/>
                <w:i/>
              </w:rPr>
              <w:t>Behalve dat wordt bekeken in hoeverre het programma de in artikel 3 van deze verordening vervatte doelstelling heeft gehaald, moet bijzondere aandacht worden geschonken aan de aanvraagprocedure om te garanderen dat deze middelen toegankelijk zijn voor alle relevante projecten.</w:t>
            </w:r>
            <w:r w:rsidRPr="005766D7">
              <w:t xml:space="preserve"> </w:t>
            </w:r>
            <w:r w:rsidRPr="005766D7">
              <w:rPr>
                <w:b/>
                <w:i/>
              </w:rPr>
              <w:t>Er moet vooral op worden toegezien dat lokale gemeenschappen en het maatschappelijk middenveld er op praktische en eenvoudige wijze aan kunnen deelnemen.</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17</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2 – alinea 1 – punt 1</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(1)</w:t>
            </w:r>
            <w:r w:rsidRPr="005766D7">
              <w:tab/>
              <w:t>"strategische natuurprojecten": projecten ter ondersteuning van de verwezenlijking van de doelstellingen van de Unie op het gebied van natuur en biodiversiteit door samenhangende actieprogramma's in de lidstaten ten uitvoer te leggen om deze doelstellingen en prioriteiten in ander beleid en in andere financieringsinstrumenten te mainstreamen, onder meer door middel van een gecoördineerde tenuitvoerlegging van de krachtens Richtlijn 92/43/EEG vastgestelde prioritaire actiekaders;</w:t>
            </w:r>
          </w:p>
        </w:tc>
        <w:tc>
          <w:tcPr>
            <w:tcW w:w="4876" w:type="dxa"/>
          </w:tcPr>
          <w:p w:rsidR="00516FB4" w:rsidRPr="005766D7" w:rsidRDefault="00516FB4" w:rsidP="00C91789">
            <w:pPr>
              <w:pStyle w:val="Normal6"/>
            </w:pPr>
            <w:r w:rsidRPr="005766D7">
              <w:t>(1)</w:t>
            </w:r>
            <w:r w:rsidRPr="005766D7">
              <w:tab/>
              <w:t>"strategische natuurprojecten": projecten ter ondersteuning van de verwezenlijking van de doelstellingen van de Unie op het gebied van natuur en biodiversiteit</w:t>
            </w:r>
            <w:r w:rsidRPr="005766D7">
              <w:rPr>
                <w:b/>
                <w:i/>
              </w:rPr>
              <w:t>, zoals met name is vastgelegd in Richtlijn 2009/147/EG en Richtlijn 92/43/EEG van de Raad,</w:t>
            </w:r>
            <w:r w:rsidRPr="005766D7">
              <w:t xml:space="preserve"> door samenhangende actieprogramma's in de lidstaten ten uitvoer te leggen om deze doelstellingen en prioriteiten in ander beleid en in andere financieringsinstrumenten te mainstreamen, onder meer door middel van een gecoördineerde tenuitvoerlegging van de krachtens Richtlijn 92/43/EEG vastgestelde prioritaire actiekaders;</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18</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2 – alinea 1 – punt 4</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(4)</w:t>
            </w:r>
            <w:r w:rsidRPr="005766D7">
              <w:tab/>
              <w:t>"standaardactieprojecten": projecten, anders dan strategische geïntegreerde projecten, strategische natuurprojecten of projecten voor technische bijstand, ter verwezenlijking van de specifieke doelstellingen van het programma, als vastgesteld in artikel 3, lid 2;</w:t>
            </w:r>
          </w:p>
        </w:tc>
        <w:tc>
          <w:tcPr>
            <w:tcW w:w="4876" w:type="dxa"/>
          </w:tcPr>
          <w:p w:rsidR="00516FB4" w:rsidRPr="005766D7" w:rsidRDefault="00516FB4" w:rsidP="00C91789">
            <w:pPr>
              <w:pStyle w:val="Normal6"/>
            </w:pPr>
            <w:r w:rsidRPr="005766D7">
              <w:t>(4)</w:t>
            </w:r>
            <w:r w:rsidRPr="005766D7">
              <w:tab/>
              <w:t xml:space="preserve">"standaardactieprojecten": projecten, anders dan strategische geïntegreerde projecten, strategische natuurprojecten of projecten voor technische bijstand, </w:t>
            </w:r>
            <w:r w:rsidRPr="005766D7">
              <w:rPr>
                <w:b/>
                <w:i/>
              </w:rPr>
              <w:t>zoals van onderaf geleide projecten (CLLD),</w:t>
            </w:r>
            <w:r w:rsidRPr="005766D7">
              <w:t xml:space="preserve"> ter verwezenlijking van de specifieke doelstellingen van het programma, als vastgesteld in artikel 3, lid 2;</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19</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3 – lid 1</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1.</w:t>
            </w:r>
            <w:r w:rsidRPr="005766D7">
              <w:tab/>
              <w:t xml:space="preserve">De algemene doelstelling van het programma is bij te dragen aan de overgang naar een </w:t>
            </w:r>
            <w:r w:rsidRPr="005766D7">
              <w:rPr>
                <w:b/>
                <w:i/>
              </w:rPr>
              <w:t>schone</w:t>
            </w:r>
            <w:r w:rsidRPr="005766D7">
              <w:t xml:space="preserve">, circulaire, </w:t>
            </w:r>
            <w:r w:rsidRPr="005766D7">
              <w:rPr>
                <w:b/>
                <w:i/>
              </w:rPr>
              <w:t>energie-efficiënte</w:t>
            </w:r>
            <w:r w:rsidRPr="005766D7">
              <w:t xml:space="preserve">, koolstofarme en klimaatbestendige economie, onder meer door de overgang naar </w:t>
            </w:r>
            <w:r w:rsidRPr="005766D7">
              <w:rPr>
                <w:b/>
                <w:i/>
              </w:rPr>
              <w:t>schone energie</w:t>
            </w:r>
            <w:r w:rsidRPr="005766D7">
              <w:t>,</w:t>
            </w:r>
            <w:r w:rsidRPr="005766D7">
              <w:rPr>
                <w:b/>
                <w:i/>
              </w:rPr>
              <w:t xml:space="preserve"> alsmede aan</w:t>
            </w:r>
            <w:r w:rsidRPr="005766D7">
              <w:t xml:space="preserve"> de bescherming en verbetering van de kwaliteit van het milieu en aan tot staan brengen en ombuigen van biodiversiteitsverlies, en aldus bij te dragen tot </w:t>
            </w:r>
            <w:r w:rsidRPr="005766D7">
              <w:rPr>
                <w:b/>
                <w:i/>
              </w:rPr>
              <w:t>duurzame ontwikkeling</w:t>
            </w:r>
            <w:r w:rsidRPr="005766D7">
              <w:t>.</w:t>
            </w:r>
          </w:p>
        </w:tc>
        <w:tc>
          <w:tcPr>
            <w:tcW w:w="4876" w:type="dxa"/>
          </w:tcPr>
          <w:p w:rsidR="00516FB4" w:rsidRPr="005766D7" w:rsidRDefault="00516FB4" w:rsidP="004D6B0F">
            <w:pPr>
              <w:pStyle w:val="Normal6"/>
            </w:pPr>
            <w:r w:rsidRPr="005766D7">
              <w:t>1.</w:t>
            </w:r>
            <w:r w:rsidRPr="005766D7">
              <w:tab/>
              <w:t xml:space="preserve">De algemene doelstelling van het programma is bij te dragen aan de overgang naar een </w:t>
            </w:r>
            <w:r w:rsidRPr="005766D7">
              <w:rPr>
                <w:b/>
                <w:i/>
              </w:rPr>
              <w:t>duurzame</w:t>
            </w:r>
            <w:r w:rsidRPr="005766D7">
              <w:t xml:space="preserve">, circulaire, </w:t>
            </w:r>
            <w:r w:rsidRPr="005766D7">
              <w:rPr>
                <w:b/>
                <w:i/>
              </w:rPr>
              <w:t>hulpbronnen- en energie-efficiënte</w:t>
            </w:r>
            <w:r w:rsidRPr="005766D7">
              <w:t xml:space="preserve">, koolstofarme en klimaatbestendige economie, onder meer door de overgang naar </w:t>
            </w:r>
            <w:r w:rsidRPr="005766D7">
              <w:rPr>
                <w:b/>
                <w:i/>
              </w:rPr>
              <w:t>een zeer energie-efficiënt en op hernieuwbare energiebronnen gebaseerd energiesysteem</w:t>
            </w:r>
            <w:r w:rsidRPr="005766D7">
              <w:t xml:space="preserve">, </w:t>
            </w:r>
            <w:r w:rsidRPr="005766D7">
              <w:rPr>
                <w:b/>
                <w:i/>
              </w:rPr>
              <w:t>om</w:t>
            </w:r>
            <w:r w:rsidRPr="005766D7">
              <w:t xml:space="preserve"> de bescherming en verbetering van de kwaliteit van het milieu </w:t>
            </w:r>
            <w:r w:rsidRPr="005766D7">
              <w:rPr>
                <w:b/>
                <w:i/>
              </w:rPr>
              <w:t>te waarborgen,</w:t>
            </w:r>
            <w:r w:rsidRPr="005766D7">
              <w:t xml:space="preserve"> en aan tot staan brengen en ombuigen van biodiversiteitsverlies, </w:t>
            </w:r>
            <w:r w:rsidRPr="005766D7">
              <w:rPr>
                <w:b/>
                <w:i/>
              </w:rPr>
              <w:t>waaronder de ondersteuning van Natura 2000 en de aanpak van de aantasting van ecosystemen,</w:t>
            </w:r>
            <w:r w:rsidRPr="005766D7">
              <w:t xml:space="preserve"> en aldus bij te dragen tot </w:t>
            </w:r>
            <w:r w:rsidRPr="005766D7">
              <w:rPr>
                <w:b/>
                <w:i/>
              </w:rPr>
              <w:t>een hoog niveau van milieubescherming en ambitieuze klimaatmaatregelen</w:t>
            </w:r>
            <w:r w:rsidRPr="005766D7">
              <w:t xml:space="preserve">. </w:t>
            </w:r>
            <w:r w:rsidRPr="005766D7">
              <w:rPr>
                <w:b/>
                <w:i/>
              </w:rPr>
              <w:t>Het programma is ook bedoeld om betere milieu- en klimaatgovernance op alle niveaus ondersteunen, inclusief grotere betrokkenheid van het maatschappelijk middenveld, ngo's en lokale actoren.</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20</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3 – lid 2 – letter a</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(a)</w:t>
            </w:r>
            <w:r w:rsidRPr="005766D7">
              <w:tab/>
              <w:t>ontwikkelen, demonstreren en bevorderen van innovatieve technieken en benaderingen ter verwezenlijking van de doelstellingen van de wetgeving en het beleid van de Unie inzake milieu en klimaat, met inbegrip van de overgang naar schone energie, en bijdragen tot de toepassing van de beste praktijken op het vlak van natuur en biodiversiteit;</w:t>
            </w:r>
          </w:p>
        </w:tc>
        <w:tc>
          <w:tcPr>
            <w:tcW w:w="4876" w:type="dxa"/>
          </w:tcPr>
          <w:p w:rsidR="00516FB4" w:rsidRPr="005766D7" w:rsidRDefault="00516FB4" w:rsidP="00C91789">
            <w:pPr>
              <w:pStyle w:val="Normal6"/>
            </w:pPr>
            <w:r w:rsidRPr="005766D7">
              <w:t>(a)</w:t>
            </w:r>
            <w:r w:rsidRPr="005766D7">
              <w:tab/>
              <w:t xml:space="preserve">ontwikkelen, demonstreren en bevorderen van innovatieve technieken en benaderingen ter verwezenlijking van de doelstellingen van de wetgeving en het beleid van de Unie inzake milieu en klimaat, met inbegrip van de overgang naar schone energie, en bijdragen tot </w:t>
            </w:r>
            <w:r w:rsidRPr="005766D7">
              <w:rPr>
                <w:b/>
                <w:i/>
              </w:rPr>
              <w:t xml:space="preserve">en ondersteunen van </w:t>
            </w:r>
            <w:r w:rsidRPr="005766D7">
              <w:t>de toepassing van de beste praktijken op het vlak van natuur en biodiversiteit</w:t>
            </w:r>
            <w:r w:rsidRPr="005766D7">
              <w:rPr>
                <w:b/>
                <w:i/>
              </w:rPr>
              <w:t xml:space="preserve"> en duurzame landbouw en voedselsystemen</w:t>
            </w:r>
            <w:r w:rsidRPr="005766D7">
              <w:t>;</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21</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3 – lid 2 – letter b</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(b)</w:t>
            </w:r>
            <w:r w:rsidRPr="005766D7">
              <w:tab/>
              <w:t>ondersteunen van de ontwikkeling en tenuitvoerlegging van, het toezicht op en de handhaving van de wetgeving en het beleid van de Unie ter zake, onder meer door de governance te verbeteren door middel van capaciteitsopbouw onder publieke en private actoren en betrokkenheid van het maatschappelijk middenveld;</w:t>
            </w:r>
          </w:p>
        </w:tc>
        <w:tc>
          <w:tcPr>
            <w:tcW w:w="4876" w:type="dxa"/>
          </w:tcPr>
          <w:p w:rsidR="00516FB4" w:rsidRPr="005766D7" w:rsidRDefault="00516FB4" w:rsidP="00C91789">
            <w:pPr>
              <w:pStyle w:val="Normal6"/>
            </w:pPr>
            <w:r w:rsidRPr="005766D7">
              <w:t>(b)</w:t>
            </w:r>
            <w:r w:rsidRPr="005766D7">
              <w:tab/>
              <w:t>ondersteunen van de ontwikkeling en tenuitvoerlegging van, het toezicht op en de handhaving van de wetgeving en het beleid van de Unie ter zake, onder meer door de governance te verbeteren door middel van capaciteitsopbouw onder publieke en private actoren</w:t>
            </w:r>
            <w:r w:rsidRPr="005766D7">
              <w:rPr>
                <w:b/>
                <w:i/>
              </w:rPr>
              <w:t>, waaronder de sectoren landbouw, tuinbouw, bosbouw en visserij,</w:t>
            </w:r>
            <w:r w:rsidRPr="005766D7">
              <w:t xml:space="preserve"> en betrokkenheid van het maatschappelijk middenveld;</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22</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3 – lid 2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2 bis.</w:t>
            </w:r>
            <w:r w:rsidRPr="005766D7">
              <w:tab/>
            </w:r>
            <w:r w:rsidRPr="005766D7">
              <w:rPr>
                <w:b/>
                <w:i/>
              </w:rPr>
              <w:t>Het programma doet geen afbreuk aan de doelstellingen van andere wetgeving en beleid van de Unie;</w:t>
            </w:r>
          </w:p>
        </w:tc>
      </w:tr>
    </w:tbl>
    <w:p w:rsidR="00516FB4" w:rsidRPr="005766D7" w:rsidRDefault="00516FB4" w:rsidP="00516FB4">
      <w:pPr>
        <w:pStyle w:val="JustificationTitle"/>
      </w:pPr>
      <w:r w:rsidRPr="005766D7">
        <w:rPr>
          <w:rStyle w:val="HideTWBExt"/>
          <w:noProof w:val="0"/>
        </w:rPr>
        <w:t>&lt;TitreJust&gt;</w:t>
      </w:r>
      <w:r w:rsidRPr="005766D7">
        <w:t>Motivering</w:t>
      </w:r>
      <w:r w:rsidRPr="005766D7">
        <w:rPr>
          <w:rStyle w:val="HideTWBExt"/>
          <w:noProof w:val="0"/>
        </w:rPr>
        <w:t>&lt;/TitreJust&gt;</w:t>
      </w:r>
    </w:p>
    <w:p w:rsidR="00516FB4" w:rsidRPr="005766D7" w:rsidRDefault="00516FB4" w:rsidP="00516FB4">
      <w:pPr>
        <w:pStyle w:val="Normal12Italic"/>
      </w:pPr>
      <w:r w:rsidRPr="005766D7">
        <w:t xml:space="preserve">Helaas hebben de LIFE-projecten de afgelopen jaren in sommige lidstaten geleid tot publieke verontwaardiging en conflicten vanwege de onteigening van familiebedrijven. De onverenigbaarheid van LIFE met andere wetgeving en beleid van de Unie, zoals het GLB en maatregelen voor de bescherming van jonge landbouwers en familiebedrijven moet worden vermeden. De samenwerking met bijvoorbeeld landbouwers en grondbezitters, maar ook met kmo’s en de particuliere sector moet nadrukkelijker aan bod komen in de LIFE-verordening. </w:t>
      </w:r>
    </w:p>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23</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4 – alinea 1 – punt 1 – letter a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(a bis)</w:t>
            </w:r>
            <w:r w:rsidRPr="005766D7">
              <w:tab/>
            </w:r>
            <w:r w:rsidRPr="005766D7">
              <w:rPr>
                <w:b/>
                <w:i/>
              </w:rPr>
              <w:t>duurzame landbouwpraktijken, waaronder bodem- en agrarische diversiteit, het afvangen van koolstof, bodemmonitoring, bescherming van de bodem en het water;</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24</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13 – alinea 1 – letter -a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(-a)</w:t>
            </w:r>
            <w:r w:rsidRPr="005766D7">
              <w:tab/>
            </w:r>
            <w:r w:rsidRPr="005766D7">
              <w:rPr>
                <w:b/>
                <w:i/>
              </w:rPr>
              <w:t>de door het programma gefinancierde projecten leveren een aanzienlijke bijdrage aan de verwezenlijking van ten minste een van de in artikel 3 vastgelegde doelstellingen;</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25</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13 – alinea 1 – letter a</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(a)</w:t>
            </w:r>
            <w:r w:rsidRPr="005766D7">
              <w:tab/>
              <w:t>door het programma gefinancierde projecten ondermijnen geen doelstellingen van het programma op het gebied van milieu, klimaat of, waar relevant, schone energie en bevorderen</w:t>
            </w:r>
            <w:r w:rsidRPr="005766D7">
              <w:rPr>
                <w:b/>
                <w:i/>
              </w:rPr>
              <w:t>,</w:t>
            </w:r>
            <w:r w:rsidRPr="005766D7">
              <w:t xml:space="preserve"> </w:t>
            </w:r>
            <w:r w:rsidRPr="005766D7">
              <w:rPr>
                <w:b/>
                <w:i/>
              </w:rPr>
              <w:t>waar</w:t>
            </w:r>
            <w:r w:rsidRPr="005766D7">
              <w:t xml:space="preserve"> mogelijk, het gebruik van groene overheidsopdrachten;</w:t>
            </w:r>
          </w:p>
        </w:tc>
        <w:tc>
          <w:tcPr>
            <w:tcW w:w="4876" w:type="dxa"/>
          </w:tcPr>
          <w:p w:rsidR="00516FB4" w:rsidRPr="005766D7" w:rsidRDefault="00516FB4" w:rsidP="00C91789">
            <w:pPr>
              <w:pStyle w:val="Normal6"/>
            </w:pPr>
            <w:r w:rsidRPr="005766D7">
              <w:t>(a)</w:t>
            </w:r>
            <w:r w:rsidRPr="005766D7">
              <w:tab/>
              <w:t xml:space="preserve">door het programma gefinancierde projecten ondermijnen geen doelstellingen van het programma op het gebied van milieu, klimaat of, waar relevant, schone energie en bevorderen </w:t>
            </w:r>
            <w:r w:rsidRPr="005766D7">
              <w:rPr>
                <w:b/>
                <w:i/>
              </w:rPr>
              <w:t>zo vaak</w:t>
            </w:r>
            <w:r w:rsidRPr="005766D7">
              <w:t xml:space="preserve"> mogelijk het gebruik van groene overheidsopdrachten;</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26</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13 – alinea 1 – letter a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(a bis)</w:t>
            </w:r>
            <w:r w:rsidRPr="005766D7">
              <w:tab/>
            </w:r>
            <w:r w:rsidRPr="005766D7">
              <w:rPr>
                <w:b/>
                <w:i/>
              </w:rPr>
              <w:t>door het programma gefinancierde projecten druisen niet in tegen andere wetgeving en beleidsprioriteiten van de Unie, met name hulpbronnenefficiëntie en voedselproductie;</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27</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13 – alinea 1 – letter c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(c bis)</w:t>
            </w:r>
            <w:r w:rsidRPr="005766D7">
              <w:tab/>
            </w:r>
            <w:r w:rsidRPr="005766D7">
              <w:rPr>
                <w:b/>
                <w:i/>
              </w:rPr>
              <w:t>er wordt prioriteit toegekend aan projecten met het grootste potentieel voor de betrokkenheid van en slimme samenwerking met het maatschappelijk middenveld, grondbezitters en de sectoren landbouw, tuinbouw en bosbouw;</w:t>
            </w:r>
          </w:p>
        </w:tc>
      </w:tr>
    </w:tbl>
    <w:p w:rsidR="00516FB4" w:rsidRPr="005766D7" w:rsidRDefault="00516FB4" w:rsidP="00516FB4">
      <w:pPr>
        <w:pStyle w:val="JustificationTitle"/>
      </w:pPr>
      <w:r w:rsidRPr="005766D7">
        <w:rPr>
          <w:rStyle w:val="HideTWBExt"/>
          <w:noProof w:val="0"/>
        </w:rPr>
        <w:t>&lt;TitreJust&gt;</w:t>
      </w:r>
      <w:r w:rsidRPr="005766D7">
        <w:t>Motivering</w:t>
      </w:r>
      <w:r w:rsidRPr="005766D7">
        <w:rPr>
          <w:rStyle w:val="HideTWBExt"/>
          <w:noProof w:val="0"/>
        </w:rPr>
        <w:t>&lt;/TitreJust&gt;</w:t>
      </w:r>
    </w:p>
    <w:p w:rsidR="00516FB4" w:rsidRPr="005766D7" w:rsidRDefault="00516FB4" w:rsidP="00516FB4">
      <w:pPr>
        <w:pStyle w:val="Normal12Italic"/>
      </w:pPr>
      <w:r w:rsidRPr="005766D7">
        <w:t>De betrokkenheid van en slimme samenwerking met het maatschappelijk middenveld, grondbezitters en de sectoren landbouw, tuinbouw en bosbouw om innovatieve technieken en benaderingen te ontwikkelen, tentoon te spreiden en te bevorderen teneinde de doelstellingen van de wetgeving en het beleid van de Unie te verwezenlijken op het gebied van milieu en klimaatmaatregelen, waaronder de energietransitie, en om bij te dragen aan en ondersteuning te bieden voor de toepassing van beste praktijken op het vlak van natuur en biodiversiteit, is essentieel voor succesvolle LIFE-projecten, zoals de ervaring tot nu toe heeft geleerd.</w:t>
      </w:r>
    </w:p>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28</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13 – alinea 1 – letter e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(e bis)</w:t>
            </w:r>
            <w:r w:rsidRPr="005766D7">
              <w:tab/>
            </w:r>
            <w:r w:rsidRPr="005766D7">
              <w:rPr>
                <w:b/>
                <w:i/>
              </w:rPr>
              <w:t>de Commissie ziet toe op geografisch evenwicht voor de door het programma gefinancierde projecten;</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29</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13 – alinea 1 – letter f</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(f)</w:t>
            </w:r>
            <w:r w:rsidRPr="005766D7">
              <w:tab/>
              <w:t>in voorkomend geval wordt bijzondere aandacht gegeven aan projecten in geografische gebieden met specifieke behoeften of kwetsbaarheden, zoals gebieden met specifieke milieuproblemen of natuurlijke beperkingen, grensoverschrijdende gebieden of ultraperifere gebieden.</w:t>
            </w:r>
          </w:p>
        </w:tc>
        <w:tc>
          <w:tcPr>
            <w:tcW w:w="4876" w:type="dxa"/>
          </w:tcPr>
          <w:p w:rsidR="00516FB4" w:rsidRPr="005766D7" w:rsidRDefault="00516FB4" w:rsidP="00C91789">
            <w:pPr>
              <w:pStyle w:val="Normal6"/>
            </w:pPr>
            <w:r w:rsidRPr="005766D7">
              <w:t>(f)</w:t>
            </w:r>
            <w:r w:rsidRPr="005766D7">
              <w:tab/>
              <w:t>in voorkomend geval wordt bijzondere aandacht gegeven aan projecten in geografische gebieden met specifieke behoeften of kwetsbaarheden, zoals gebieden met specifieke milieuproblemen of natuurlijke beperkingen, grensoverschrijdende gebieden of ultraperifere gebieden</w:t>
            </w:r>
            <w:r w:rsidRPr="005766D7">
              <w:rPr>
                <w:b/>
                <w:i/>
              </w:rPr>
              <w:t>, mits die projecten milieuvoordelen met zich meebrengen</w:t>
            </w:r>
            <w:r w:rsidRPr="005766D7">
              <w:t>.</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30</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14 – alinea 1 – letter b</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(b)</w:t>
            </w:r>
            <w:r w:rsidRPr="005766D7">
              <w:tab/>
              <w:t xml:space="preserve">de grondaankoop is de enige </w:t>
            </w:r>
            <w:r w:rsidRPr="005766D7">
              <w:rPr>
                <w:b/>
                <w:i/>
              </w:rPr>
              <w:t>of kostenefficiëntste</w:t>
            </w:r>
            <w:r w:rsidRPr="005766D7">
              <w:t xml:space="preserve"> manier om de beoogde instandhouding te verwezenlijken;</w:t>
            </w:r>
          </w:p>
        </w:tc>
        <w:tc>
          <w:tcPr>
            <w:tcW w:w="4876" w:type="dxa"/>
          </w:tcPr>
          <w:p w:rsidR="00516FB4" w:rsidRPr="005766D7" w:rsidRDefault="00516FB4" w:rsidP="00C91789">
            <w:pPr>
              <w:pStyle w:val="Normal6"/>
            </w:pPr>
            <w:r w:rsidRPr="005766D7">
              <w:t>(b)</w:t>
            </w:r>
            <w:r w:rsidRPr="005766D7">
              <w:tab/>
              <w:t>de grondaankoop is de enige manier om de beoogde instandhouding te verwezenlijken;</w:t>
            </w:r>
          </w:p>
        </w:tc>
      </w:tr>
    </w:tbl>
    <w:p w:rsidR="00516FB4" w:rsidRPr="005766D7" w:rsidRDefault="00516FB4" w:rsidP="00516FB4">
      <w:pPr>
        <w:pStyle w:val="JustificationTitle"/>
      </w:pPr>
      <w:r w:rsidRPr="005766D7">
        <w:rPr>
          <w:rStyle w:val="HideTWBExt"/>
          <w:noProof w:val="0"/>
        </w:rPr>
        <w:t>&lt;TitreJust&gt;</w:t>
      </w:r>
      <w:r w:rsidRPr="005766D7">
        <w:t>Motivering</w:t>
      </w:r>
      <w:r w:rsidRPr="005766D7">
        <w:rPr>
          <w:rStyle w:val="HideTWBExt"/>
          <w:noProof w:val="0"/>
        </w:rPr>
        <w:t>&lt;/TitreJust&gt;</w:t>
      </w:r>
    </w:p>
    <w:p w:rsidR="00516FB4" w:rsidRPr="005766D7" w:rsidRDefault="00516FB4" w:rsidP="00516FB4">
      <w:pPr>
        <w:pStyle w:val="Normal12Italic"/>
      </w:pPr>
      <w:r w:rsidRPr="005766D7">
        <w:t>In het verleden zijn percelen landbouwgrond gekocht of onteigend door gebruik te maken van LIFE-middelen, wat aanleiding heeft gegeven tot publieke verontwaardiging. Grondaankoop moet de enige manier zijn om tot het gewenste resultaat te komen. De voorkeur moet worden gegeven aan samenwerking met landbouwers om de instandhoudingsdoelen te halen.</w:t>
      </w:r>
    </w:p>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31</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17 – lid 1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1 bis.</w:t>
            </w:r>
            <w:r w:rsidRPr="005766D7">
              <w:tab/>
            </w:r>
            <w:r w:rsidRPr="005766D7">
              <w:rPr>
                <w:b/>
                <w:i/>
              </w:rPr>
              <w:t>De Commissie stelt, door middel van uitvoeringshandelingen, meerjarige werkprogramma's voor het LIFE-programma vast.</w:t>
            </w:r>
            <w:r w:rsidRPr="005766D7">
              <w:t xml:space="preserve"> </w:t>
            </w:r>
            <w:r w:rsidRPr="005766D7">
              <w:rPr>
                <w:b/>
                <w:i/>
              </w:rPr>
              <w:t>Die uitvoeringshandelingen worden volgens de in artikel 21 bis bedoelde onderzoeksprocedure vastgesteld.</w:t>
            </w:r>
          </w:p>
        </w:tc>
      </w:tr>
    </w:tbl>
    <w:p w:rsidR="00516FB4" w:rsidRPr="005766D7" w:rsidRDefault="00516FB4" w:rsidP="00516FB4">
      <w:pPr>
        <w:pStyle w:val="JustificationTitle"/>
      </w:pPr>
      <w:r w:rsidRPr="005766D7">
        <w:rPr>
          <w:rStyle w:val="HideTWBExt"/>
          <w:noProof w:val="0"/>
        </w:rPr>
        <w:t>&lt;TitreJust&gt;</w:t>
      </w:r>
      <w:r w:rsidRPr="005766D7">
        <w:t>Motivering</w:t>
      </w:r>
      <w:r w:rsidRPr="005766D7">
        <w:rPr>
          <w:rStyle w:val="HideTWBExt"/>
          <w:noProof w:val="0"/>
        </w:rPr>
        <w:t>&lt;/TitreJust&gt;</w:t>
      </w:r>
    </w:p>
    <w:p w:rsidR="00516FB4" w:rsidRPr="005766D7" w:rsidRDefault="00516FB4" w:rsidP="00516FB4">
      <w:pPr>
        <w:pStyle w:val="Normal12Italic"/>
      </w:pPr>
      <w:r w:rsidRPr="005766D7">
        <w:t>Deze procedure van het LIFE-comité is in overeenstemming met de huidige LIFE-verordening. De lidstaten moeten bij het opstellen van werkprogramma’s worden betrokken.</w:t>
      </w:r>
    </w:p>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32</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17 – lid 2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p>
        </w:tc>
        <w:tc>
          <w:tcPr>
            <w:tcW w:w="4876" w:type="dxa"/>
          </w:tcPr>
          <w:p w:rsidR="00516FB4" w:rsidRPr="005766D7" w:rsidRDefault="00516FB4" w:rsidP="00C91789">
            <w:pPr>
              <w:pStyle w:val="Normal6"/>
            </w:pPr>
            <w:r w:rsidRPr="005766D7">
              <w:rPr>
                <w:b/>
                <w:i/>
              </w:rPr>
              <w:t>2 bis.</w:t>
            </w:r>
            <w:r w:rsidRPr="005766D7">
              <w:tab/>
            </w:r>
            <w:r w:rsidRPr="005766D7">
              <w:rPr>
                <w:b/>
                <w:i/>
              </w:rPr>
              <w:t>De Commissie ziet erop toe dat de medewetgevers en belanghebbenden op passende wijze worden geraadpleegd bij de opstelling van werkprogramma’s.</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33</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19 – lid 2</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2.</w:t>
            </w:r>
            <w:r w:rsidRPr="005766D7">
              <w:tab/>
              <w:t>De evaluatie halverwege van het programma wordt uitgevoerd zodra voldoende informatie over de uitvoering van het programma beschikbaar is, doch uiterlijk vier jaar nadat met de uitvoering van het programma is begonnen.</w:t>
            </w:r>
          </w:p>
        </w:tc>
        <w:tc>
          <w:tcPr>
            <w:tcW w:w="4876" w:type="dxa"/>
          </w:tcPr>
          <w:p w:rsidR="00516FB4" w:rsidRPr="005766D7" w:rsidRDefault="00516FB4" w:rsidP="00C91789">
            <w:pPr>
              <w:pStyle w:val="Normal6"/>
            </w:pPr>
            <w:r w:rsidRPr="005766D7">
              <w:t>2.</w:t>
            </w:r>
            <w:r w:rsidRPr="005766D7">
              <w:tab/>
              <w:t>De evaluatie halverwege van het programma wordt uitgevoerd zodra voldoende informatie over de uitvoering van het programma beschikbaar is, doch uiterlijk vier jaar nadat met de uitvoering van het programma is begonnen</w:t>
            </w:r>
            <w:r w:rsidRPr="005766D7">
              <w:rPr>
                <w:b/>
                <w:i/>
              </w:rPr>
              <w:t>, en omvat de overeenkomstig artikel 18, lid 5, uitgevoerde beoordeling</w:t>
            </w:r>
            <w:r w:rsidRPr="005766D7">
              <w:t xml:space="preserve">. </w:t>
            </w:r>
            <w:r w:rsidRPr="005766D7">
              <w:rPr>
                <w:b/>
                <w:i/>
              </w:rPr>
              <w:t>Die tussentijdse evaluatie gaat zo nodig vergezeld van een voorstel tot wijziging van deze verordening.</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34</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19 – lid 3</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3.</w:t>
            </w:r>
            <w:r w:rsidRPr="005766D7">
              <w:tab/>
              <w:t>Aan het einde van de uitvoering van het programma, doch uiterlijk vier jaar na afloop van de in artikel 1, tweede alinea, genoemde periode, voert de Commissie een eindevaluatie van het programma uit.</w:t>
            </w:r>
          </w:p>
        </w:tc>
        <w:tc>
          <w:tcPr>
            <w:tcW w:w="4876" w:type="dxa"/>
          </w:tcPr>
          <w:p w:rsidR="00516FB4" w:rsidRPr="005766D7" w:rsidRDefault="00516FB4" w:rsidP="00C91789">
            <w:pPr>
              <w:pStyle w:val="Normal6"/>
            </w:pPr>
            <w:r w:rsidRPr="005766D7">
              <w:t>3.</w:t>
            </w:r>
            <w:r w:rsidRPr="005766D7">
              <w:tab/>
              <w:t xml:space="preserve">Aan het einde van de uitvoering van het programma, doch uiterlijk vier jaar na afloop van de in artikel 1, tweede alinea, genoemde periode, voert de Commissie een eindevaluatie van het programma uit </w:t>
            </w:r>
            <w:r w:rsidRPr="005766D7">
              <w:rPr>
                <w:b/>
                <w:i/>
              </w:rPr>
              <w:t>waarin de overeenkomstig artikel 18, lid 5, uitgevoerde beoordelingen zijn opgenomen</w:t>
            </w:r>
            <w:r w:rsidRPr="005766D7">
              <w:t xml:space="preserve">. </w:t>
            </w:r>
          </w:p>
        </w:tc>
      </w:tr>
    </w:tbl>
    <w:p w:rsidR="00516FB4" w:rsidRPr="005766D7" w:rsidRDefault="00516FB4" w:rsidP="00516FB4">
      <w:r w:rsidRPr="005766D7">
        <w:rPr>
          <w:rStyle w:val="HideTWBExt"/>
          <w:noProof w:val="0"/>
        </w:rPr>
        <w:t>&lt;/Amend&gt;</w:t>
      </w:r>
    </w:p>
    <w:p w:rsidR="00516FB4" w:rsidRPr="005766D7" w:rsidRDefault="00516FB4" w:rsidP="00516FB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35</w:t>
      </w:r>
      <w:r w:rsidRPr="005766D7">
        <w:rPr>
          <w:rStyle w:val="HideTWBExt"/>
          <w:noProof w:val="0"/>
        </w:rPr>
        <w:t>&lt;/NumAm&gt;</w:t>
      </w:r>
    </w:p>
    <w:p w:rsidR="00516FB4" w:rsidRPr="005766D7" w:rsidRDefault="00516FB4" w:rsidP="00516FB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516FB4" w:rsidRPr="005766D7" w:rsidRDefault="00516FB4" w:rsidP="00516FB4">
      <w:pPr>
        <w:pStyle w:val="NormalBold"/>
      </w:pPr>
      <w:r w:rsidRPr="005766D7">
        <w:rPr>
          <w:rStyle w:val="HideTWBExt"/>
          <w:noProof w:val="0"/>
        </w:rPr>
        <w:t>&lt;Article&gt;</w:t>
      </w:r>
      <w:r w:rsidRPr="005766D7">
        <w:t>Artikel 19 – lid 4</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16FB4" w:rsidRPr="005766D7" w:rsidTr="00C91789">
        <w:trPr>
          <w:trHeight w:hRule="exact" w:val="240"/>
          <w:jc w:val="center"/>
        </w:trPr>
        <w:tc>
          <w:tcPr>
            <w:tcW w:w="9752" w:type="dxa"/>
            <w:gridSpan w:val="2"/>
          </w:tcPr>
          <w:p w:rsidR="00516FB4" w:rsidRPr="005766D7" w:rsidRDefault="00516FB4" w:rsidP="00C91789"/>
        </w:tc>
      </w:tr>
      <w:tr w:rsidR="00516FB4" w:rsidRPr="005766D7" w:rsidTr="00C91789">
        <w:trPr>
          <w:trHeight w:val="240"/>
          <w:jc w:val="center"/>
        </w:trPr>
        <w:tc>
          <w:tcPr>
            <w:tcW w:w="4876" w:type="dxa"/>
          </w:tcPr>
          <w:p w:rsidR="00516FB4" w:rsidRPr="005766D7" w:rsidRDefault="00516FB4" w:rsidP="00C91789">
            <w:pPr>
              <w:pStyle w:val="ColumnHeading"/>
            </w:pPr>
            <w:r w:rsidRPr="005766D7">
              <w:t>Door de Commissie voorgestelde tekst</w:t>
            </w:r>
          </w:p>
        </w:tc>
        <w:tc>
          <w:tcPr>
            <w:tcW w:w="4876" w:type="dxa"/>
          </w:tcPr>
          <w:p w:rsidR="00516FB4" w:rsidRPr="005766D7" w:rsidRDefault="00516FB4" w:rsidP="00C91789">
            <w:pPr>
              <w:pStyle w:val="ColumnHeading"/>
            </w:pPr>
            <w:r w:rsidRPr="005766D7">
              <w:t>Amendement</w:t>
            </w:r>
          </w:p>
        </w:tc>
      </w:tr>
      <w:tr w:rsidR="00516FB4" w:rsidRPr="005766D7" w:rsidTr="00C91789">
        <w:trPr>
          <w:jc w:val="center"/>
        </w:trPr>
        <w:tc>
          <w:tcPr>
            <w:tcW w:w="4876" w:type="dxa"/>
          </w:tcPr>
          <w:p w:rsidR="00516FB4" w:rsidRPr="005766D7" w:rsidRDefault="00516FB4" w:rsidP="00C91789">
            <w:pPr>
              <w:pStyle w:val="Normal6"/>
            </w:pPr>
            <w:r w:rsidRPr="005766D7">
              <w:t>4.</w:t>
            </w:r>
            <w:r w:rsidRPr="005766D7">
              <w:tab/>
              <w:t>De Commissie deelt de conclusies van de evaluaties tezamen met haar opmerkingen mee aan het Europees Parlement, de Raad, het Europees Economisch en Sociaal Comité en het Comité van de Regio's.</w:t>
            </w:r>
          </w:p>
        </w:tc>
        <w:tc>
          <w:tcPr>
            <w:tcW w:w="4876" w:type="dxa"/>
          </w:tcPr>
          <w:p w:rsidR="00516FB4" w:rsidRPr="005766D7" w:rsidRDefault="00516FB4" w:rsidP="00C91789">
            <w:pPr>
              <w:pStyle w:val="Normal6"/>
            </w:pPr>
            <w:r w:rsidRPr="005766D7">
              <w:t>4.</w:t>
            </w:r>
            <w:r w:rsidRPr="005766D7">
              <w:tab/>
              <w:t xml:space="preserve">De Commissie deelt de conclusies van de evaluaties tezamen met haar opmerkingen mee aan het Europees Parlement, de Raad, het Europees Economisch en Sociaal Comité en het Comité van de Regio's. </w:t>
            </w:r>
            <w:r w:rsidRPr="005766D7">
              <w:rPr>
                <w:b/>
                <w:i/>
              </w:rPr>
              <w:t>De Commissie maakt de resultaten van de evaluaties openbaar.</w:t>
            </w:r>
          </w:p>
        </w:tc>
      </w:tr>
    </w:tbl>
    <w:p w:rsidR="00804D54" w:rsidRPr="005766D7" w:rsidRDefault="00516FB4" w:rsidP="00804D54">
      <w:r w:rsidRPr="005766D7">
        <w:rPr>
          <w:rStyle w:val="HideTWBExt"/>
          <w:noProof w:val="0"/>
        </w:rPr>
        <w:t>&lt;/Amend&gt;</w:t>
      </w:r>
    </w:p>
    <w:p w:rsidR="00804D54" w:rsidRPr="005766D7" w:rsidRDefault="00804D54" w:rsidP="00804D54">
      <w:pPr>
        <w:pStyle w:val="AMNumberTabs"/>
      </w:pPr>
      <w:r w:rsidRPr="005766D7">
        <w:rPr>
          <w:rStyle w:val="HideTWBExt"/>
          <w:noProof w:val="0"/>
        </w:rPr>
        <w:t>&lt;Amend&gt;</w:t>
      </w:r>
      <w:r w:rsidRPr="005766D7">
        <w:t>Amendement</w:t>
      </w:r>
      <w:r w:rsidRPr="005766D7">
        <w:tab/>
      </w:r>
      <w:r w:rsidRPr="005766D7">
        <w:tab/>
      </w:r>
      <w:r w:rsidRPr="005766D7">
        <w:rPr>
          <w:rStyle w:val="HideTWBExt"/>
          <w:noProof w:val="0"/>
        </w:rPr>
        <w:t>&lt;NumAm&gt;</w:t>
      </w:r>
      <w:r w:rsidRPr="005766D7">
        <w:t>36</w:t>
      </w:r>
      <w:r w:rsidRPr="005766D7">
        <w:rPr>
          <w:rStyle w:val="HideTWBExt"/>
          <w:noProof w:val="0"/>
        </w:rPr>
        <w:t>&lt;/NumAm&gt;</w:t>
      </w:r>
    </w:p>
    <w:p w:rsidR="00804D54" w:rsidRPr="005766D7" w:rsidRDefault="00804D54" w:rsidP="00804D54">
      <w:pPr>
        <w:pStyle w:val="NormalBold12b"/>
      </w:pPr>
      <w:r w:rsidRPr="005766D7">
        <w:rPr>
          <w:rStyle w:val="HideTWBExt"/>
          <w:noProof w:val="0"/>
        </w:rPr>
        <w:t>&lt;DocAmend&gt;</w:t>
      </w:r>
      <w:r w:rsidRPr="005766D7">
        <w:t>Voorstel voor een verordening</w:t>
      </w:r>
      <w:r w:rsidRPr="005766D7">
        <w:rPr>
          <w:rStyle w:val="HideTWBExt"/>
          <w:noProof w:val="0"/>
        </w:rPr>
        <w:t>&lt;/DocAmend&gt;</w:t>
      </w:r>
    </w:p>
    <w:p w:rsidR="00804D54" w:rsidRPr="005766D7" w:rsidRDefault="00804D54" w:rsidP="00804D54">
      <w:pPr>
        <w:pStyle w:val="NormalBold"/>
      </w:pPr>
      <w:r w:rsidRPr="005766D7">
        <w:rPr>
          <w:rStyle w:val="HideTWBExt"/>
          <w:noProof w:val="0"/>
        </w:rPr>
        <w:t>&lt;Article&gt;</w:t>
      </w:r>
      <w:r w:rsidRPr="005766D7">
        <w:t>Artikel 21 bis (nieuw)</w:t>
      </w:r>
      <w:r w:rsidRPr="005766D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04D54" w:rsidRPr="005766D7" w:rsidTr="00EB2E31">
        <w:trPr>
          <w:trHeight w:hRule="exact" w:val="240"/>
          <w:jc w:val="center"/>
        </w:trPr>
        <w:tc>
          <w:tcPr>
            <w:tcW w:w="9752" w:type="dxa"/>
            <w:gridSpan w:val="2"/>
          </w:tcPr>
          <w:p w:rsidR="00804D54" w:rsidRPr="005766D7" w:rsidRDefault="00804D54" w:rsidP="00EB2E31"/>
        </w:tc>
      </w:tr>
      <w:tr w:rsidR="00804D54" w:rsidRPr="005766D7" w:rsidTr="00EB2E31">
        <w:trPr>
          <w:trHeight w:val="240"/>
          <w:jc w:val="center"/>
        </w:trPr>
        <w:tc>
          <w:tcPr>
            <w:tcW w:w="4876" w:type="dxa"/>
          </w:tcPr>
          <w:p w:rsidR="00804D54" w:rsidRPr="005766D7" w:rsidRDefault="00804D54" w:rsidP="00EB2E31">
            <w:pPr>
              <w:pStyle w:val="ColumnHeading"/>
            </w:pPr>
            <w:r w:rsidRPr="005766D7">
              <w:t>Door de Commissie voorgestelde tekst</w:t>
            </w:r>
          </w:p>
        </w:tc>
        <w:tc>
          <w:tcPr>
            <w:tcW w:w="4876" w:type="dxa"/>
          </w:tcPr>
          <w:p w:rsidR="00804D54" w:rsidRPr="005766D7" w:rsidRDefault="00804D54" w:rsidP="00EB2E31">
            <w:pPr>
              <w:pStyle w:val="ColumnHeading"/>
            </w:pPr>
            <w:r w:rsidRPr="005766D7">
              <w:t>Amendement</w:t>
            </w:r>
          </w:p>
        </w:tc>
      </w:tr>
      <w:tr w:rsidR="00804D54" w:rsidRPr="005766D7" w:rsidTr="00EB2E31">
        <w:trPr>
          <w:jc w:val="center"/>
        </w:trPr>
        <w:tc>
          <w:tcPr>
            <w:tcW w:w="4876" w:type="dxa"/>
          </w:tcPr>
          <w:p w:rsidR="00804D54" w:rsidRPr="005766D7" w:rsidRDefault="00804D54" w:rsidP="00EB2E31">
            <w:pPr>
              <w:pStyle w:val="Normal6"/>
            </w:pPr>
          </w:p>
        </w:tc>
        <w:tc>
          <w:tcPr>
            <w:tcW w:w="4876" w:type="dxa"/>
          </w:tcPr>
          <w:p w:rsidR="00804D54" w:rsidRPr="005766D7" w:rsidRDefault="00804D54" w:rsidP="00EB2E31">
            <w:pPr>
              <w:pStyle w:val="Normal6Center"/>
              <w:rPr>
                <w:color w:val="auto"/>
              </w:rPr>
            </w:pPr>
            <w:r w:rsidRPr="005766D7">
              <w:rPr>
                <w:color w:val="auto"/>
              </w:rPr>
              <w:t>Artikel 21 bis</w:t>
            </w:r>
          </w:p>
        </w:tc>
      </w:tr>
      <w:tr w:rsidR="00804D54" w:rsidRPr="005766D7" w:rsidTr="00EB2E31">
        <w:trPr>
          <w:jc w:val="center"/>
        </w:trPr>
        <w:tc>
          <w:tcPr>
            <w:tcW w:w="4876" w:type="dxa"/>
          </w:tcPr>
          <w:p w:rsidR="00804D54" w:rsidRPr="005766D7" w:rsidRDefault="00804D54" w:rsidP="00EB2E31">
            <w:pPr>
              <w:pStyle w:val="Normal6"/>
            </w:pPr>
          </w:p>
        </w:tc>
        <w:tc>
          <w:tcPr>
            <w:tcW w:w="4876" w:type="dxa"/>
          </w:tcPr>
          <w:p w:rsidR="00804D54" w:rsidRPr="005766D7" w:rsidRDefault="00804D54" w:rsidP="00EB2E31">
            <w:pPr>
              <w:pStyle w:val="Normal6Center"/>
              <w:rPr>
                <w:color w:val="auto"/>
              </w:rPr>
            </w:pPr>
            <w:r w:rsidRPr="005766D7">
              <w:rPr>
                <w:color w:val="auto"/>
              </w:rPr>
              <w:t>Comitéprocedure</w:t>
            </w:r>
          </w:p>
        </w:tc>
      </w:tr>
      <w:tr w:rsidR="00804D54" w:rsidRPr="005766D7" w:rsidTr="00EB2E31">
        <w:trPr>
          <w:jc w:val="center"/>
        </w:trPr>
        <w:tc>
          <w:tcPr>
            <w:tcW w:w="4876" w:type="dxa"/>
          </w:tcPr>
          <w:p w:rsidR="00804D54" w:rsidRPr="005766D7" w:rsidRDefault="00804D54" w:rsidP="00EB2E31">
            <w:pPr>
              <w:pStyle w:val="Normal6"/>
            </w:pPr>
          </w:p>
        </w:tc>
        <w:tc>
          <w:tcPr>
            <w:tcW w:w="4876" w:type="dxa"/>
          </w:tcPr>
          <w:p w:rsidR="00804D54" w:rsidRPr="005766D7" w:rsidRDefault="00804D54" w:rsidP="00EB2E31">
            <w:pPr>
              <w:pStyle w:val="Normal6"/>
            </w:pPr>
            <w:r w:rsidRPr="005766D7">
              <w:rPr>
                <w:b/>
                <w:i/>
              </w:rPr>
              <w:t>1.</w:t>
            </w:r>
            <w:r w:rsidRPr="005766D7">
              <w:rPr>
                <w:b/>
                <w:i/>
              </w:rPr>
              <w:tab/>
              <w:t>De Commissie wordt bijgestaan door het Comité voor het LIFE-programma voor het milieu en klimaatactie.</w:t>
            </w:r>
            <w:r w:rsidRPr="005766D7">
              <w:t xml:space="preserve"> </w:t>
            </w:r>
            <w:r w:rsidRPr="005766D7">
              <w:rPr>
                <w:b/>
                <w:i/>
              </w:rPr>
              <w:t>Dat comité is een comité in de zin van Verordening (EU) nr. 182/2011.</w:t>
            </w:r>
          </w:p>
        </w:tc>
      </w:tr>
      <w:tr w:rsidR="00804D54" w:rsidRPr="005766D7" w:rsidTr="00EB2E31">
        <w:trPr>
          <w:jc w:val="center"/>
        </w:trPr>
        <w:tc>
          <w:tcPr>
            <w:tcW w:w="4876" w:type="dxa"/>
          </w:tcPr>
          <w:p w:rsidR="00804D54" w:rsidRPr="005766D7" w:rsidRDefault="00804D54" w:rsidP="00EB2E31">
            <w:pPr>
              <w:pStyle w:val="Normal6"/>
            </w:pPr>
          </w:p>
        </w:tc>
        <w:tc>
          <w:tcPr>
            <w:tcW w:w="4876" w:type="dxa"/>
          </w:tcPr>
          <w:p w:rsidR="00804D54" w:rsidRPr="005766D7" w:rsidRDefault="00804D54" w:rsidP="00EB2E31">
            <w:pPr>
              <w:pStyle w:val="Normal6"/>
            </w:pPr>
            <w:r w:rsidRPr="005766D7">
              <w:rPr>
                <w:b/>
                <w:i/>
              </w:rPr>
              <w:t>2.</w:t>
            </w:r>
            <w:r w:rsidRPr="005766D7">
              <w:rPr>
                <w:b/>
                <w:i/>
              </w:rPr>
              <w:tab/>
              <w:t>Wanneer naar dit lid wordt verwezen, is artikel 5 van Verordening (EU) nr. 182/2011 van toepassing.</w:t>
            </w:r>
          </w:p>
        </w:tc>
      </w:tr>
      <w:tr w:rsidR="00804D54" w:rsidRPr="005766D7" w:rsidTr="00EB2E31">
        <w:trPr>
          <w:jc w:val="center"/>
        </w:trPr>
        <w:tc>
          <w:tcPr>
            <w:tcW w:w="4876" w:type="dxa"/>
          </w:tcPr>
          <w:p w:rsidR="00804D54" w:rsidRPr="005766D7" w:rsidRDefault="00804D54" w:rsidP="00EB2E31">
            <w:pPr>
              <w:pStyle w:val="Normal6"/>
            </w:pPr>
          </w:p>
        </w:tc>
        <w:tc>
          <w:tcPr>
            <w:tcW w:w="4876" w:type="dxa"/>
          </w:tcPr>
          <w:p w:rsidR="00804D54" w:rsidRPr="005766D7" w:rsidRDefault="00804D54" w:rsidP="00EB2E31">
            <w:pPr>
              <w:pStyle w:val="Normal6"/>
            </w:pPr>
            <w:r w:rsidRPr="005766D7">
              <w:rPr>
                <w:b/>
                <w:i/>
              </w:rPr>
              <w:t>Indien het comité geen advies uitbrengt, neemt de Commissie de ontwerpuitvoeringshandeling niet aan en is artikel 5, lid 4, derde alinea, van Verordening (EU) nr. 182/2011 van toepassing.</w:t>
            </w:r>
          </w:p>
        </w:tc>
      </w:tr>
    </w:tbl>
    <w:p w:rsidR="00804D54" w:rsidRPr="005766D7" w:rsidRDefault="00804D54" w:rsidP="00804D54">
      <w:pPr>
        <w:pStyle w:val="JustificationTitle"/>
      </w:pPr>
      <w:r w:rsidRPr="005766D7">
        <w:rPr>
          <w:rStyle w:val="HideTWBExt"/>
          <w:noProof w:val="0"/>
        </w:rPr>
        <w:t>&lt;TitreJust&gt;</w:t>
      </w:r>
      <w:r w:rsidRPr="005766D7">
        <w:t>Motivering</w:t>
      </w:r>
      <w:r w:rsidRPr="005766D7">
        <w:rPr>
          <w:rStyle w:val="HideTWBExt"/>
          <w:noProof w:val="0"/>
        </w:rPr>
        <w:t>&lt;/TitreJust&gt;</w:t>
      </w:r>
    </w:p>
    <w:p w:rsidR="00804D54" w:rsidRPr="005766D7" w:rsidRDefault="00804D54" w:rsidP="00804D54">
      <w:pPr>
        <w:pStyle w:val="Normal12Italic"/>
      </w:pPr>
      <w:r w:rsidRPr="005766D7">
        <w:t>De comitéprocedure is in overeenstemming met de regels van het huidige LIFE-programma. De goede samenwerking tussen de Commissie en de lidstaten moet worden gehandhaafd.  Het LIFE-comité moet in stand worden gehouden.</w:t>
      </w:r>
    </w:p>
    <w:p w:rsidR="00516FB4" w:rsidRPr="005766D7" w:rsidRDefault="00804D54" w:rsidP="00804D54">
      <w:r w:rsidRPr="005766D7">
        <w:rPr>
          <w:rStyle w:val="HideTWBExt"/>
          <w:noProof w:val="0"/>
        </w:rPr>
        <w:t>&lt;/Amend&gt;</w:t>
      </w:r>
    </w:p>
    <w:p w:rsidR="00516FB4" w:rsidRPr="005766D7" w:rsidRDefault="00516FB4" w:rsidP="00516FB4"/>
    <w:p w:rsidR="00C6730D" w:rsidRPr="005766D7" w:rsidRDefault="00C6730D" w:rsidP="00C6730D">
      <w:r w:rsidRPr="005766D7">
        <w:rPr>
          <w:rStyle w:val="HideTWBExt"/>
          <w:noProof w:val="0"/>
          <w:szCs w:val="20"/>
        </w:rPr>
        <w:t>&lt;/RepeatBlock-Amend&gt;</w:t>
      </w:r>
    </w:p>
    <w:p w:rsidR="00C6730D" w:rsidRPr="005766D7" w:rsidRDefault="00C6730D" w:rsidP="00955466"/>
    <w:bookmarkEnd w:id="1"/>
    <w:p w:rsidR="00955466" w:rsidRPr="005766D7" w:rsidRDefault="009B524D" w:rsidP="00955466">
      <w:pPr>
        <w:pStyle w:val="PageHeadingNotTOC"/>
      </w:pPr>
      <w:r w:rsidRPr="005766D7">
        <w:br w:type="page"/>
      </w:r>
      <w:bookmarkStart w:id="5" w:name="ProcPageAD"/>
      <w:r w:rsidRPr="005766D7">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55466" w:rsidRPr="005766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Vaststelling van een programma voor het milieu en klimaatactie (LIFE)</w:t>
            </w:r>
          </w:p>
        </w:tc>
      </w:tr>
      <w:tr w:rsidR="00955466" w:rsidRPr="005766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COM(2018)0385 – C8-0249/2018 – 2018/0209(COD)</w:t>
            </w:r>
          </w:p>
        </w:tc>
      </w:tr>
      <w:tr w:rsidR="00955466" w:rsidRPr="005766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Bevoegde commissie</w:t>
            </w:r>
          </w:p>
          <w:p w:rsidR="00955466" w:rsidRPr="005766D7" w:rsidRDefault="00955466">
            <w:pPr>
              <w:widowControl w:val="0"/>
              <w:autoSpaceDE w:val="0"/>
              <w:autoSpaceDN w:val="0"/>
              <w:adjustRightInd w:val="0"/>
              <w:rPr>
                <w:sz w:val="20"/>
                <w:szCs w:val="20"/>
              </w:rPr>
            </w:pPr>
            <w:r w:rsidRPr="005766D7">
              <w:rPr>
                <w:sz w:val="20"/>
                <w:szCs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ENVI</w:t>
            </w:r>
          </w:p>
          <w:p w:rsidR="00955466" w:rsidRPr="005766D7" w:rsidRDefault="00955466">
            <w:pPr>
              <w:widowControl w:val="0"/>
              <w:autoSpaceDE w:val="0"/>
              <w:autoSpaceDN w:val="0"/>
              <w:adjustRightInd w:val="0"/>
              <w:rPr>
                <w:sz w:val="20"/>
                <w:szCs w:val="20"/>
              </w:rPr>
            </w:pPr>
            <w:r w:rsidRPr="005766D7">
              <w:rPr>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55466" w:rsidRPr="005766D7" w:rsidRDefault="00955466">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55466" w:rsidRPr="005766D7" w:rsidRDefault="00955466">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rFonts w:ascii="sans-serif" w:hAnsi="sans-serif" w:cs="sans-serif"/>
              </w:rPr>
            </w:pPr>
          </w:p>
        </w:tc>
      </w:tr>
      <w:tr w:rsidR="00955466" w:rsidRPr="005766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Advies uitgebracht door</w:t>
            </w:r>
          </w:p>
          <w:p w:rsidR="00955466" w:rsidRPr="005766D7" w:rsidRDefault="00955466">
            <w:pPr>
              <w:widowControl w:val="0"/>
              <w:autoSpaceDE w:val="0"/>
              <w:autoSpaceDN w:val="0"/>
              <w:adjustRightInd w:val="0"/>
              <w:rPr>
                <w:sz w:val="20"/>
                <w:szCs w:val="20"/>
              </w:rPr>
            </w:pPr>
            <w:r w:rsidRPr="005766D7">
              <w:rPr>
                <w:sz w:val="20"/>
                <w:szCs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AGRI</w:t>
            </w:r>
          </w:p>
          <w:p w:rsidR="00955466" w:rsidRPr="005766D7" w:rsidRDefault="00955466">
            <w:pPr>
              <w:widowControl w:val="0"/>
              <w:autoSpaceDE w:val="0"/>
              <w:autoSpaceDN w:val="0"/>
              <w:adjustRightInd w:val="0"/>
              <w:rPr>
                <w:sz w:val="20"/>
                <w:szCs w:val="20"/>
              </w:rPr>
            </w:pPr>
            <w:r w:rsidRPr="005766D7">
              <w:rPr>
                <w:sz w:val="20"/>
                <w:szCs w:val="20"/>
              </w:rPr>
              <w:t>14.6.2018</w:t>
            </w:r>
          </w:p>
        </w:tc>
      </w:tr>
      <w:tr w:rsidR="00955466" w:rsidRPr="005766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Rapporteur voor advies</w:t>
            </w:r>
          </w:p>
          <w:p w:rsidR="00955466" w:rsidRPr="005766D7" w:rsidRDefault="00955466">
            <w:pPr>
              <w:widowControl w:val="0"/>
              <w:autoSpaceDE w:val="0"/>
              <w:autoSpaceDN w:val="0"/>
              <w:adjustRightInd w:val="0"/>
              <w:rPr>
                <w:sz w:val="20"/>
                <w:szCs w:val="20"/>
              </w:rPr>
            </w:pPr>
            <w:r w:rsidRPr="005766D7">
              <w:rPr>
                <w:sz w:val="20"/>
                <w:szCs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Czesław Adam Siekierski</w:t>
            </w:r>
          </w:p>
          <w:p w:rsidR="00955466" w:rsidRPr="005766D7" w:rsidRDefault="00955466">
            <w:pPr>
              <w:widowControl w:val="0"/>
              <w:autoSpaceDE w:val="0"/>
              <w:autoSpaceDN w:val="0"/>
              <w:adjustRightInd w:val="0"/>
              <w:rPr>
                <w:sz w:val="20"/>
                <w:szCs w:val="20"/>
              </w:rPr>
            </w:pPr>
            <w:r w:rsidRPr="005766D7">
              <w:rPr>
                <w:sz w:val="20"/>
                <w:szCs w:val="20"/>
              </w:rPr>
              <w:t>9.10.2018</w:t>
            </w:r>
          </w:p>
        </w:tc>
      </w:tr>
      <w:tr w:rsidR="00955466" w:rsidRPr="005766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Vervangen rapporteur voor advies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John Stuart Agnew</w:t>
            </w:r>
          </w:p>
        </w:tc>
      </w:tr>
      <w:tr w:rsidR="00955466" w:rsidRPr="005766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55466" w:rsidRPr="005766D7" w:rsidRDefault="00955466">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55466" w:rsidRPr="005766D7" w:rsidRDefault="00955466">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rFonts w:ascii="sans-serif" w:hAnsi="sans-serif" w:cs="sans-serif"/>
              </w:rPr>
            </w:pPr>
          </w:p>
        </w:tc>
      </w:tr>
      <w:tr w:rsidR="00955466" w:rsidRPr="005766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w:t>
            </w:r>
          </w:p>
          <w:p w:rsidR="00955466" w:rsidRPr="005766D7" w:rsidRDefault="00955466">
            <w:pPr>
              <w:widowControl w:val="0"/>
              <w:autoSpaceDE w:val="0"/>
              <w:autoSpaceDN w:val="0"/>
              <w:adjustRightInd w:val="0"/>
              <w:rPr>
                <w:sz w:val="20"/>
                <w:szCs w:val="20"/>
              </w:rPr>
            </w:pPr>
            <w:r w:rsidRPr="005766D7">
              <w:rPr>
                <w:sz w:val="20"/>
                <w:szCs w:val="20"/>
              </w:rPr>
              <w:t>–:</w:t>
            </w:r>
          </w:p>
          <w:p w:rsidR="00955466" w:rsidRPr="005766D7" w:rsidRDefault="00955466">
            <w:pPr>
              <w:widowControl w:val="0"/>
              <w:autoSpaceDE w:val="0"/>
              <w:autoSpaceDN w:val="0"/>
              <w:adjustRightInd w:val="0"/>
              <w:rPr>
                <w:sz w:val="20"/>
                <w:szCs w:val="20"/>
              </w:rPr>
            </w:pPr>
            <w:r w:rsidRPr="005766D7">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17</w:t>
            </w:r>
          </w:p>
          <w:p w:rsidR="00955466" w:rsidRPr="005766D7" w:rsidRDefault="00955466">
            <w:pPr>
              <w:widowControl w:val="0"/>
              <w:autoSpaceDE w:val="0"/>
              <w:autoSpaceDN w:val="0"/>
              <w:adjustRightInd w:val="0"/>
              <w:rPr>
                <w:sz w:val="20"/>
                <w:szCs w:val="20"/>
              </w:rPr>
            </w:pPr>
            <w:r w:rsidRPr="005766D7">
              <w:rPr>
                <w:sz w:val="20"/>
                <w:szCs w:val="20"/>
              </w:rPr>
              <w:t>13</w:t>
            </w:r>
          </w:p>
          <w:p w:rsidR="00955466" w:rsidRPr="005766D7" w:rsidRDefault="00955466">
            <w:pPr>
              <w:widowControl w:val="0"/>
              <w:autoSpaceDE w:val="0"/>
              <w:autoSpaceDN w:val="0"/>
              <w:adjustRightInd w:val="0"/>
              <w:rPr>
                <w:sz w:val="20"/>
                <w:szCs w:val="20"/>
              </w:rPr>
            </w:pPr>
            <w:r w:rsidRPr="005766D7">
              <w:rPr>
                <w:sz w:val="20"/>
                <w:szCs w:val="20"/>
              </w:rPr>
              <w:t>4</w:t>
            </w:r>
          </w:p>
        </w:tc>
      </w:tr>
      <w:tr w:rsidR="00955466" w:rsidRPr="005766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John Stuart Agnew, José Bové, Daniel Buda, Matt Carthy, Michel Dantin, Paolo De Castro, Albert Deß, Jørn Dohrmann, Herbert Dorfmann, Norbert Erdős, Luke Ming Flanagan, Karine Gloanec Maurin, Martin Häusling, Esther Herranz García, Jan Huitema, Ivan Jakovčić, Jarosław Kalinowski, Zbigniew Kuźmiuk, Norbert Lins, Philippe Loiseau, Mairead McGuinness, Ulrike Müller, Maria Noichl, Marijana Petir, Laurenţiu Rebega, Bronis Ropė, Maria Lidia Senra Rodríguez, Czesław Adam Siekierski, Maria Gabriela Zoană</w:t>
            </w:r>
          </w:p>
        </w:tc>
      </w:tr>
      <w:tr w:rsidR="00955466" w:rsidRPr="005766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Elsi Katainen, Susanne Melior, Momchil Nekov, Ramón Luis Valcárcel Siso</w:t>
            </w:r>
          </w:p>
        </w:tc>
      </w:tr>
      <w:tr w:rsidR="00955466" w:rsidRPr="005766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b/>
                <w:bCs/>
                <w:sz w:val="20"/>
                <w:szCs w:val="20"/>
              </w:rPr>
            </w:pPr>
            <w:r w:rsidRPr="005766D7">
              <w:rPr>
                <w:b/>
                <w:bCs/>
                <w:sz w:val="20"/>
                <w:szCs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55466" w:rsidRPr="005766D7" w:rsidRDefault="00955466">
            <w:pPr>
              <w:widowControl w:val="0"/>
              <w:autoSpaceDE w:val="0"/>
              <w:autoSpaceDN w:val="0"/>
              <w:adjustRightInd w:val="0"/>
              <w:rPr>
                <w:sz w:val="20"/>
                <w:szCs w:val="20"/>
              </w:rPr>
            </w:pPr>
            <w:r w:rsidRPr="005766D7">
              <w:rPr>
                <w:sz w:val="20"/>
                <w:szCs w:val="20"/>
              </w:rPr>
              <w:t>Stanisław Ożóg</w:t>
            </w:r>
          </w:p>
        </w:tc>
      </w:tr>
    </w:tbl>
    <w:p w:rsidR="00955466" w:rsidRPr="005766D7" w:rsidRDefault="00955466">
      <w:pPr>
        <w:widowControl w:val="0"/>
        <w:autoSpaceDE w:val="0"/>
        <w:autoSpaceDN w:val="0"/>
        <w:adjustRightInd w:val="0"/>
        <w:rPr>
          <w:rFonts w:ascii="Arial" w:hAnsi="Arial" w:cs="Arial"/>
        </w:rPr>
      </w:pPr>
    </w:p>
    <w:bookmarkEnd w:id="5"/>
    <w:p w:rsidR="00EB2E31" w:rsidRPr="005766D7" w:rsidRDefault="00EB2E31" w:rsidP="00955466">
      <w:pPr>
        <w:pStyle w:val="PageHeadingNotTOC"/>
      </w:pPr>
      <w:r w:rsidRPr="005766D7">
        <w:br w:type="page"/>
      </w:r>
      <w:bookmarkStart w:id="6" w:name="RollCallPageAD"/>
      <w:r w:rsidRPr="005766D7">
        <w:t>HOOFDELIJKE EINDSTEMMING 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E31" w:rsidRPr="005766D7" w:rsidTr="00EB2E31">
        <w:trPr>
          <w:cantSplit/>
        </w:trPr>
        <w:tc>
          <w:tcPr>
            <w:tcW w:w="1701" w:type="dxa"/>
            <w:shd w:val="pct10" w:color="000000" w:fill="FFFFFF"/>
            <w:vAlign w:val="center"/>
          </w:tcPr>
          <w:p w:rsidR="00EB2E31" w:rsidRPr="005766D7" w:rsidRDefault="00EB2E31" w:rsidP="00EB2E31">
            <w:pPr>
              <w:spacing w:before="120" w:after="120"/>
              <w:jc w:val="center"/>
              <w:rPr>
                <w:b/>
                <w:sz w:val="20"/>
              </w:rPr>
            </w:pPr>
            <w:r w:rsidRPr="005766D7">
              <w:rPr>
                <w:b/>
                <w:sz w:val="20"/>
              </w:rPr>
              <w:t>17</w:t>
            </w:r>
          </w:p>
        </w:tc>
        <w:tc>
          <w:tcPr>
            <w:tcW w:w="7371" w:type="dxa"/>
            <w:shd w:val="pct10" w:color="000000" w:fill="FFFFFF"/>
          </w:tcPr>
          <w:p w:rsidR="00EB2E31" w:rsidRPr="005766D7" w:rsidRDefault="00EB2E31" w:rsidP="00EB2E31">
            <w:pPr>
              <w:spacing w:before="120" w:after="120"/>
              <w:jc w:val="center"/>
              <w:rPr>
                <w:rFonts w:ascii="Arial" w:hAnsi="Arial" w:cs="Arial"/>
                <w:b/>
                <w:sz w:val="28"/>
                <w:szCs w:val="28"/>
              </w:rPr>
            </w:pPr>
            <w:r w:rsidRPr="005766D7">
              <w:rPr>
                <w:rFonts w:ascii="Arial" w:hAnsi="Arial"/>
                <w:b/>
                <w:sz w:val="28"/>
                <w:szCs w:val="28"/>
              </w:rPr>
              <w:t>+</w:t>
            </w:r>
          </w:p>
        </w:tc>
      </w:tr>
      <w:tr w:rsidR="00EB2E31" w:rsidRPr="005766D7" w:rsidTr="00EB2E31">
        <w:trPr>
          <w:cantSplit/>
        </w:trPr>
        <w:tc>
          <w:tcPr>
            <w:tcW w:w="1701" w:type="dxa"/>
            <w:shd w:val="clear" w:color="auto" w:fill="FFFFFF"/>
          </w:tcPr>
          <w:p w:rsidR="00EB2E31" w:rsidRPr="005766D7" w:rsidRDefault="00EB2E31" w:rsidP="00EB2E31">
            <w:pPr>
              <w:spacing w:before="120" w:after="120"/>
              <w:rPr>
                <w:sz w:val="20"/>
              </w:rPr>
            </w:pPr>
            <w:r w:rsidRPr="005766D7">
              <w:t>ALDE</w:t>
            </w:r>
          </w:p>
        </w:tc>
        <w:tc>
          <w:tcPr>
            <w:tcW w:w="7371" w:type="dxa"/>
            <w:shd w:val="clear" w:color="auto" w:fill="FFFFFF"/>
          </w:tcPr>
          <w:p w:rsidR="00EB2E31" w:rsidRPr="005766D7" w:rsidRDefault="00EB2E31" w:rsidP="00EB2E31">
            <w:pPr>
              <w:spacing w:before="120" w:after="120"/>
              <w:rPr>
                <w:sz w:val="20"/>
              </w:rPr>
            </w:pPr>
            <w:r w:rsidRPr="005766D7">
              <w:rPr>
                <w:sz w:val="20"/>
              </w:rPr>
              <w:t>Jan Huitema, Ivan Jakovčić, Elsi Katainen, Ulrike Müller</w:t>
            </w:r>
          </w:p>
        </w:tc>
      </w:tr>
      <w:tr w:rsidR="00EB2E31" w:rsidRPr="005766D7" w:rsidTr="00EB2E31">
        <w:trPr>
          <w:cantSplit/>
        </w:trPr>
        <w:tc>
          <w:tcPr>
            <w:tcW w:w="1701" w:type="dxa"/>
            <w:shd w:val="clear" w:color="auto" w:fill="FFFFFF"/>
          </w:tcPr>
          <w:p w:rsidR="00EB2E31" w:rsidRPr="005766D7" w:rsidRDefault="00EB2E31" w:rsidP="00EB2E31">
            <w:pPr>
              <w:spacing w:before="120" w:after="120"/>
            </w:pPr>
            <w:r w:rsidRPr="005766D7">
              <w:t>ECR</w:t>
            </w:r>
          </w:p>
        </w:tc>
        <w:tc>
          <w:tcPr>
            <w:tcW w:w="7371" w:type="dxa"/>
            <w:shd w:val="clear" w:color="auto" w:fill="FFFFFF"/>
          </w:tcPr>
          <w:p w:rsidR="00EB2E31" w:rsidRPr="005766D7" w:rsidRDefault="00EB2E31" w:rsidP="00EB2E31">
            <w:pPr>
              <w:spacing w:before="120" w:after="120"/>
              <w:rPr>
                <w:sz w:val="20"/>
              </w:rPr>
            </w:pPr>
            <w:r w:rsidRPr="005766D7">
              <w:rPr>
                <w:sz w:val="20"/>
              </w:rPr>
              <w:t>Zbigniew Kuźmiuk, Stanisław Ożóg</w:t>
            </w:r>
          </w:p>
        </w:tc>
      </w:tr>
      <w:tr w:rsidR="00EB2E31" w:rsidRPr="005766D7" w:rsidTr="00EB2E31">
        <w:trPr>
          <w:cantSplit/>
        </w:trPr>
        <w:tc>
          <w:tcPr>
            <w:tcW w:w="1701" w:type="dxa"/>
            <w:shd w:val="clear" w:color="auto" w:fill="FFFFFF"/>
          </w:tcPr>
          <w:p w:rsidR="00EB2E31" w:rsidRPr="005766D7" w:rsidRDefault="00EB2E31" w:rsidP="00EB2E31">
            <w:pPr>
              <w:spacing w:before="120" w:after="120"/>
            </w:pPr>
            <w:r w:rsidRPr="005766D7">
              <w:t>PPE</w:t>
            </w:r>
          </w:p>
        </w:tc>
        <w:tc>
          <w:tcPr>
            <w:tcW w:w="7371" w:type="dxa"/>
            <w:shd w:val="clear" w:color="auto" w:fill="FFFFFF"/>
          </w:tcPr>
          <w:p w:rsidR="00EB2E31" w:rsidRPr="005766D7" w:rsidRDefault="00EB2E31" w:rsidP="00EB2E31">
            <w:pPr>
              <w:spacing w:before="120" w:after="120"/>
              <w:rPr>
                <w:sz w:val="20"/>
              </w:rPr>
            </w:pPr>
            <w:r w:rsidRPr="005766D7">
              <w:rPr>
                <w:sz w:val="20"/>
              </w:rPr>
              <w:t>Daniel Buda, Michel Dantin, Albert Deß, Norbert Erdős, Esther Herranz García, Jarosław Kalinowski, Norbert Lins, Mairead McGuinness, Marijana Petir, Czesław Adam Siekierski, Ramón Luis Valcárcel Siso</w:t>
            </w:r>
          </w:p>
        </w:tc>
      </w:tr>
    </w:tbl>
    <w:p w:rsidR="00EB2E31" w:rsidRPr="005766D7" w:rsidRDefault="00EB2E31" w:rsidP="00EB2E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E31" w:rsidRPr="005766D7" w:rsidTr="00EB2E31">
        <w:trPr>
          <w:cantSplit/>
        </w:trPr>
        <w:tc>
          <w:tcPr>
            <w:tcW w:w="1701" w:type="dxa"/>
            <w:shd w:val="pct10" w:color="000000" w:fill="FFFFFF"/>
            <w:vAlign w:val="center"/>
          </w:tcPr>
          <w:p w:rsidR="00EB2E31" w:rsidRPr="005766D7" w:rsidRDefault="00EB2E31" w:rsidP="00EB2E31">
            <w:pPr>
              <w:spacing w:before="120" w:after="120"/>
              <w:jc w:val="center"/>
              <w:rPr>
                <w:b/>
                <w:sz w:val="16"/>
              </w:rPr>
            </w:pPr>
            <w:r w:rsidRPr="005766D7">
              <w:rPr>
                <w:b/>
                <w:sz w:val="20"/>
              </w:rPr>
              <w:t>13</w:t>
            </w:r>
          </w:p>
        </w:tc>
        <w:tc>
          <w:tcPr>
            <w:tcW w:w="7371" w:type="dxa"/>
            <w:shd w:val="pct10" w:color="000000" w:fill="FFFFFF"/>
          </w:tcPr>
          <w:p w:rsidR="00EB2E31" w:rsidRPr="005766D7" w:rsidRDefault="00EB2E31" w:rsidP="00EB2E31">
            <w:pPr>
              <w:spacing w:before="120" w:after="120"/>
              <w:jc w:val="center"/>
              <w:rPr>
                <w:sz w:val="28"/>
                <w:szCs w:val="28"/>
              </w:rPr>
            </w:pPr>
            <w:r w:rsidRPr="005766D7">
              <w:rPr>
                <w:rFonts w:ascii="Arial" w:hAnsi="Arial"/>
                <w:b/>
                <w:sz w:val="28"/>
                <w:szCs w:val="28"/>
              </w:rPr>
              <w:t>-</w:t>
            </w:r>
          </w:p>
        </w:tc>
      </w:tr>
      <w:tr w:rsidR="00EB2E31" w:rsidRPr="005766D7" w:rsidTr="00EB2E31">
        <w:trPr>
          <w:cantSplit/>
        </w:trPr>
        <w:tc>
          <w:tcPr>
            <w:tcW w:w="1701" w:type="dxa"/>
            <w:shd w:val="clear" w:color="auto" w:fill="FFFFFF"/>
          </w:tcPr>
          <w:p w:rsidR="00EB2E31" w:rsidRPr="005766D7" w:rsidRDefault="00EB2E31" w:rsidP="00EB2E31">
            <w:pPr>
              <w:spacing w:before="120" w:after="120"/>
              <w:rPr>
                <w:sz w:val="20"/>
              </w:rPr>
            </w:pPr>
            <w:r w:rsidRPr="005766D7">
              <w:t>ECR</w:t>
            </w:r>
          </w:p>
        </w:tc>
        <w:tc>
          <w:tcPr>
            <w:tcW w:w="7371" w:type="dxa"/>
            <w:shd w:val="clear" w:color="auto" w:fill="FFFFFF"/>
          </w:tcPr>
          <w:p w:rsidR="00EB2E31" w:rsidRPr="005766D7" w:rsidRDefault="00EB2E31" w:rsidP="00EB2E31">
            <w:pPr>
              <w:spacing w:before="120" w:after="120"/>
              <w:rPr>
                <w:sz w:val="20"/>
              </w:rPr>
            </w:pPr>
            <w:r w:rsidRPr="005766D7">
              <w:rPr>
                <w:sz w:val="20"/>
              </w:rPr>
              <w:t>Jørn Dohrmann, Laurenţiu Rebega</w:t>
            </w:r>
          </w:p>
        </w:tc>
      </w:tr>
      <w:tr w:rsidR="00EB2E31" w:rsidRPr="005766D7" w:rsidTr="00EB2E31">
        <w:trPr>
          <w:cantSplit/>
        </w:trPr>
        <w:tc>
          <w:tcPr>
            <w:tcW w:w="1701" w:type="dxa"/>
            <w:shd w:val="clear" w:color="auto" w:fill="FFFFFF"/>
          </w:tcPr>
          <w:p w:rsidR="00EB2E31" w:rsidRPr="005766D7" w:rsidRDefault="00EB2E31" w:rsidP="00EB2E31">
            <w:pPr>
              <w:spacing w:before="120" w:after="120"/>
            </w:pPr>
            <w:r w:rsidRPr="005766D7">
              <w:t>EFDD</w:t>
            </w:r>
          </w:p>
        </w:tc>
        <w:tc>
          <w:tcPr>
            <w:tcW w:w="7371" w:type="dxa"/>
            <w:shd w:val="clear" w:color="auto" w:fill="FFFFFF"/>
          </w:tcPr>
          <w:p w:rsidR="00EB2E31" w:rsidRPr="005766D7" w:rsidRDefault="00EB2E31" w:rsidP="00EB2E31">
            <w:pPr>
              <w:spacing w:before="120" w:after="120"/>
              <w:rPr>
                <w:sz w:val="20"/>
              </w:rPr>
            </w:pPr>
            <w:r w:rsidRPr="005766D7">
              <w:rPr>
                <w:sz w:val="20"/>
              </w:rPr>
              <w:t>John Stuart Agnew</w:t>
            </w:r>
          </w:p>
        </w:tc>
      </w:tr>
      <w:tr w:rsidR="00EB2E31" w:rsidRPr="005766D7" w:rsidTr="00EB2E31">
        <w:trPr>
          <w:cantSplit/>
        </w:trPr>
        <w:tc>
          <w:tcPr>
            <w:tcW w:w="1701" w:type="dxa"/>
            <w:shd w:val="clear" w:color="auto" w:fill="FFFFFF"/>
          </w:tcPr>
          <w:p w:rsidR="00EB2E31" w:rsidRPr="005766D7" w:rsidRDefault="00EB2E31" w:rsidP="00EB2E31">
            <w:pPr>
              <w:spacing w:before="120" w:after="120"/>
            </w:pPr>
            <w:r w:rsidRPr="005766D7">
              <w:t>ENF</w:t>
            </w:r>
          </w:p>
        </w:tc>
        <w:tc>
          <w:tcPr>
            <w:tcW w:w="7371" w:type="dxa"/>
            <w:shd w:val="clear" w:color="auto" w:fill="FFFFFF"/>
          </w:tcPr>
          <w:p w:rsidR="00EB2E31" w:rsidRPr="005766D7" w:rsidRDefault="00EB2E31" w:rsidP="00EB2E31">
            <w:pPr>
              <w:spacing w:before="120" w:after="120"/>
              <w:rPr>
                <w:sz w:val="20"/>
              </w:rPr>
            </w:pPr>
            <w:r w:rsidRPr="005766D7">
              <w:rPr>
                <w:sz w:val="20"/>
              </w:rPr>
              <w:t>Philippe Loiseau</w:t>
            </w:r>
          </w:p>
        </w:tc>
      </w:tr>
      <w:tr w:rsidR="00EB2E31" w:rsidRPr="005766D7" w:rsidTr="00EB2E31">
        <w:trPr>
          <w:cantSplit/>
        </w:trPr>
        <w:tc>
          <w:tcPr>
            <w:tcW w:w="1701" w:type="dxa"/>
            <w:shd w:val="clear" w:color="auto" w:fill="FFFFFF"/>
          </w:tcPr>
          <w:p w:rsidR="00EB2E31" w:rsidRPr="005766D7" w:rsidRDefault="00EB2E31" w:rsidP="00EB2E31">
            <w:pPr>
              <w:spacing w:before="120" w:after="120"/>
            </w:pPr>
            <w:r w:rsidRPr="005766D7">
              <w:t>S&amp;D</w:t>
            </w:r>
          </w:p>
        </w:tc>
        <w:tc>
          <w:tcPr>
            <w:tcW w:w="7371" w:type="dxa"/>
            <w:shd w:val="clear" w:color="auto" w:fill="FFFFFF"/>
          </w:tcPr>
          <w:p w:rsidR="00EB2E31" w:rsidRPr="005766D7" w:rsidRDefault="00EB2E31" w:rsidP="00EB2E31">
            <w:pPr>
              <w:spacing w:before="120" w:after="120"/>
              <w:rPr>
                <w:sz w:val="20"/>
              </w:rPr>
            </w:pPr>
            <w:r w:rsidRPr="005766D7">
              <w:rPr>
                <w:sz w:val="20"/>
              </w:rPr>
              <w:t>Paolo De Castro, Karine Gloanec Maurin, Susanne Melior, Momchil Nekov, Maria Noichl, Maria Gabriela Zoană</w:t>
            </w:r>
          </w:p>
        </w:tc>
      </w:tr>
      <w:tr w:rsidR="00EB2E31" w:rsidRPr="005766D7" w:rsidTr="00EB2E31">
        <w:trPr>
          <w:cantSplit/>
        </w:trPr>
        <w:tc>
          <w:tcPr>
            <w:tcW w:w="1701" w:type="dxa"/>
            <w:shd w:val="clear" w:color="auto" w:fill="FFFFFF"/>
          </w:tcPr>
          <w:p w:rsidR="00EB2E31" w:rsidRPr="005766D7" w:rsidRDefault="00EB2E31" w:rsidP="00EB2E31">
            <w:pPr>
              <w:spacing w:before="120" w:after="120"/>
            </w:pPr>
            <w:r w:rsidRPr="005766D7">
              <w:t>Verts/ALE</w:t>
            </w:r>
          </w:p>
        </w:tc>
        <w:tc>
          <w:tcPr>
            <w:tcW w:w="7371" w:type="dxa"/>
            <w:shd w:val="clear" w:color="auto" w:fill="FFFFFF"/>
          </w:tcPr>
          <w:p w:rsidR="00EB2E31" w:rsidRPr="005766D7" w:rsidRDefault="00EB2E31" w:rsidP="00EB2E31">
            <w:pPr>
              <w:spacing w:before="120" w:after="120"/>
              <w:rPr>
                <w:sz w:val="20"/>
              </w:rPr>
            </w:pPr>
            <w:r w:rsidRPr="005766D7">
              <w:rPr>
                <w:sz w:val="20"/>
              </w:rPr>
              <w:t>José Bové, Martin Häusling, Bronis Ropė</w:t>
            </w:r>
          </w:p>
        </w:tc>
      </w:tr>
    </w:tbl>
    <w:p w:rsidR="00EB2E31" w:rsidRPr="005766D7" w:rsidRDefault="00EB2E31" w:rsidP="00EB2E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B2E31" w:rsidRPr="005766D7" w:rsidTr="00EB2E31">
        <w:trPr>
          <w:cantSplit/>
        </w:trPr>
        <w:tc>
          <w:tcPr>
            <w:tcW w:w="1701" w:type="dxa"/>
            <w:shd w:val="pct10" w:color="000000" w:fill="FFFFFF"/>
            <w:vAlign w:val="center"/>
          </w:tcPr>
          <w:p w:rsidR="00EB2E31" w:rsidRPr="005766D7" w:rsidRDefault="00EB2E31" w:rsidP="00EB2E31">
            <w:pPr>
              <w:spacing w:before="120" w:after="120"/>
              <w:jc w:val="center"/>
              <w:rPr>
                <w:b/>
                <w:sz w:val="16"/>
              </w:rPr>
            </w:pPr>
            <w:r w:rsidRPr="005766D7">
              <w:rPr>
                <w:b/>
                <w:sz w:val="20"/>
              </w:rPr>
              <w:t>4</w:t>
            </w:r>
          </w:p>
        </w:tc>
        <w:tc>
          <w:tcPr>
            <w:tcW w:w="7371" w:type="dxa"/>
            <w:shd w:val="pct10" w:color="000000" w:fill="FFFFFF"/>
          </w:tcPr>
          <w:p w:rsidR="00EB2E31" w:rsidRPr="005766D7" w:rsidRDefault="00EB2E31" w:rsidP="00EB2E31">
            <w:pPr>
              <w:spacing w:before="120" w:after="120"/>
              <w:jc w:val="center"/>
              <w:rPr>
                <w:sz w:val="28"/>
                <w:szCs w:val="28"/>
              </w:rPr>
            </w:pPr>
            <w:r w:rsidRPr="005766D7">
              <w:rPr>
                <w:rFonts w:ascii="Arial" w:hAnsi="Arial"/>
                <w:b/>
                <w:sz w:val="28"/>
                <w:szCs w:val="28"/>
              </w:rPr>
              <w:t>0</w:t>
            </w:r>
          </w:p>
        </w:tc>
      </w:tr>
      <w:tr w:rsidR="00EB2E31" w:rsidRPr="005766D7" w:rsidTr="00EB2E31">
        <w:trPr>
          <w:cantSplit/>
        </w:trPr>
        <w:tc>
          <w:tcPr>
            <w:tcW w:w="1701" w:type="dxa"/>
            <w:shd w:val="clear" w:color="auto" w:fill="FFFFFF"/>
          </w:tcPr>
          <w:p w:rsidR="00EB2E31" w:rsidRPr="005766D7" w:rsidRDefault="00EB2E31" w:rsidP="00EB2E31">
            <w:pPr>
              <w:spacing w:before="120" w:after="120"/>
              <w:rPr>
                <w:sz w:val="20"/>
              </w:rPr>
            </w:pPr>
            <w:r w:rsidRPr="005766D7">
              <w:t>GUE/NGL</w:t>
            </w:r>
          </w:p>
        </w:tc>
        <w:tc>
          <w:tcPr>
            <w:tcW w:w="7371" w:type="dxa"/>
            <w:shd w:val="clear" w:color="auto" w:fill="FFFFFF"/>
          </w:tcPr>
          <w:p w:rsidR="00EB2E31" w:rsidRPr="005766D7" w:rsidRDefault="00EB2E31" w:rsidP="00EB2E31">
            <w:pPr>
              <w:spacing w:before="120" w:after="120"/>
              <w:rPr>
                <w:sz w:val="20"/>
              </w:rPr>
            </w:pPr>
            <w:r w:rsidRPr="005766D7">
              <w:rPr>
                <w:sz w:val="20"/>
              </w:rPr>
              <w:t>Matt Carthy, Luke Ming Flanagan, Maria Lidia Senra Rodríguez</w:t>
            </w:r>
          </w:p>
        </w:tc>
      </w:tr>
      <w:tr w:rsidR="00EB2E31" w:rsidRPr="005766D7" w:rsidTr="00EB2E31">
        <w:trPr>
          <w:cantSplit/>
        </w:trPr>
        <w:tc>
          <w:tcPr>
            <w:tcW w:w="1701" w:type="dxa"/>
            <w:shd w:val="clear" w:color="auto" w:fill="FFFFFF"/>
          </w:tcPr>
          <w:p w:rsidR="00EB2E31" w:rsidRPr="005766D7" w:rsidRDefault="00EB2E31" w:rsidP="00EB2E31">
            <w:pPr>
              <w:spacing w:before="120" w:after="120"/>
            </w:pPr>
            <w:r w:rsidRPr="005766D7">
              <w:t>PPE</w:t>
            </w:r>
          </w:p>
        </w:tc>
        <w:tc>
          <w:tcPr>
            <w:tcW w:w="7371" w:type="dxa"/>
            <w:shd w:val="clear" w:color="auto" w:fill="FFFFFF"/>
          </w:tcPr>
          <w:p w:rsidR="00EB2E31" w:rsidRPr="005766D7" w:rsidRDefault="00EB2E31" w:rsidP="00EB2E31">
            <w:pPr>
              <w:spacing w:before="120" w:after="120"/>
              <w:rPr>
                <w:sz w:val="20"/>
              </w:rPr>
            </w:pPr>
            <w:r w:rsidRPr="005766D7">
              <w:rPr>
                <w:sz w:val="20"/>
              </w:rPr>
              <w:t>Herbert Dorfmann</w:t>
            </w:r>
          </w:p>
        </w:tc>
      </w:tr>
    </w:tbl>
    <w:p w:rsidR="00EB2E31" w:rsidRPr="005766D7" w:rsidRDefault="00EB2E31" w:rsidP="00EB2E31">
      <w:pPr>
        <w:pStyle w:val="Normal12"/>
      </w:pPr>
    </w:p>
    <w:p w:rsidR="00EB2E31" w:rsidRPr="005766D7" w:rsidRDefault="00EB2E31" w:rsidP="00EB2E31">
      <w:r w:rsidRPr="005766D7">
        <w:t>Verklaring van de gebruikte tekens:</w:t>
      </w:r>
    </w:p>
    <w:p w:rsidR="00EB2E31" w:rsidRPr="005766D7" w:rsidRDefault="00EB2E31" w:rsidP="00EB2E31">
      <w:pPr>
        <w:pStyle w:val="NormalTabs"/>
      </w:pPr>
      <w:r w:rsidRPr="005766D7">
        <w:t>+</w:t>
      </w:r>
      <w:r w:rsidRPr="005766D7">
        <w:tab/>
        <w:t>:</w:t>
      </w:r>
      <w:r w:rsidRPr="005766D7">
        <w:tab/>
        <w:t>voor</w:t>
      </w:r>
    </w:p>
    <w:p w:rsidR="00EB2E31" w:rsidRPr="005766D7" w:rsidRDefault="00EB2E31" w:rsidP="00EB2E31">
      <w:pPr>
        <w:pStyle w:val="NormalTabs"/>
      </w:pPr>
      <w:r w:rsidRPr="005766D7">
        <w:t>-</w:t>
      </w:r>
      <w:r w:rsidRPr="005766D7">
        <w:tab/>
        <w:t>:</w:t>
      </w:r>
      <w:r w:rsidRPr="005766D7">
        <w:tab/>
        <w:t>tegen</w:t>
      </w:r>
    </w:p>
    <w:p w:rsidR="00EB2E31" w:rsidRPr="005766D7" w:rsidRDefault="00EB2E31" w:rsidP="00EB2E31">
      <w:pPr>
        <w:pStyle w:val="NormalTabs"/>
      </w:pPr>
      <w:r w:rsidRPr="005766D7">
        <w:t>0</w:t>
      </w:r>
      <w:r w:rsidRPr="005766D7">
        <w:tab/>
        <w:t>:</w:t>
      </w:r>
      <w:r w:rsidRPr="005766D7">
        <w:tab/>
        <w:t>onthouding</w:t>
      </w:r>
    </w:p>
    <w:p w:rsidR="00EB2E31" w:rsidRPr="005766D7" w:rsidRDefault="00EB2E31" w:rsidP="00EB2E31"/>
    <w:bookmarkEnd w:id="6"/>
    <w:p w:rsidR="008F6AF6" w:rsidRPr="005766D7" w:rsidRDefault="008F6AF6" w:rsidP="00EB2E31"/>
    <w:sectPr w:rsidR="008F6AF6" w:rsidRPr="005766D7" w:rsidSect="000D6D2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4D" w:rsidRPr="000D6D2C" w:rsidRDefault="009B524D">
      <w:r w:rsidRPr="000D6D2C">
        <w:separator/>
      </w:r>
    </w:p>
  </w:endnote>
  <w:endnote w:type="continuationSeparator" w:id="0">
    <w:p w:rsidR="009B524D" w:rsidRPr="000D6D2C" w:rsidRDefault="009B524D">
      <w:r w:rsidRPr="000D6D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2C" w:rsidRPr="000D6D2C" w:rsidRDefault="000D6D2C" w:rsidP="000D6D2C">
    <w:pPr>
      <w:pStyle w:val="Footer"/>
    </w:pPr>
    <w:r w:rsidRPr="000D6D2C">
      <w:t>PE</w:t>
    </w:r>
    <w:r w:rsidRPr="000D6D2C">
      <w:rPr>
        <w:rStyle w:val="HideTWBExt"/>
        <w:noProof w:val="0"/>
      </w:rPr>
      <w:t>&lt;NoPE&gt;</w:t>
    </w:r>
    <w:r w:rsidRPr="000D6D2C">
      <w:t>623.976</w:t>
    </w:r>
    <w:r w:rsidRPr="000D6D2C">
      <w:rPr>
        <w:rStyle w:val="HideTWBExt"/>
        <w:noProof w:val="0"/>
      </w:rPr>
      <w:t>&lt;/NoPE&gt;&lt;Version&gt;</w:t>
    </w:r>
    <w:r w:rsidRPr="000D6D2C">
      <w:t>v02-00</w:t>
    </w:r>
    <w:r w:rsidRPr="000D6D2C">
      <w:rPr>
        <w:rStyle w:val="HideTWBExt"/>
        <w:noProof w:val="0"/>
      </w:rPr>
      <w:t>&lt;/Version&gt;</w:t>
    </w:r>
    <w:r w:rsidRPr="000D6D2C">
      <w:tab/>
    </w:r>
    <w:r w:rsidRPr="000D6D2C">
      <w:fldChar w:fldCharType="begin"/>
    </w:r>
    <w:r w:rsidRPr="000D6D2C">
      <w:instrText xml:space="preserve"> PAGE  \* MERGEFORMAT </w:instrText>
    </w:r>
    <w:r w:rsidRPr="000D6D2C">
      <w:fldChar w:fldCharType="separate"/>
    </w:r>
    <w:r w:rsidR="005766D7">
      <w:rPr>
        <w:noProof/>
      </w:rPr>
      <w:t>4</w:t>
    </w:r>
    <w:r w:rsidRPr="000D6D2C">
      <w:fldChar w:fldCharType="end"/>
    </w:r>
    <w:r w:rsidRPr="000D6D2C">
      <w:t>/</w:t>
    </w:r>
    <w:r w:rsidRPr="000D6D2C">
      <w:fldChar w:fldCharType="begin"/>
    </w:r>
    <w:r w:rsidRPr="000D6D2C">
      <w:instrText xml:space="preserve"> NUMPAGES  \* MERGEFORMAT </w:instrText>
    </w:r>
    <w:r w:rsidRPr="000D6D2C">
      <w:fldChar w:fldCharType="separate"/>
    </w:r>
    <w:r w:rsidR="005766D7">
      <w:rPr>
        <w:noProof/>
      </w:rPr>
      <w:t>27</w:t>
    </w:r>
    <w:r w:rsidRPr="000D6D2C">
      <w:fldChar w:fldCharType="end"/>
    </w:r>
    <w:r w:rsidRPr="000D6D2C">
      <w:tab/>
    </w:r>
    <w:r w:rsidRPr="000D6D2C">
      <w:rPr>
        <w:rStyle w:val="HideTWBExt"/>
        <w:noProof w:val="0"/>
      </w:rPr>
      <w:t>&lt;PathFdR&gt;</w:t>
    </w:r>
    <w:r w:rsidRPr="000D6D2C">
      <w:t>AD\1162174NL.docx</w:t>
    </w:r>
    <w:r w:rsidRPr="000D6D2C">
      <w:rPr>
        <w:rStyle w:val="HideTWBExt"/>
        <w:noProof w:val="0"/>
      </w:rPr>
      <w:t>&lt;/PathFdR&gt;</w:t>
    </w:r>
  </w:p>
  <w:p w:rsidR="009B524D" w:rsidRPr="000D6D2C" w:rsidRDefault="000D6D2C" w:rsidP="000D6D2C">
    <w:pPr>
      <w:pStyle w:val="Footer2"/>
    </w:pPr>
    <w:r w:rsidRPr="000D6D2C">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2C" w:rsidRPr="000D6D2C" w:rsidRDefault="000D6D2C" w:rsidP="000D6D2C">
    <w:pPr>
      <w:pStyle w:val="Footer"/>
    </w:pPr>
    <w:r w:rsidRPr="000D6D2C">
      <w:rPr>
        <w:rStyle w:val="HideTWBExt"/>
        <w:noProof w:val="0"/>
      </w:rPr>
      <w:t>&lt;PathFdR&gt;</w:t>
    </w:r>
    <w:r w:rsidRPr="000D6D2C">
      <w:t>AD\1162174NL.docx</w:t>
    </w:r>
    <w:r w:rsidRPr="000D6D2C">
      <w:rPr>
        <w:rStyle w:val="HideTWBExt"/>
        <w:noProof w:val="0"/>
      </w:rPr>
      <w:t>&lt;/PathFdR&gt;</w:t>
    </w:r>
    <w:r w:rsidRPr="000D6D2C">
      <w:tab/>
    </w:r>
    <w:r w:rsidRPr="000D6D2C">
      <w:fldChar w:fldCharType="begin"/>
    </w:r>
    <w:r w:rsidRPr="000D6D2C">
      <w:instrText xml:space="preserve"> PAGE  \* MERGEFORMAT </w:instrText>
    </w:r>
    <w:r w:rsidRPr="000D6D2C">
      <w:fldChar w:fldCharType="separate"/>
    </w:r>
    <w:r w:rsidR="005766D7">
      <w:rPr>
        <w:noProof/>
      </w:rPr>
      <w:t>3</w:t>
    </w:r>
    <w:r w:rsidRPr="000D6D2C">
      <w:fldChar w:fldCharType="end"/>
    </w:r>
    <w:r w:rsidRPr="000D6D2C">
      <w:t>/</w:t>
    </w:r>
    <w:r w:rsidRPr="000D6D2C">
      <w:fldChar w:fldCharType="begin"/>
    </w:r>
    <w:r w:rsidRPr="000D6D2C">
      <w:instrText xml:space="preserve"> NUMPAGES  \* MERGEFORMAT </w:instrText>
    </w:r>
    <w:r w:rsidRPr="000D6D2C">
      <w:fldChar w:fldCharType="separate"/>
    </w:r>
    <w:r w:rsidR="005766D7">
      <w:rPr>
        <w:noProof/>
      </w:rPr>
      <w:t>27</w:t>
    </w:r>
    <w:r w:rsidRPr="000D6D2C">
      <w:fldChar w:fldCharType="end"/>
    </w:r>
    <w:r w:rsidRPr="000D6D2C">
      <w:tab/>
      <w:t>PE</w:t>
    </w:r>
    <w:r w:rsidRPr="000D6D2C">
      <w:rPr>
        <w:rStyle w:val="HideTWBExt"/>
        <w:noProof w:val="0"/>
      </w:rPr>
      <w:t>&lt;NoPE&gt;</w:t>
    </w:r>
    <w:r w:rsidRPr="000D6D2C">
      <w:t>623.976</w:t>
    </w:r>
    <w:r w:rsidRPr="000D6D2C">
      <w:rPr>
        <w:rStyle w:val="HideTWBExt"/>
        <w:noProof w:val="0"/>
      </w:rPr>
      <w:t>&lt;/NoPE&gt;&lt;Version&gt;</w:t>
    </w:r>
    <w:r w:rsidRPr="000D6D2C">
      <w:t>v02-00</w:t>
    </w:r>
    <w:r w:rsidRPr="000D6D2C">
      <w:rPr>
        <w:rStyle w:val="HideTWBExt"/>
        <w:noProof w:val="0"/>
      </w:rPr>
      <w:t>&lt;/Version&gt;</w:t>
    </w:r>
  </w:p>
  <w:p w:rsidR="009B524D" w:rsidRPr="000D6D2C" w:rsidRDefault="000D6D2C" w:rsidP="000D6D2C">
    <w:pPr>
      <w:pStyle w:val="Footer2"/>
    </w:pPr>
    <w:r w:rsidRPr="000D6D2C">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2C" w:rsidRPr="000D6D2C" w:rsidRDefault="000D6D2C" w:rsidP="000D6D2C">
    <w:pPr>
      <w:pStyle w:val="Footer"/>
    </w:pPr>
    <w:r w:rsidRPr="000D6D2C">
      <w:rPr>
        <w:rStyle w:val="HideTWBExt"/>
        <w:noProof w:val="0"/>
      </w:rPr>
      <w:t>&lt;PathFdR&gt;</w:t>
    </w:r>
    <w:r w:rsidRPr="000D6D2C">
      <w:t>AD\1162174NL.docx</w:t>
    </w:r>
    <w:r w:rsidRPr="000D6D2C">
      <w:rPr>
        <w:rStyle w:val="HideTWBExt"/>
        <w:noProof w:val="0"/>
      </w:rPr>
      <w:t>&lt;/PathFdR&gt;</w:t>
    </w:r>
    <w:r w:rsidRPr="000D6D2C">
      <w:tab/>
    </w:r>
    <w:r w:rsidRPr="000D6D2C">
      <w:tab/>
      <w:t>PE</w:t>
    </w:r>
    <w:r w:rsidRPr="000D6D2C">
      <w:rPr>
        <w:rStyle w:val="HideTWBExt"/>
        <w:noProof w:val="0"/>
      </w:rPr>
      <w:t>&lt;NoPE&gt;</w:t>
    </w:r>
    <w:r w:rsidRPr="000D6D2C">
      <w:t>623.976</w:t>
    </w:r>
    <w:r w:rsidRPr="000D6D2C">
      <w:rPr>
        <w:rStyle w:val="HideTWBExt"/>
        <w:noProof w:val="0"/>
      </w:rPr>
      <w:t>&lt;/NoPE&gt;&lt;Version&gt;</w:t>
    </w:r>
    <w:r w:rsidRPr="000D6D2C">
      <w:t>v02-00</w:t>
    </w:r>
    <w:r w:rsidRPr="000D6D2C">
      <w:rPr>
        <w:rStyle w:val="HideTWBExt"/>
        <w:noProof w:val="0"/>
      </w:rPr>
      <w:t>&lt;/Version&gt;</w:t>
    </w:r>
  </w:p>
  <w:p w:rsidR="009B524D" w:rsidRPr="000D6D2C" w:rsidRDefault="000D6D2C" w:rsidP="000D6D2C">
    <w:pPr>
      <w:pStyle w:val="Footer2"/>
      <w:tabs>
        <w:tab w:val="center" w:pos="4535"/>
        <w:tab w:val="right" w:pos="9921"/>
      </w:tabs>
    </w:pPr>
    <w:r w:rsidRPr="000D6D2C">
      <w:t>NL</w:t>
    </w:r>
    <w:r w:rsidRPr="000D6D2C">
      <w:tab/>
    </w:r>
    <w:r w:rsidRPr="000D6D2C">
      <w:rPr>
        <w:b w:val="0"/>
        <w:i/>
        <w:color w:val="C0C0C0"/>
        <w:sz w:val="22"/>
      </w:rPr>
      <w:t>In verscheidenheid verenigd</w:t>
    </w:r>
    <w:r w:rsidRPr="000D6D2C">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4D" w:rsidRPr="000D6D2C" w:rsidRDefault="009B524D">
      <w:r w:rsidRPr="000D6D2C">
        <w:separator/>
      </w:r>
    </w:p>
  </w:footnote>
  <w:footnote w:type="continuationSeparator" w:id="0">
    <w:p w:rsidR="009B524D" w:rsidRPr="000D6D2C" w:rsidRDefault="009B524D">
      <w:r w:rsidRPr="000D6D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D7" w:rsidRDefault="0057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D7" w:rsidRDefault="00576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D7" w:rsidRDefault="0057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C6F94"/>
    <w:multiLevelType w:val="hybridMultilevel"/>
    <w:tmpl w:val="6C8E1FA0"/>
    <w:lvl w:ilvl="0" w:tplc="3536B8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NL"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ENVI"/>
    <w:docVar w:name="COMKEY" w:val="AGRI"/>
    <w:docVar w:name="CopyToNetwork" w:val="-1"/>
    <w:docVar w:name="CVA" w:val="0"/>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9636012\rsid11215221\rsid12154954\rsid14424199\rsid15204470\rsid15285974\rsid15341447\rsid15950462\rsid16324206\rsid16662270\rsid16737890}{\mmathPr\mmathFont34\mbrkBin0\mbrkBinSub0_x000d__x000a_\msmallFrac0\mdispDef1\mlMargin0\mrMargin0\mdefJc1\mwrapIndent1440\mintLim0\mnaryLim1}{\info{\author HERBERT Laurence}{\operator HERBERT Laurence}{\creatim\yr2018\mo10\dy9\hr12\min45}{\revtim\yr2018\mo10\dy9\hr12\min45}{\version1}{\edmins0}{\nofpages1}_x000d__x000a_{\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341447\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6737890 \chftnsep _x000d__x000a_\par }}{\*\ftnsepc \ltrpar \pard\plain \ltrpar\ql \li0\ri0\widctlpar\wrapdefault\aspalpha\aspnum\faauto\adjustright\rin0\lin0\itap0 \rtlch\fcs1 \af0\afs20\alang1025 \ltrch\fcs0 \fs24\lang2057\langfe2057\cgrid\langnp2057\langfenp2057 {\rtlch\fcs1 \af0 _x000d__x000a_\ltrch\fcs0 \insrsid16737890 \chftnsepc _x000d__x000a_\par }}{\*\aftnsep \ltrpar \pard\plain \ltrpar\ql \li0\ri0\widctlpar\wrapdefault\aspalpha\aspnum\faauto\adjustright\rin0\lin0\itap0 \rtlch\fcs1 \af0\afs20\alang1025 \ltrch\fcs0 \fs24\lang2057\langfe2057\cgrid\langnp2057\langfenp2057 {\rtlch\fcs1 \af0 _x000d__x000a_\ltrch\fcs0 \insrsid16737890 \chftnsep _x000d__x000a_\par }}{\*\aftnsepc \ltrpar \pard\plain \ltrpar\ql \li0\ri0\widctlpar\wrapdefault\aspalpha\aspnum\faauto\adjustright\rin0\lin0\itap0 \rtlch\fcs1 \af0\afs20\alang1025 \ltrch\fcs0 \fs24\lang2057\langfe2057\cgrid\langnp2057\langfenp2057 {\rtlch\fcs1 \af0 _x000d__x000a_\ltrch\fcs0 \insrsid167378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341447 \rtlch\fcs1 \af0\afs20\alang1025 \ltrch\fcs0 \fs24\lang2057\langfe2057\cgrid\langnp2057\langfenp2057 {\rtlch\fcs1 \af0 \ltrch\fcs0 \insrsid15341447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9c_x000d__x000a_fe2fbd5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54884 HideTWBExt;}{\s16\ql \li0\ri0\sa120\nowidctlpar\wrapdefault\aspalpha\aspnum\faauto\adjustright\rin0\lin0\itap0 \rtlch\fcs1 \af0\afs20\alang1025 \ltrch\fcs0 _x000d__x000a_\fs24\lang2057\langfe2057\cgrid\langnp2057\langfenp2057 \sbasedon0 \snext16 \slink17 \spriority0 \styrsid11754884 Normal6;}{\*\cs17 \additive \fs24 \slink16 \slocked \spriority0 \styrsid11754884 Normal6 Char;}{_x000d__x000a_\s18\ql \li0\ri0\nowidctlpar\wrapdefault\aspalpha\aspnum\faauto\adjustright\rin0\lin0\itap0 \rtlch\fcs1 \af0\afs20\alang1025 \ltrch\fcs0 \b\fs24\lang2057\langfe2057\cgrid\langnp2057\langfenp2057 \sbasedon0 \snext18 \slink19 \spriority0 \styrsid11754884 _x000d__x000a_NormalBold;}{\*\cs19 \additive \b\fs24 \slink18 \slocked \spriority0 \styrsid11754884 NormalBold Char;}{\s20\ql \li0\ri0\sa240\nowidctlpar\wrapdefault\aspalpha\aspnum\faauto\adjustright\rin0\lin0\itap0 \rtlch\fcs1 \af0\afs20\alang1025 \ltrch\fcs0 _x000d__x000a_\i\fs24\lang2057\langfe2057\cgrid\langnp2057\langfenp2057 \sbasedon0 \snext20 \spriority0 \styrsid11754884 Normal12Italic;}{\*\cs21 \additive \v\cf15 \spriority0 \styrsid11754884 HideTWBInt;}{_x000d__x000a_\s22\qc \li0\ri0\sb240\sa240\keepn\nowidctlpar\wrapdefault\aspalpha\aspnum\faauto\adjustright\rin0\lin0\itap0 \rtlch\fcs1 \af0\afs20\alang1025 \ltrch\fcs0 \i\fs24\lang2057\langfe2057\cgrid\langnp2057\langfenp2057 _x000d__x000a_\sbasedon0 \snext0 \spriority0 \styrsid11754884 JustificationTitle;}{\s23\qr \li0\ri0\sb240\sa240\nowidctlpar\wrapdefault\aspalpha\aspnum\faauto\adjustright\rin0\lin0\itap0 \rtlch\fcs1 \af0\afs20\alang1025 \ltrch\fcs0 _x000d__x000a_\fs24\lang1024\langfe1024\cgrid\noproof\langnp2057\langfenp2057 \sbasedon0 \snext23 \spriority0 \styrsid11754884 Olang;}{\s24\qc \li0\ri0\sa240\nowidctlpar\wrapdefault\aspalpha\aspnum\faauto\adjustright\rin0\lin0\itap0 \rtlch\fcs1 \af0\afs20\alang1025 _x000d__x000a_\ltrch\fcs0 \i\fs24\lang2057\langfe2057\cgrid\langnp2057\langfenp2057 \sbasedon0 \snext24 \spriority0 \styrsid1175488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1754884 AMNumberTabs;}{\s26\ql \li0\ri0\sb240\nowidctlpar\wrapdefault\aspalpha\aspnum\faauto\adjustright\rin0\lin0\itap0 \rtlch\fcs1 _x000d__x000a_\af0\afs20\alang1025 \ltrch\fcs0 \b\fs24\lang2057\langfe2057\cgrid\langnp2057\langfenp2057 \sbasedon0 \snext26 \spriority0 \styrsid11754884 NormalBold12b;}}{\*\rsidtbl \rsid24658\rsid735077\rsid2892074\rsid4666813\rsid6641733\rsid9636012\rsid11215221_x000d__x000a_\rsid11754884\rsid12154954\rsid14424199\rsid15204470\rsid15285974\rsid15945602\rsid15950462\rsid16324206\rsid16662270}{\mmathPr\mmathFont34\mbrkBin0\mbrkBinSub0\msmallFrac0\mdispDef1\mlMargin0\mrMargin0\mdefJc1\mwrapIndent1440\mintLim0\mnaryLim1}{\info_x000d__x000a_{\author HERBERT Laurence}{\operator HERBERT Laurence}{\creatim\yr2018\mo6\dy29\hr17\min14}{\revtim\yr2018\mo6\dy29\hr17\min14}{\version1}{\edmins0}{\nofpages1}{\nofwords31}{\nofchars346}{\*\company European Parliament}{\nofcharsws349}{\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754884\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5945602 \chftnsep _x000d__x000a_\par }}{\*\ftnsepc \ltrpar \pard\plain \ltrpar\ql \li0\ri0\widctlpar\wrapdefault\aspalpha\aspnum\faauto\adjustright\rin0\lin0\itap0 \rtlch\fcs1 \af0\afs20\alang1025 \ltrch\fcs0 \fs24\lang2057\langfe2057\cgrid\langnp2057\langfenp2057 {\rtlch\fcs1 \af0 _x000d__x000a_\ltrch\fcs0 \insrsid15945602 \chftnsepc _x000d__x000a_\par }}{\*\aftnsep \ltrpar \pard\plain \ltrpar\ql \li0\ri0\widctlpar\wrapdefault\aspalpha\aspnum\faauto\adjustright\rin0\lin0\itap0 \rtlch\fcs1 \af0\afs20\alang1025 \ltrch\fcs0 \fs24\lang2057\langfe2057\cgrid\langnp2057\langfenp2057 {\rtlch\fcs1 \af0 _x000d__x000a_\ltrch\fcs0 \insrsid15945602 \chftnsep _x000d__x000a_\par }}{\*\aftnsepc \ltrpar \pard\plain \ltrpar\ql \li0\ri0\widctlpar\wrapdefault\aspalpha\aspnum\faauto\adjustright\rin0\lin0\itap0 \rtlch\fcs1 \af0\afs20\alang1025 \ltrch\fcs0 \fs24\lang2057\langfe2057\cgrid\langnp2057\langfenp2057 {\rtlch\fcs1 \af0 _x000d__x000a_\ltrch\fcs0 \insrsid1594560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1754884 \rtlch\fcs1 \af0\afs20\alang1025 \ltrch\fcs0 \b\fs24\lang2057\langfe2057\cgrid\langnp2057\langfenp2057 {\rtlch\fcs1 \af0 \ltrch\fcs0 \cs15\b0\v\f1\fs20\cf9\insrsid11754884\charrsid11426601 {\*\bkmkstart restartA}&lt;AmendA&gt;}{_x000d__x000a_\rtlch\fcs1 \af0 \ltrch\fcs0 \insrsid11754884\charrsid11426601 Amendment\tab \tab }{\rtlch\fcs1 \af0 \ltrch\fcs0 \cs15\b0\v\f1\fs20\cf9\insrsid11754884\charrsid11426601 &lt;NumAmA&gt;}{\rtlch\fcs1 \af0 \ltrch\fcs0 \insrsid11754884\charrsid11426601 #}{_x000d__x000a_\rtlch\fcs1 \af0 \ltrch\fcs0 \cs21\v\cf15\insrsid11754884\charrsid11426601 ENMIENDA@NRAM@}{\rtlch\fcs1 \af0 \ltrch\fcs0 \insrsid11754884\charrsid11426601 #}{\rtlch\fcs1 \af0 \ltrch\fcs0 \cs15\b0\v\f1\fs20\cf9\insrsid11754884\charrsid11426601 &lt;/NumAmA&gt;}{_x000d__x000a_\rtlch\fcs1 \af0 \ltrch\fcs0 \insrsid11754884\charrsid11426601 _x000d__x000a_\par }\pard\plain \ltrpar\s26\ql \li0\ri0\sb240\keepn\nowidctlpar\wrapdefault\aspalpha\aspnum\faauto\adjustright\rin0\lin0\itap0\pararsid11754884 \rtlch\fcs1 \af0\afs20\alang1025 \ltrch\fcs0 \b\fs24\lang2057\langfe2057\cgrid\langnp2057\langfenp2057 {_x000d__x000a_\rtlch\fcs1 \af0 \ltrch\fcs0 \cs15\b0\v\f1\fs20\cf9\insrsid11754884\charrsid11426601 &lt;DocAmend&gt;}{\rtlch\fcs1 \af0 \ltrch\fcs0 \insrsid11754884\charrsid11426601 Draft legislative resolution}{\rtlch\fcs1 \af0 \ltrch\fcs0 _x000d__x000a_\cs15\b0\v\f1\fs20\cf9\insrsid11754884\charrsid11426601 &lt;/DocAmend&gt;}{\rtlch\fcs1 \af0 \ltrch\fcs0 \insrsid11754884\charrsid11426601 _x000d__x000a_\par }\pard\plain \ltrpar\s18\ql \li0\ri0\nowidctlpar\wrapdefault\aspalpha\aspnum\faauto\adjustright\rin0\lin0\itap0\pararsid11754884 \rtlch\fcs1 \af0\afs20\alang1025 \ltrch\fcs0 \b\fs24\lang2057\langfe2057\cgrid\langnp2057\langfenp2057 {\rtlch\fcs1 \af0 _x000d__x000a_\ltrch\fcs0 \cs15\b0\v\f1\fs20\cf9\insrsid11754884\charrsid11426601 &lt;Article&gt;}{\rtlch\fcs1 \af0 \ltrch\fcs0 \cf10\insrsid11754884\charrsid11426601 \u9668\'3f}{\rtlch\fcs1 \af0 \ltrch\fcs0 \insrsid11754884\charrsid11426601 #}{\rtlch\fcs1 \af0 \ltrch\fcs0 _x000d__x000a_\cs21\v\cf15\insrsid11754884\charrsid11426601 TVTRESPART@RESPART@}{\rtlch\fcs1 \af0 \ltrch\fcs0 \insrsid11754884\charrsid11426601 #}{\rtlch\fcs1 \af0 \ltrch\fcs0 \cf10\insrsid11754884\charrsid11426601 \u9658\'3f}{\rtlch\fcs1 \af0 \ltrch\fcs0 _x000d__x000a_\cs15\b0\v\f1\fs20\cf9\insrsid11754884\charrsid11426601 &lt;/Article&gt;}{\rtlch\fcs1 \af0 \ltrch\fcs0 \cs19\b0\insrsid11754884\charrsid11426601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754884\charrsid11426601 \cell }\pard \ltrpar\ql \li0\ri0\widctlpar\intbl\wrapdefault\aspalpha\aspnum\faauto\adjustright\rin0\lin0 {\rtlch\fcs1 \af0 _x000d__x000a_\ltrch\fcs0 \insrsid11754884\charrsid11426601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1754884\charrsid11426601 Draft legislative resolution\cell Amendment\cell }\pard\plain \ltrpar\ql \li0\ri0\widctlpar\intbl\wrapdefault\aspalpha\aspnum\faauto\adjustright\rin0\lin0 \rtlch\fcs1 \af0\afs20\alang1025 \ltrch\fcs0 _x000d__x000a_\fs24\lang2057\langfe2057\cgrid\langnp2057\langfenp2057 {\rtlch\fcs1 \af0 \ltrch\fcs0 \insrsid11754884\charrsid11426601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754884\charrsid11426601 ##\cell ##}{\rtlch\fcs1 \af0\afs24 \ltrch\fcs0 \insrsid11754884\charrsid11426601 \cell }\pard\plain \ltrpar\ql \li0\ri0\widctlpar\intbl\wrapdefault\aspalpha\aspnum\faauto\adjustright\rin0\lin0 \rtlch\fcs1 _x000d__x000a_\af0\afs20\alang1025 \ltrch\fcs0 \fs24\lang2057\langfe2057\cgrid\langnp2057\langfenp2057 {\rtlch\fcs1 \af0 \ltrch\fcs0 \insrsid11754884\charrsid11426601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754884 \rtlch\fcs1 \af0\afs20\alang1025 \ltrch\fcs0 \fs24\lang1024\langfe1024\cgrid\noproof\langnp2057\langfenp2057 {\rtlch\fcs1 \af0 _x000d__x000a_\ltrch\fcs0 \noproof0\insrsid11754884\charrsid11426601 Or. }{\rtlch\fcs1 \af0 \ltrch\fcs0 \cs15\v\f1\fs20\cf9\noproof0\insrsid11754884\charrsid11426601 &lt;Original&gt;}{\rtlch\fcs1 \af0 \ltrch\fcs0 \noproof0\insrsid11754884\charrsid11426601 #}{\rtlch\fcs1 _x000d__x000a_\af0 \ltrch\fcs0 \cs21\v\cf15\noproof0\insrsid11754884\charrsid11426601 MNU[ORLANGONE][ORLANGMORE]@CHOICE@ORLANGMNU}{\rtlch\fcs1 \af0 \ltrch\fcs0 \noproof0\insrsid11754884\charrsid11426601 #}{\rtlch\fcs1 \af0 \ltrch\fcs0 _x000d__x000a_\cs15\v\f1\fs20\cf9\noproof0\insrsid11754884\charrsid11426601 &lt;/Original&gt;}{\rtlch\fcs1 \af0 \ltrch\fcs0 \noproof0\insrsid11754884\charrsid11426601 _x000d__x000a_\par }\pard\plain \ltrpar\s22\qc \li0\ri0\sb240\sa240\keepn\nowidctlpar\wrapdefault\aspalpha\aspnum\faauto\adjustright\rin0\lin0\itap0\pararsid11754884 \rtlch\fcs1 \af0\afs20\alang1025 \ltrch\fcs0 \i\fs24\lang2057\langfe2057\cgrid\langnp2057\langfenp2057 {_x000d__x000a_\rtlch\fcs1 \af0 \ltrch\fcs0 \cs15\i0\v\f1\fs20\cf9\insrsid11754884\charrsid11426601 &lt;TitreJust&gt;}{\rtlch\fcs1 \af0 \ltrch\fcs0 \insrsid11754884\charrsid11426601 Justification}{\rtlch\fcs1 \af0 \ltrch\fcs0 _x000d__x000a_\cs15\i0\v\f1\fs20\cf9\insrsid11754884\charrsid11426601 &lt;/TitreJust&gt;}{\rtlch\fcs1 \af0 \ltrch\fcs0 \insrsid11754884\charrsid11426601 _x000d__x000a_\par }\pard\plain \ltrpar\s20\ql \li0\ri0\sa240\nowidctlpar\wrapdefault\aspalpha\aspnum\faauto\adjustright\rin0\lin0\itap0\pararsid11754884 \rtlch\fcs1 \af0\afs20\alang1025 \ltrch\fcs0 \i\fs24\lang2057\langfe2057\cgrid\langnp2057\langfenp2057 {\rtlch\fcs1 _x000d__x000a_\af0 \ltrch\fcs0 \cs15\i0\v\f1\fs20\cf9\insrsid11754884\charrsid11426601 &lt;OptDelPrev&gt;}{\rtlch\fcs1 \af0 \ltrch\fcs0 \insrsid11754884\charrsid11426601 #}{\rtlch\fcs1 \af0 \ltrch\fcs0 \cs21\v\cf15\insrsid11754884\charrsid11426601 _x000d__x000a_MNU[TEXTJUSTYES][TEXTJUSTNO]@CHOICE@}{\rtlch\fcs1 \af0 \ltrch\fcs0 \insrsid11754884\charrsid11426601 #}{\rtlch\fcs1 \af0 \ltrch\fcs0 \cs15\i0\v\f1\fs20\cf9\insrsid11754884\charrsid11426601 &lt;/OptDelPrev&gt;}{\rtlch\fcs1 \af0 \ltrch\fcs0 _x000d__x000a_\insrsid11754884\charrsid11426601 _x000d__x000a_\par }\pard\plain \ltrpar\ql \li0\ri0\widctlpar\wrapdefault\aspalpha\aspnum\faauto\adjustright\rin0\lin0\itap0\pararsid11754884 \rtlch\fcs1 \af0\afs20\alang1025 \ltrch\fcs0 \fs24\lang2057\langfe2057\cgrid\langnp2057\langfenp2057 {\rtlch\fcs1 \af0 \ltrch\fcs0 _x000d__x000a_\cs15\v\f1\fs20\cf9\insrsid11754884\charrsid1142660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2_x000d__x000a_0cdbbb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4\fbidi \froman\fcharset238\fprq2 Times New Roman CE;}_x000d__x000a_{\f275\fbidi \froman\fcharset204\fprq2 Times New Roman Cyr;}{\f277\fbidi \froman\fcharset161\fprq2 Times New Roman Greek;}{\f278\fbidi \froman\fcharset162\fprq2 Times New Roman Tur;}{\f279\fbidi \froman\fcharset177\fprq2 Times New Roman (Hebrew);}_x000d__x000a_{\f280\fbidi \froman\fcharset178\fprq2 Times New Roman (Arabic);}{\f281\fbidi \froman\fcharset186\fprq2 Times New Roman Baltic;}{\f282\fbidi \froman\fcharset163\fprq2 Times New Roman (Vietnamese);}{\f614\fbidi \froman\fcharset238\fprq2 Cambria Math CE;}_x000d__x000a_{\f615\fbidi \froman\fcharset204\fprq2 Cambria Math Cyr;}{\f617\fbidi \froman\fcharset161\fprq2 Cambria Math Greek;}{\f618\fbidi \froman\fcharset162\fprq2 Cambria Math Tur;}{\f621\fbidi \froman\fcharset186\fprq2 Cambria Math Baltic;}_x000d__x000a_{\f62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069949 HideTWBInt;}}{\*\rsidtbl \rsid24658\rsid735077\rsid2892074\rsid2901861\rsid4666813\rsid6641733\rsid9636012\rsid11215221\rsid12069949\rsid12154954\rsid14424199\rsid15204470\rsid15285974\rsid15950462\rsid16324206_x000d__x000a_\rsid16662270}{\mmathPr\mmathFont34\mbrkBin0\mbrkBinSub0\msmallFrac0\mdispDef1\mlMargin0\mrMargin0\mdefJc1\mwrapIndent1440\mintLim0\mnaryLim1}{\info{\author HERBERT Laurence}{\operator HERBERT Laurence}{\creatim\yr2018\mo6\dy29\hr17\min22}_x000d__x000a_{\revtim\yr2018\mo6\dy29\hr17\min22}{\version1}{\edmins0}{\nofpages1}{\nofwords1}{\nofchars17}{\*\company European Parliament}{\nofcharsws17}{\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69949\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2901861 \chftnsep _x000d__x000a_\par }}{\*\ftnsepc \ltrpar \pard\plain \ltrpar\ql \li0\ri0\widctlpar\wrapdefault\aspalpha\aspnum\faauto\adjustright\rin0\lin0\itap0 \rtlch\fcs1 \af0\afs20\alang1025 \ltrch\fcs0 \fs24\lang2057\langfe2057\cgrid\langnp2057\langfenp2057 {\rtlch\fcs1 \af0 _x000d__x000a_\ltrch\fcs0 \insrsid2901861 \chftnsepc _x000d__x000a_\par }}{\*\aftnsep \ltrpar \pard\plain \ltrpar\ql \li0\ri0\widctlpar\wrapdefault\aspalpha\aspnum\faauto\adjustright\rin0\lin0\itap0 \rtlch\fcs1 \af0\afs20\alang1025 \ltrch\fcs0 \fs24\lang2057\langfe2057\cgrid\langnp2057\langfenp2057 {\rtlch\fcs1 \af0 _x000d__x000a_\ltrch\fcs0 \insrsid2901861 \chftnsep _x000d__x000a_\par }}{\*\aftnsepc \ltrpar \pard\plain \ltrpar\ql \li0\ri0\widctlpar\wrapdefault\aspalpha\aspnum\faauto\adjustright\rin0\lin0\itap0 \rtlch\fcs1 \af0\afs20\alang1025 \ltrch\fcs0 \fs24\lang2057\langfe2057\cgrid\langnp2057\langfenp2057 {\rtlch\fcs1 \af0 _x000d__x000a_\ltrch\fcs0 \insrsid29018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2069949\charrsid11426601 {\*\bkmkstart DocEPLastPosition}{\*\bkmkstart ReplaceBookmark}#}{\rtlch\fcs1 \af0 \ltrch\fcs0 \cs15\v\cf15\insrsid12069949\charrsid11426601 &gt;&gt;&gt;CVAR@@AmendA}{\rtlch\fcs1 \af0 \ltrch\fcs0 \insrsid12069949\charrsid11426601 #_x000d__x000a_}{\rtlch\fcs1 \af0 \ltrch\fcs0 \insrsid24658\charrsid16324206 {\*\bkmkend DocEPLastPosition}{\*\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8_x000d__x000a_db05bd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84005 HideTWBExt;}{\s16\ql \li0\ri0\sa120\nowidctlpar\wrapdefault\aspalpha\aspnum\faauto\adjustright\rin0\lin0\itap0 \rtlch\fcs1 \af0\afs20\alang1025 \ltrch\fcs0 _x000d__x000a_\fs24\lang2057\langfe2057\cgrid\langnp2057\langfenp2057 \sbasedon0 \snext16 \slink17 \spriority0 \styrsid5784005 Normal6;}{\*\cs17 \additive \fs24 \slink16 \slocked \spriority0 \styrsid5784005 Normal6 Char;}{_x000d__x000a_\s18\ql \li0\ri0\nowidctlpar\wrapdefault\aspalpha\aspnum\faauto\adjustright\rin0\lin0\itap0 \rtlch\fcs1 \af0\afs20\alang1025 \ltrch\fcs0 \b\fs24\lang2057\langfe2057\cgrid\langnp2057\langfenp2057 \sbasedon0 \snext18 \slink19 \spriority0 \styrsid5784005 _x000d__x000a_NormalBold;}{\*\cs19 \additive \b\fs24 \slink18 \slocked \spriority0 \styrsid5784005 NormalBold Char;}{\s20\ql \li0\ri0\sa240\nowidctlpar\wrapdefault\aspalpha\aspnum\faauto\adjustright\rin0\lin0\itap0 \rtlch\fcs1 \af0\afs20\alang1025 \ltrch\fcs0 _x000d__x000a_\i\fs24\lang2057\langfe2057\cgrid\langnp2057\langfenp2057 \sbasedon0 \snext20 \spriority0 \styrsid5784005 Normal12Italic;}{\s21\qc \li0\ri0\sb240\nowidctlpar\wrapdefault\aspalpha\aspnum\faauto\adjustright\rin0\lin0\itap0 \rtlch\fcs1 \af0\afs20\alang1025 _x000d__x000a_\ltrch\fcs0 \i\fs24\lang2057\langfe2057\cgrid\langnp2057\langfenp2057 \sbasedon0 \snext21 \spriority0 \styrsid5784005 CrossRef;}{\*\cs22 \additive \v\cf15 \spriority0 \styrsid5784005 HideTWBInt;}{_x000d__x000a_\s23\qc \li0\ri0\sb240\sa240\keepn\nowidctlpar\wrapdefault\aspalpha\aspnum\faauto\adjustright\rin0\lin0\itap0 \rtlch\fcs1 \af0\afs20\alang1025 \ltrch\fcs0 \i\fs24\lang2057\langfe2057\cgrid\langnp2057\langfenp2057 _x000d__x000a_\sbasedon0 \snext0 \spriority0 \styrsid5784005 JustificationTitle;}{\s24\qr \li0\ri0\sb240\sa240\nowidctlpar\wrapdefault\aspalpha\aspnum\faauto\adjustright\rin0\lin0\itap0 \rtlch\fcs1 \af0\afs20\alang1025 \ltrch\fcs0 _x000d__x000a_\fs24\lang1024\langfe1024\cgrid\noproof\langnp2057\langfenp2057 \sbasedon0 \snext24 \spriority0 \styrsid5784005 Olang;}{\s25\qc \li0\ri0\sa240\nowidctlpar\wrapdefault\aspalpha\aspnum\faauto\adjustright\rin0\lin0\itap0 \rtlch\fcs1 \af0\afs20\alang1025 _x000d__x000a_\ltrch\fcs0 \i\fs24\lang2057\langfe2057\cgrid\langnp2057\langfenp2057 \sbasedon0 \snext25 \spriority0 \styrsid578400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5784005 AMNumberTabs;}{\s27\ql \li0\ri0\sb240\nowidctlpar\wrapdefault\aspalpha\aspnum\faauto\adjustright\rin0\lin0\itap0 \rtlch\fcs1 _x000d__x000a_\af0\afs20\alang1025 \ltrch\fcs0 \b\fs24\lang2057\langfe2057\cgrid\langnp2057\langfenp2057 \sbasedon0 \snext27 \spriority0 \styrsid5784005 NormalBold12b;}}{\*\rsidtbl \rsid24658\rsid735077\rsid2892074\rsid4666813\rsid5784005\rsid6641733\rsid9636012_x000d__x000a_\rsid10627284\rsid11215221\rsid12154954\rsid14424199\rsid15204470\rsid15285974\rsid15950462\rsid16324206\rsid16662270}{\mmathPr\mmathFont34\mbrkBin0\mbrkBinSub0\msmallFrac0\mdispDef1\mlMargin0\mrMargin0\mdefJc1\mwrapIndent1440\mintLim0\mnaryLim1}{\info_x000d__x000a_{\author HERBERT Laurence}{\operator HERBERT Laurence}{\creatim\yr2018\mo6\dy29\hr17\min14}{\revtim\yr2018\mo6\dy29\hr17\min14}{\version1}{\edmins0}{\nofpages1}{\nofwords60}{\nofchars660}{\*\company European Parliament}{\nofcharsws665}{\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784005\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0627284 \chftnsep _x000d__x000a_\par }}{\*\ftnsepc \ltrpar \pard\plain \ltrpar\ql \li0\ri0\widctlpar\wrapdefault\aspalpha\aspnum\faauto\adjustright\rin0\lin0\itap0 \rtlch\fcs1 \af0\afs20\alang1025 \ltrch\fcs0 \fs24\lang2057\langfe2057\cgrid\langnp2057\langfenp2057 {\rtlch\fcs1 \af0 _x000d__x000a_\ltrch\fcs0 \insrsid10627284 \chftnsepc _x000d__x000a_\par }}{\*\aftnsep \ltrpar \pard\plain \ltrpar\ql \li0\ri0\widctlpar\wrapdefault\aspalpha\aspnum\faauto\adjustright\rin0\lin0\itap0 \rtlch\fcs1 \af0\afs20\alang1025 \ltrch\fcs0 \fs24\lang2057\langfe2057\cgrid\langnp2057\langfenp2057 {\rtlch\fcs1 \af0 _x000d__x000a_\ltrch\fcs0 \insrsid10627284 \chftnsep _x000d__x000a_\par }}{\*\aftnsepc \ltrpar \pard\plain \ltrpar\ql \li0\ri0\widctlpar\wrapdefault\aspalpha\aspnum\faauto\adjustright\rin0\lin0\itap0 \rtlch\fcs1 \af0\afs20\alang1025 \ltrch\fcs0 \fs24\lang2057\langfe2057\cgrid\langnp2057\langfenp2057 {\rtlch\fcs1 \af0 _x000d__x000a_\ltrch\fcs0 \insrsid1062728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5784005 \rtlch\fcs1 \af0\afs20\alang1025 \ltrch\fcs0 \b\fs24\lang2057\langfe2057\cgrid\langnp2057\langfenp2057 {\rtlch\fcs1 \af0 \ltrch\fcs0 \cs15\b0\v\f1\fs20\cf9\insrsid5784005\charrsid11426601 {\*\bkmkstart restartB}&lt;AmendB&gt;}{_x000d__x000a_\rtlch\fcs1 \af0 \ltrch\fcs0 \insrsid5784005\charrsid11426601 Amendment\tab \tab }{\rtlch\fcs1 \af0 \ltrch\fcs0 \cs15\b0\v\f1\fs20\cf9\insrsid5784005\charrsid11426601 &lt;NumAmB&gt;}{\rtlch\fcs1 \af0 \ltrch\fcs0 \insrsid5784005\charrsid11426601 #}{\rtlch\fcs1 _x000d__x000a_\af0 \ltrch\fcs0 \cs22\v\cf15\insrsid5784005\charrsid11426601 ENMIENDA@NRAM@}{\rtlch\fcs1 \af0 \ltrch\fcs0 \insrsid5784005\charrsid11426601 #}{\rtlch\fcs1 \af0 \ltrch\fcs0 \cs15\b0\v\f1\fs20\cf9\insrsid5784005\charrsid11426601 &lt;/NumAmB&gt;}{\rtlch\fcs1 \af0 _x000d__x000a_\ltrch\fcs0 \insrsid5784005\charrsid11426601 _x000d__x000a_\par }\pard\plain \ltrpar\s27\ql \li0\ri0\sb240\keepn\nowidctlpar\wrapdefault\aspalpha\aspnum\faauto\adjustright\rin0\lin0\itap0\pararsid5784005 \rtlch\fcs1 \af0\afs20\alang1025 \ltrch\fcs0 \b\fs24\lang2057\langfe2057\cgrid\langnp2057\langfenp2057 {_x000d__x000a_\rtlch\fcs1 \af0 \ltrch\fcs0 \cs15\b0\v\f1\fs20\cf9\insrsid5784005\charrsid11426601 &lt;DocAmend&gt;}{\rtlch\fcs1 \af0 \ltrch\fcs0 \insrsid5784005\charrsid11426601 #}{\rtlch\fcs1 \af0 \ltrch\fcs0 \cs22\v\cf15\insrsid5784005\charrsid11426601 _x000d__x000a_MNU[OPTPROPOSALCOD][OPTPROPOSALCNS][OPTPROPOSALNLE]@CHOICE@CODEMNU}{\rtlch\fcs1 \af0 \ltrch\fcs0 \insrsid5784005\charrsid11426601 ##}{\rtlch\fcs1 \af0 \ltrch\fcs0 \cs22\v\cf15\insrsid5784005\charrsid11426601 MNU[AMACTYES][NOTAPP]@CHOICE@AMACTMNU}{_x000d__x000a_\rtlch\fcs1 \af0 \ltrch\fcs0 \insrsid5784005\charrsid11426601 #}{\rtlch\fcs1 \af0 \ltrch\fcs0 \cs15\b0\v\f1\fs20\cf9\insrsid5784005\charrsid11426601 &lt;/DocAmend&gt;}{\rtlch\fcs1 \af0 \ltrch\fcs0 \insrsid5784005\charrsid11426601 _x000d__x000a_\par }\pard\plain \ltrpar\s18\ql \li0\ri0\keepn\nowidctlpar\wrapdefault\aspalpha\aspnum\faauto\adjustright\rin0\lin0\itap0\pararsid5784005 \rtlch\fcs1 \af0\afs20\alang1025 \ltrch\fcs0 \b\fs24\lang2057\langfe2057\cgrid\langnp2057\langfenp2057 {\rtlch\fcs1 \af0 _x000d__x000a_\ltrch\fcs0 \cs15\b0\v\f1\fs20\cf9\insrsid5784005\charrsid11426601 &lt;Article&gt;}{\rtlch\fcs1 \af0 \ltrch\fcs0 \insrsid5784005\charrsid11426601 #}{\rtlch\fcs1 \af0 \ltrch\fcs0 \cs22\v\cf15\insrsid5784005\charrsid11426601 MNU[AMACTPARTYES][AMAC_x000d__x000a_TPARTNO]@CHOICE@AMACTMNU}{\rtlch\fcs1 \af0 \ltrch\fcs0 \insrsid5784005\charrsid11426601 #}{\rtlch\fcs1 \af0 \ltrch\fcs0 \cs15\b0\v\f1\fs20\cf9\insrsid5784005\charrsid11426601 &lt;/Article&gt;}{\rtlch\fcs1 \af0 \ltrch\fcs0 \insrsid5784005\charrsid11426601 _x000d__x000a__x000d__x000a_\par }\pard\plain \ltrpar\ql \li0\ri0\keepn\widctlpar\wrapdefault\aspalpha\aspnum\faauto\adjustright\rin0\lin0\itap0\pararsid5784005 \rtlch\fcs1 \af0\afs20\alang1025 \ltrch\fcs0 \fs24\lang2057\langfe2057\cgrid\langnp2057\langfenp2057 {\rtlch\fcs1 \af0 _x000d__x000a_\ltrch\fcs0 \cs15\v\f1\fs20\cf9\insrsid5784005\charrsid11426601 &lt;DocAmend2&gt;&lt;OptDel&gt;}{\rtlch\fcs1 \af0 \ltrch\fcs0 \insrsid5784005\charrsid11426601 #}{\rtlch\fcs1 \af0 \ltrch\fcs0 \cs22\v\cf15\insrsid5784005\charrsid11426601 _x000d__x000a_MNU[OPTNRACTYES][NOTAPP]@CHOICE@AMACTMNU}{\rtlch\fcs1 \af0 \ltrch\fcs0 \insrsid5784005\charrsid11426601 #}{\rtlch\fcs1 \af0 \ltrch\fcs0 \cs15\v\f1\fs20\cf9\insrsid5784005\charrsid11426601 &lt;/OptDel&gt;&lt;/DocAmend2&gt;}{\rtlch\fcs1 \af0 \ltrch\fcs0 _x000d__x000a_\insrsid5784005\charrsid11426601 _x000d__x000a_\par }\pard \ltrpar\ql \li0\ri0\widctlpar\wrapdefault\aspalpha\aspnum\faauto\adjustright\rin0\lin0\itap0\pararsid5784005 {\rtlch\fcs1 \af0 \ltrch\fcs0 \cs15\v\f1\fs20\cf9\insrsid5784005\charrsid11426601 &lt;Article2&gt;&lt;OptDel&gt;}{\rtlch\fcs1 \af0 \ltrch\fcs0 _x000d__x000a_\insrsid5784005\charrsid11426601 #}{\rtlch\fcs1 \af0 \ltrch\fcs0 \cs22\v\cf15\insrsid5784005\charrsid11426601 MNU[OPTACTPARTYES][NOTAPP]@CHOICE@AMACTMNU}{\rtlch\fcs1 \af0 \ltrch\fcs0 \insrsid5784005\charrsid11426601 #}{\rtlch\fcs1 \af0 \ltrch\fcs0 _x000d__x000a_\cs15\v\f1\fs20\cf9\insrsid5784005\charrsid11426601 &lt;/OptDel&gt;&lt;/Article2&gt;}{\rtlch\fcs1 \af0 \ltrch\fcs0 \insrsid5784005\charrsid11426601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5784005\charrsid11426601 \cell }\pard \ltrpar\ql \li0\ri0\widctlpar\intbl\wrapdefault\aspalpha\aspnum\faauto\adjustright\rin0\lin0 {\rtlch\fcs1 \af0 \ltrch\fcs0 \insrsid5784005\charrsid11426601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5784005\charrsid11426601 #}{\rtlch\fcs1 \af0 \ltrch\fcs0 \cs22\v\cf15\insrsid5784005\charrsid11426601 MNU[OPTLEFTAMACT][LEFTPROP]@CHOICE@AMACTMNU}{\rtlch\fcs1 \af0 \ltrch\fcs0 \insrsid5784005\charrsid11426601 #\cell Amendment\cell _x000d__x000a_}\pard\plain \ltrpar\ql \li0\ri0\widctlpar\intbl\wrapdefault\aspalpha\aspnum\faauto\adjustright\rin0\lin0 \rtlch\fcs1 \af0\afs20\alang1025 \ltrch\fcs0 \fs24\lang2057\langfe2057\cgrid\langnp2057\langfenp2057 {\rtlch\fcs1 \af0 \ltrch\fcs0 _x000d__x000a_\insrsid5784005\charrsid11426601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5784005\charrsid11426601 ##\cell ##}{\rtlch\fcs1 \af0\afs24 \ltrch\fcs0 \insrsid5784005\charrsid11426601 \cell }\pard\plain \ltrpar\ql \li0\ri0\widctlpar\intbl\wrapdefault\aspalpha\aspnum\faauto\adjustright\rin0\lin0 \rtlch\fcs1 _x000d__x000a_\af0\afs20\alang1025 \ltrch\fcs0 \fs24\lang2057\langfe2057\cgrid\langnp2057\langfenp2057 {\rtlch\fcs1 \af0 \ltrch\fcs0 \insrsid5784005\charrsid11426601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5784005 \rtlch\fcs1 \af0\afs20\alang1025 \ltrch\fcs0 \fs24\lang1024\langfe1024\cgrid\noproof\langnp2057\langfenp2057 {\rtlch\fcs1 \af0 _x000d__x000a_\ltrch\fcs0 \noproof0\insrsid5784005\charrsid11426601 Or. }{\rtlch\fcs1 \af0 \ltrch\fcs0 \cs15\v\f1\fs20\cf9\noproof0\insrsid5784005\charrsid11426601 &lt;Original&gt;}{\rtlch\fcs1 \af0 \ltrch\fcs0 \noproof0\insrsid5784005\charrsid11426601 #}{\rtlch\fcs1 \af0 _x000d__x000a_\ltrch\fcs0 \cs22\v\cf15\noproof0\insrsid5784005\charrsid11426601 MNU[ORLANGONE][ORLANGMORE]@CHOICE@ORLANGMNU}{\rtlch\fcs1 \af0 \ltrch\fcs0 \noproof0\insrsid5784005\charrsid11426601 #}{\rtlch\fcs1 \af0 \ltrch\fcs0 _x000d__x000a_\cs15\v\f1\fs20\cf9\noproof0\insrsid5784005\charrsid11426601 &lt;/Original&gt;}{\rtlch\fcs1 \af0 \ltrch\fcs0 \noproof0\insrsid5784005\charrsid11426601 _x000d__x000a_\par }\pard\plain \ltrpar\s21\qc \li0\ri0\sb240\nowidctlpar\wrapdefault\aspalpha\aspnum\faauto\adjustright\rin0\lin0\itap0\pararsid5784005 \rtlch\fcs1 \af0\afs20\alang1025 \ltrch\fcs0 \i\fs24\lang2057\langfe2057\cgrid\langnp2057\langfenp2057 {\rtlch\fcs1 \af0 _x000d__x000a_\ltrch\fcs0 \cs15\i0\v\f1\fs20\cf9\insrsid5784005\charrsid11426601 &lt;OptDel&gt;}{\rtlch\fcs1 \af0 \ltrch\fcs0 \insrsid5784005\charrsid11426601 #}{\rtlch\fcs1 \af0 \ltrch\fcs0 \cs22\v\cf15\insrsid5784005\charrsid11426601 MNU[CROSSREFNO][CROSSREFYES]@CHOICE@}{_x000d__x000a_\rtlch\fcs1 \af0 \ltrch\fcs0 \insrsid5784005\charrsid11426601 #}{\rtlch\fcs1 \af0 \ltrch\fcs0 \cs15\i0\v\f1\fs20\cf9\insrsid5784005\charrsid11426601 &lt;/OptDel&gt;}{\rtlch\fcs1 \af0 \ltrch\fcs0 \insrsid5784005\charrsid11426601 _x000d__x000a_\par }\pard\plain \ltrpar\s23\qc \li0\ri0\sb240\sa240\keepn\nowidctlpar\wrapdefault\aspalpha\aspnum\faauto\adjustright\rin0\lin0\itap0\pararsid5784005 \rtlch\fcs1 \af0\afs20\alang1025 \ltrch\fcs0 \i\fs24\lang2057\langfe2057\cgrid\langnp2057\langfenp2057 {_x000d__x000a_\rtlch\fcs1 \af0 \ltrch\fcs0 \cs15\i0\v\f1\fs20\cf9\insrsid5784005\charrsid11426601 &lt;TitreJust&gt;}{\rtlch\fcs1 \af0 \ltrch\fcs0 \insrsid5784005\charrsid11426601 Justification}{\rtlch\fcs1 \af0 \ltrch\fcs0 _x000d__x000a_\cs15\i0\v\f1\fs20\cf9\insrsid5784005\charrsid11426601 &lt;/TitreJust&gt;}{\rtlch\fcs1 \af0 \ltrch\fcs0 \insrsid5784005\charrsid11426601 _x000d__x000a_\par }\pard\plain \ltrpar\s20\ql \li0\ri0\sa240\nowidctlpar\wrapdefault\aspalpha\aspnum\faauto\adjustright\rin0\lin0\itap0\pararsid5784005 \rtlch\fcs1 \af0\afs20\alang1025 \ltrch\fcs0 \i\fs24\lang2057\langfe2057\cgrid\langnp2057\langfenp2057 {\rtlch\fcs1 \af0 _x000d__x000a_\ltrch\fcs0 \cs15\i0\v\f1\fs20\cf9\insrsid5784005\charrsid11426601 &lt;OptDelPrev&gt;}{\rtlch\fcs1 \af0 \ltrch\fcs0 \insrsid5784005\charrsid11426601 #}{\rtlch\fcs1 \af0 \ltrch\fcs0 \cs22\v\cf15\insrsid5784005\charrsid11426601 _x000d__x000a_MNU[TEXTJUSTYES][TEXTJUSTNO]@CHOICE@}{\rtlch\fcs1 \af0 \ltrch\fcs0 \insrsid5784005\charrsid11426601 #}{\rtlch\fcs1 \af0 \ltrch\fcs0 \cs15\i0\v\f1\fs20\cf9\insrsid5784005\charrsid11426601 &lt;/OptDelPrev&gt;}{\rtlch\fcs1 \af0 \ltrch\fcs0 _x000d__x000a_\insrsid5784005\charrsid11426601 _x000d__x000a_\par }\pard\plain \ltrpar\ql \li0\ri0\widctlpar\wrapdefault\aspalpha\aspnum\faauto\adjustright\rin0\lin0\itap0\pararsid5784005 \rtlch\fcs1 \af0\afs20\alang1025 \ltrch\fcs0 \fs24\lang2057\langfe2057\cgrid\langnp2057\langfenp2057 {\rtlch\fcs1 \af0 \ltrch\fcs0 _x000d__x000a_\cs15\v\f1\fs20\cf9\insrsid5784005\charrsid1142660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6_x000d__x000a_d9dbbb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98733 HideTWBExt;}{\s16\ql \li0\ri0\sa120\nowidctlpar\wrapdefault\aspalpha\aspnum\faauto\adjustright\rin0\lin0\itap0 \rtlch\fcs1 \af0\afs20\alang1025 \ltrch\fcs0 _x000d__x000a_\fs24\lang2057\langfe2057\cgrid\langnp2057\langfenp2057 \sbasedon0 \snext16 \slink17 \spriority0 \styrsid15998733 Normal6;}{\*\cs17 \additive \fs24 \slink16 \slocked \spriority0 \styrsid15998733 Normal6 Char;}{_x000d__x000a_\s18\ql \li0\ri0\nowidctlpar\wrapdefault\aspalpha\aspnum\faauto\adjustright\rin0\lin0\itap0 \rtlch\fcs1 \af0\afs20\alang1025 \ltrch\fcs0 \b\fs24\lang2057\langfe2057\cgrid\langnp2057\langfenp2057 \sbasedon0 \snext18 \slink19 \spriority0 \styrsid15998733 _x000d__x000a_NormalBold;}{\*\cs19 \additive \b\fs24 \slink18 \slocked \spriority0 \styrsid15998733 NormalBold Char;}{\s20\ql \li0\ri0\sa240\nowidctlpar\wrapdefault\aspalpha\aspnum\faauto\adjustright\rin0\lin0\itap0 \rtlch\fcs1 \af0\afs20\alang1025 \ltrch\fcs0 _x000d__x000a_\i\fs24\lang2057\langfe2057\cgrid\langnp2057\langfenp2057 \sbasedon0 \snext20 \spriority0 \styrsid15998733 Normal12Italic;}{\*\cs21 \additive \v\cf15 \spriority0 \styrsid15998733 HideTWBInt;}{_x000d__x000a_\s22\qc \li0\ri0\sb240\sa240\keepn\nowidctlpar\wrapdefault\aspalpha\aspnum\faauto\adjustright\rin0\lin0\itap0 \rtlch\fcs1 \af0\afs20\alang1025 \ltrch\fcs0 \i\fs24\lang2057\langfe2057\cgrid\langnp2057\langfenp2057 _x000d__x000a_\sbasedon0 \snext0 \spriority0 \styrsid15998733 JustificationTitle;}{\s23\qr \li0\ri0\sb240\sa240\nowidctlpar\wrapdefault\aspalpha\aspnum\faauto\adjustright\rin0\lin0\itap0 \rtlch\fcs1 \af0\afs20\alang1025 \ltrch\fcs0 _x000d__x000a_\fs24\lang1024\langfe1024\cgrid\noproof\langnp2057\langfenp2057 \sbasedon0 \snext23 \spriority0 \styrsid15998733 Olang;}{\s24\qc \li0\ri0\sa240\nowidctlpar\wrapdefault\aspalpha\aspnum\faauto\adjustright\rin0\lin0\itap0 \rtlch\fcs1 \af0\afs20\alang1025 _x000d__x000a_\ltrch\fcs0 \i\fs24\lang2057\langfe2057\cgrid\langnp2057\langfenp2057 \sbasedon0 \snext24 \spriority0 \styrsid1599873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998733 AMNumberTabs;}{\s26\ql \li0\ri0\sb240\nowidctlpar\wrapdefault\aspalpha\aspnum\faauto\adjustright\rin0\lin0\itap0 \rtlch\fcs1 _x000d__x000a_\af0\afs20\alang1025 \ltrch\fcs0 \b\fs24\lang2057\langfe2057\cgrid\langnp2057\langfenp2057 \sbasedon0 \snext26 \spriority0 \styrsid15998733 NormalBold12b;}}{\*\rsidtbl \rsid24658\rsid735077\rsid2892074\rsid4666813\rsid6641733\rsid9636012\rsid11215221_x000d__x000a_\rsid12154954\rsid12934506\rsid14424199\rsid15204470\rsid15285974\rsid15950462\rsid15998733\rsid16324206\rsid16662270}{\mmathPr\mmathFont34\mbrkBin0\mbrkBinSub0\msmallFrac0\mdispDef1\mlMargin0\mrMargin0\mdefJc1\mwrapIndent1440\mintLim0\mnaryLim1}{\info_x000d__x000a_{\author HERBERT Laurence}{\operator HERBERT Laurence}{\creatim\yr2018\mo6\dy29\hr17\min22}{\revtim\yr2018\mo6\dy29\hr17\min22}{\version1}{\edmins0}{\nofpages1}{\nofwords31}{\nofchars342}{\*\company European Parliament}{\nofcharsws345}{\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98733\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2934506 \chftnsep _x000d__x000a_\par }}{\*\ftnsepc \ltrpar \pard\plain \ltrpar\ql \li0\ri0\widctlpar\wrapdefault\aspalpha\aspnum\faauto\adjustright\rin0\lin0\itap0 \rtlch\fcs1 \af0\afs20\alang1025 \ltrch\fcs0 \fs24\lang2057\langfe2057\cgrid\langnp2057\langfenp2057 {\rtlch\fcs1 \af0 _x000d__x000a_\ltrch\fcs0 \insrsid12934506 \chftnsepc _x000d__x000a_\par }}{\*\aftnsep \ltrpar \pard\plain \ltrpar\ql \li0\ri0\widctlpar\wrapdefault\aspalpha\aspnum\faauto\adjustright\rin0\lin0\itap0 \rtlch\fcs1 \af0\afs20\alang1025 \ltrch\fcs0 \fs24\lang2057\langfe2057\cgrid\langnp2057\langfenp2057 {\rtlch\fcs1 \af0 _x000d__x000a_\ltrch\fcs0 \insrsid12934506 \chftnsep _x000d__x000a_\par }}{\*\aftnsepc \ltrpar \pard\plain \ltrpar\ql \li0\ri0\widctlpar\wrapdefault\aspalpha\aspnum\faauto\adjustright\rin0\lin0\itap0 \rtlch\fcs1 \af0\afs20\alang1025 \ltrch\fcs0 \fs24\lang2057\langfe2057\cgrid\langnp2057\langfenp2057 {\rtlch\fcs1 \af0 _x000d__x000a_\ltrch\fcs0 \insrsid129345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998733 \rtlch\fcs1 \af0\afs20\alang1025 \ltrch\fcs0 \b\fs24\lang2057\langfe2057\cgrid\langnp2057\langfenp2057 {\rtlch\fcs1 \af0 \ltrch\fcs0 \cs15\b0\v\f1\fs20\cf9\insrsid15998733\charrsid11426601 {\*\bkmkstart restart}&lt;}{\rtlch\fcs1 _x000d__x000a_\af0 \ltrch\fcs0 \cs15\b0\v\f1\fs20\cf9\insrsid15998733 Amend}{\rtlch\fcs1 \af0 \ltrch\fcs0 \cs15\b0\v\f1\fs20\cf9\insrsid15998733\charrsid11426601 &gt;}{\rtlch\fcs1 \af0 \ltrch\fcs0 \insrsid15998733\charrsid11426601 Amendment\tab \tab }{\rtlch\fcs1 \af0 _x000d__x000a_\ltrch\fcs0 \cs15\b0\v\f1\fs20\cf9\insrsid15998733\charrsid11426601 &lt;}{\rtlch\fcs1 \af0 \ltrch\fcs0 \cs15\b0\v\f1\fs20\cf9\insrsid15998733 NumAm&gt;}{\rtlch\fcs1 \af0 \ltrch\fcs0 \insrsid15998733\charrsid11426601 #}{\rtlch\fcs1 \af0 \ltrch\fcs0 _x000d__x000a_\cs21\v\cf15\insrsid15998733\charrsid11426601 ENMIENDA@NRAM@}{\rtlch\fcs1 \af0 \ltrch\fcs0 \insrsid15998733\charrsid11426601 #}{\rtlch\fcs1 \af0 \ltrch\fcs0 \cs15\b0\v\f1\fs20\cf9\insrsid15998733\charrsid11426601 &lt;/}{\rtlch\fcs1 \af0 \ltrch\fcs0 _x000d__x000a_\cs15\b0\v\f1\fs20\cf9\insrsid15998733 NumAm&gt;}{\rtlch\fcs1 \af0 \ltrch\fcs0 \insrsid15998733\charrsid11426601 _x000d__x000a_\par }\pard\plain \ltrpar\s26\ql \li0\ri0\sb240\keepn\nowidctlpar\wrapdefault\aspalpha\aspnum\faauto\adjustright\rin0\lin0\itap0\pararsid15998733 \rtlch\fcs1 \af0\afs20\alang1025 \ltrch\fcs0 \b\fs24\lang2057\langfe2057\cgrid\langnp2057\langfenp2057 {_x000d__x000a_\rtlch\fcs1 \af0 \ltrch\fcs0 \cs15\b0\v\f1\fs20\cf9\insrsid15998733\charrsid11426601 &lt;DocAmend&gt;}{\rtlch\fcs1 \af0 \ltrch\fcs0 \insrsid15998733\charrsid11426601 Draft legislative resolution}{\rtlch\fcs1 \af0 \ltrch\fcs0 _x000d__x000a_\cs15\b0\v\f1\fs20\cf9\insrsid15998733\charrsid11426601 &lt;/DocAmend&gt;}{\rtlch\fcs1 \af0 \ltrch\fcs0 \insrsid15998733\charrsid11426601 _x000d__x000a_\par }\pard\plain \ltrpar\s18\ql \li0\ri0\nowidctlpar\wrapdefault\aspalpha\aspnum\faauto\adjustright\rin0\lin0\itap0\pararsid15998733 \rtlch\fcs1 \af0\afs20\alang1025 \ltrch\fcs0 \b\fs24\lang2057\langfe2057\cgrid\langnp2057\langfenp2057 {\rtlch\fcs1 \af0 _x000d__x000a_\ltrch\fcs0 \cs15\b0\v\f1\fs20\cf9\insrsid15998733\charrsid11426601 &lt;Article&gt;}{\rtlch\fcs1 \af0 \ltrch\fcs0 \cf10\insrsid15998733\charrsid7230439 \u9668\'3f}{\rtlch\fcs1 \af0 \ltrch\fcs0 \insrsid15998733\charrsid11426601 #}{\rtlch\fcs1 \af0 \ltrch\fcs0 _x000d__x000a_\cs21\v\cf15\insrsid15998733\charrsid11426601 TVTRESPART@RESPART@}{\rtlch\fcs1 \af0 \ltrch\fcs0 \insrsid15998733\charrsid11426601 #}{\rtlch\fcs1 \af0 \ltrch\fcs0 \cf10\insrsid15998733\charrsid7230439 \u9658\'3f}{\rtlch\fcs1 \af0 \ltrch\fcs0 _x000d__x000a_\cs15\b0\v\f1\fs20\cf9\insrsid15998733\charrsid11426601 &lt;/Article&gt;}{\rtlch\fcs1 \af0 \ltrch\fcs0 \cs19\b0\insrsid15998733\charrsid11426601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5998733\charrsid11426601 \cell }\pard \ltrpar\ql \li0\ri0\widctlpar\intbl\wrapdefault\aspalpha\aspnum\faauto\adjustright\rin0\lin0 {\rtlch\fcs1 \af0 _x000d__x000a_\ltrch\fcs0 \insrsid15998733\charrsid11426601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5998733\charrsid11426601 Draft legislative resolution\cell Amendment\cell }\pard\plain \ltrpar\ql \li0\ri0\widctlpar\intbl\wrapdefault\aspalpha\aspnum\faauto\adjustright\rin0\lin0 \rtlch\fcs1 \af0\afs20\alang1025 \ltrch\fcs0 _x000d__x000a_\fs24\lang2057\langfe2057\cgrid\langnp2057\langfenp2057 {\rtlch\fcs1 \af0 \ltrch\fcs0 \insrsid15998733\charrsid11426601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98733\charrsid11426601 ##\cell ##}{\rtlch\fcs1 \af0\afs24 \ltrch\fcs0 \insrsid15998733\charrsid11426601 \cell }\pard\plain \ltrpar\ql \li0\ri0\widctlpar\intbl\wrapdefault\aspalpha\aspnum\faauto\adjustright\rin0\lin0 \rtlch\fcs1 _x000d__x000a_\af0\afs20\alang1025 \ltrch\fcs0 \fs24\lang2057\langfe2057\cgrid\langnp2057\langfenp2057 {\rtlch\fcs1 \af0 \ltrch\fcs0 \insrsid15998733\charrsid11426601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998733 \rtlch\fcs1 \af0\afs20\alang1025 \ltrch\fcs0 \fs24\lang1024\langfe1024\cgrid\noproof\langnp2057\langfenp2057 {\rtlch\fcs1 \af0 _x000d__x000a_\ltrch\fcs0 \noproof0\insrsid15998733\charrsid11426601 Or. }{\rtlch\fcs1 \af0 \ltrch\fcs0 \cs15\v\f1\fs20\cf9\noproof0\insrsid15998733\charrsid11426601 &lt;Original&gt;}{\rtlch\fcs1 \af0 \ltrch\fcs0 \noproof0\insrsid15998733\charrsid11426601 #}{\rtlch\fcs1 _x000d__x000a_\af0 \ltrch\fcs0 \cs21\v\cf15\noproof0\insrsid15998733\charrsid11426601 MNU[ORLANGONE][ORLANGMORE]@CHOICE@ORLANGMNU}{\rtlch\fcs1 \af0 \ltrch\fcs0 \noproof0\insrsid15998733\charrsid11426601 #}{\rtlch\fcs1 \af0 \ltrch\fcs0 _x000d__x000a_\cs15\v\f1\fs20\cf9\noproof0\insrsid15998733\charrsid11426601 &lt;/Original&gt;}{\rtlch\fcs1 \af0 \ltrch\fcs0 \noproof0\insrsid15998733\charrsid11426601 _x000d__x000a_\par }\pard\plain \ltrpar\s22\qc \li0\ri0\sb240\sa240\keepn\nowidctlpar\wrapdefault\aspalpha\aspnum\faauto\adjustright\rin0\lin0\itap0\pararsid15998733 \rtlch\fcs1 \af0\afs20\alang1025 \ltrch\fcs0 \i\fs24\lang2057\langfe2057\cgrid\langnp2057\langfenp2057 {_x000d__x000a_\rtlch\fcs1 \af0 \ltrch\fcs0 \cs15\i0\v\f1\fs20\cf9\insrsid15998733\charrsid11426601 &lt;TitreJust&gt;}{\rtlch\fcs1 \af0 \ltrch\fcs0 \insrsid15998733\charrsid11426601 Justification}{\rtlch\fcs1 \af0 \ltrch\fcs0 _x000d__x000a_\cs15\i0\v\f1\fs20\cf9\insrsid15998733\charrsid11426601 &lt;/TitreJust&gt;}{\rtlch\fcs1 \af0 \ltrch\fcs0 \insrsid15998733\charrsid11426601 _x000d__x000a_\par }\pard\plain \ltrpar\s20\ql \li0\ri0\sa240\nowidctlpar\wrapdefault\aspalpha\aspnum\faauto\adjustright\rin0\lin0\itap0\pararsid15998733 \rtlch\fcs1 \af0\afs20\alang1025 \ltrch\fcs0 \i\fs24\lang2057\langfe2057\cgrid\langnp2057\langfenp2057 {\rtlch\fcs1 _x000d__x000a_\af0 \ltrch\fcs0 \cs15\i0\v\f1\fs20\cf9\insrsid15998733\charrsid11426601 &lt;OptDelPrev&gt;}{\rtlch\fcs1 \af0 \ltrch\fcs0 \insrsid15998733\charrsid11426601 #}{\rtlch\fcs1 \af0 \ltrch\fcs0 \cs21\v\cf15\insrsid15998733\charrsid11426601 _x000d__x000a_MNU[TEXTJUSTYES][TEXTJUSTNO]@CHOICE@}{\rtlch\fcs1 \af0 \ltrch\fcs0 \insrsid15998733\charrsid11426601 #}{\rtlch\fcs1 \af0 \ltrch\fcs0 \cs15\i0\v\f1\fs20\cf9\insrsid15998733\charrsid11426601 &lt;/OptDelPrev&gt;}{\rtlch\fcs1 \af0 \ltrch\fcs0 _x000d__x000a_\insrsid15998733\charrsid11426601 _x000d__x000a_\par }\pard\plain \ltrpar\ql \li0\ri0\widctlpar\wrapdefault\aspalpha\aspnum\faauto\adjustright\rin0\lin0\itap0\pararsid15998733 \rtlch\fcs1 \af0\afs20\alang1025 \ltrch\fcs0 \fs24\lang2057\langfe2057\cgrid\langnp2057\langfenp2057 {\rtlch\fcs1 \af0 \ltrch\fcs0 _x000d__x000a_\cs15\v\f1\fs20\cf9\insrsid15998733\charrsid11426601 &lt;/}{\rtlch\fcs1 \af0 \ltrch\fcs0 \cs15\v\f1\fs20\cf9\insrsid15998733 Amend}{\rtlch\fcs1 \af0 \ltrch\fcs0 \cs15\v\f1\fs20\cf9\insrsid15998733\charrsid11426601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2e_x000d__x000a_7406bd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922677 HideTWBExt;}{\s16\ql \li0\ri0\sa120\nowidctlpar\wrapdefault\aspalpha\aspnum\faauto\adjustright\rin0\lin0\itap0 \rtlch\fcs1 \af0\afs20\alang1025 \ltrch\fcs0 _x000d__x000a_\fs24\lang2057\langfe2057\cgrid\langnp2057\langfenp2057 \sbasedon0 \snext16 \slink17 \spriority0 \styrsid4922677 Normal6;}{\*\cs17 \additive \fs24 \slink16 \slocked \spriority0 \styrsid4922677 Normal6 Char;}{_x000d__x000a_\s18\ql \li0\ri0\nowidctlpar\wrapdefault\aspalpha\aspnum\faauto\adjustright\rin0\lin0\itap0 \rtlch\fcs1 \af0\afs20\alang1025 \ltrch\fcs0 \b\fs24\lang2057\langfe2057\cgrid\langnp2057\langfenp2057 \sbasedon0 \snext18 \slink19 \spriority0 \styrsid4922677 _x000d__x000a_NormalBold;}{\*\cs19 \additive \b\fs24 \slink18 \slocked \spriority0 \styrsid4922677 NormalBold Char;}{\s20\ql \li0\ri0\sa240\nowidctlpar\wrapdefault\aspalpha\aspnum\faauto\adjustright\rin0\lin0\itap0 \rtlch\fcs1 \af0\afs20\alang1025 \ltrch\fcs0 _x000d__x000a_\i\fs24\lang2057\langfe2057\cgrid\langnp2057\langfenp2057 \sbasedon0 \snext20 \spriority0 \styrsid4922677 Normal12Italic;}{\s21\qc \li0\ri0\sb240\sa240\keepn\nowidctlpar\wrapdefault\aspalpha\aspnum\faauto\adjustright\rin0\lin0\itap0 \rtlch\fcs1 _x000d__x000a_\af0\afs20\alang1025 \ltrch\fcs0 \i\fs24\lang2057\langfe2057\cgrid\langnp2057\langfenp2057 \sbasedon0 \snext0 \spriority0 \styrsid4922677 JustificationTitle;}{_x000d__x000a_\s22\qc \li0\ri0\sa240\nowidctlpar\wrapdefault\aspalpha\aspnum\faauto\adjustright\rin0\lin0\itap0 \rtlch\fcs1 \af0\afs20\alang1025 \ltrch\fcs0 \i\fs24\lang2057\langfe2057\cgrid\langnp2057\langfenp2057 \sbasedon0 \snext22 \spriority0 \styrsid4922677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4922677 AMNumberTabs;}{_x000d__x000a_\s24\ql \li0\ri0\sb240\nowidctlpar\wrapdefault\aspalpha\aspnum\faauto\adjustright\rin0\lin0\itap0 \rtlch\fcs1 \af0\afs20\alang1025 \ltrch\fcs0 \b\fs24\lang2057\langfe2057\cgrid\langnp2057\langfenp2057 \sbasedon0 \snext24 \spriority0 \styrsid4922677 _x000d__x000a_NormalBold12b;}}{\*\rsidtbl \rsid24658\rsid735077\rsid2892074\rsid4479829\rsid4666813\rsid4922677\rsid6641733\rsid9636012\rsid11215221\rsid12154954\rsid14424199\rsid15204470\rsid15285974\rsid15950462\rsid16324206\rsid16662270}{\mmathPr\mmathFont34_x000d__x000a_\mbrkBin0\mbrkBinSub0\msmallFrac0\mdispDef1\mlMargin0\mrMargin0\mdefJc1\mwrapIndent1440\mintLim0\mnaryLim1}{\info{\author HERBERT Laurence}{\operator HERBERT Laurence}{\creatim\yr2018\mo10\dy9\hr12\min45}{\revtim\yr2018\mo10\dy9\hr12\min45}{\version1}_x000d__x000a_{\edmins0}{\nofpages1}{\nofwords35}{\nofchars205}{\*\company European Parliament}{\nofcharsws23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922677\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4479829 \chftnsep _x000d__x000a_\par }}{\*\ftnsepc \ltrpar \pard\plain \ltrpar\ql \li0\ri0\widctlpar\wrapdefault\aspalpha\aspnum\faauto\adjustright\rin0\lin0\itap0 \rtlch\fcs1 \af0\afs20\alang1025 \ltrch\fcs0 \fs24\lang2057\langfe2057\cgrid\langnp2057\langfenp2057 {\rtlch\fcs1 \af0 _x000d__x000a_\ltrch\fcs0 \insrsid4479829 \chftnsepc _x000d__x000a_\par }}{\*\aftnsep \ltrpar \pard\plain \ltrpar\ql \li0\ri0\widctlpar\wrapdefault\aspalpha\aspnum\faauto\adjustright\rin0\lin0\itap0 \rtlch\fcs1 \af0\afs20\alang1025 \ltrch\fcs0 \fs24\lang2057\langfe2057\cgrid\langnp2057\langfenp2057 {\rtlch\fcs1 \af0 _x000d__x000a_\ltrch\fcs0 \insrsid4479829 \chftnsep _x000d__x000a_\par }}{\*\aftnsepc \ltrpar \pard\plain \ltrpar\ql \li0\ri0\widctlpar\wrapdefault\aspalpha\aspnum\faauto\adjustright\rin0\lin0\itap0 \rtlch\fcs1 \af0\afs20\alang1025 \ltrch\fcs0 \fs24\lang2057\langfe2057\cgrid\langnp2057\langfenp2057 {\rtlch\fcs1 \af0 _x000d__x000a_\ltrch\fcs0 \insrsid44798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4922677 \rtlch\fcs1 \af0\afs20\alang1025 \ltrch\fcs0 \b\fs24\lang2057\langfe2057\cgrid\langnp2057\langfenp2057 {\rtlch\fcs1 \af0 \ltrch\fcs0 \cs15\b0\v\f1\fs20\cf9\insrsid4922677\charrsid15879488 {\*\bkmkstart restartA}&lt;AmendA&gt;}{_x000d__x000a_\rtlch\fcs1 \af0 \ltrch\fcs0 \insrsid4922677\charrsid15879488 [ZAMENDMENT]\tab \tab }{\rtlch\fcs1 \af0 \ltrch\fcs0 \cs15\b0\v\f1\fs20\cf9\insrsid4922677\charrsid15879488 &lt;NumAmA&gt;}{\rtlch\fcs1 \af0 \ltrch\fcs0 \insrsid4922677\charrsid15879488 [ZNRAM]}{_x000d__x000a_\rtlch\fcs1 \af0 \ltrch\fcs0 \cs15\b0\v\f1\fs20\cf9\insrsid4922677\charrsid15879488 &lt;/NumAmA&gt;}{\rtlch\fcs1 \af0 \ltrch\fcs0 \insrsid4922677\charrsid15879488 _x000d__x000a_\par }\pard\plain \ltrpar\s24\ql \li0\ri0\sb240\keepn\nowidctlpar\wrapdefault\aspalpha\aspnum\faauto\adjustright\rin0\lin0\itap0\pararsid4922677 \rtlch\fcs1 \af0\afs20\alang1025 \ltrch\fcs0 \b\fs24\lang2057\langfe2057\cgrid\langnp2057\langfenp2057 {_x000d__x000a_\rtlch\fcs1 \af0 \ltrch\fcs0 \cs15\b0\v\f1\fs20\cf9\insrsid4922677\charrsid15879488 &lt;DocAmend&gt;}{\rtlch\fcs1 \af0 \ltrch\fcs0 \insrsid4922677\charrsid15879488 [ZRESOLUTION]}{\rtlch\fcs1 \af0 \ltrch\fcs0 _x000d__x000a_\cs15\b0\v\f1\fs20\cf9\insrsid4922677\charrsid15879488 &lt;/DocAmend&gt;}{\rtlch\fcs1 \af0 \ltrch\fcs0 \insrsid4922677\charrsid15879488 _x000d__x000a_\par }\pard\plain \ltrpar\s18\ql \li0\ri0\nowidctlpar\wrapdefault\aspalpha\aspnum\faauto\adjustright\rin0\lin0\itap0\pararsid4922677 \rtlch\fcs1 \af0\afs20\alang1025 \ltrch\fcs0 \b\fs24\lang2057\langfe2057\cgrid\langnp2057\langfenp2057 {\rtlch\fcs1 \af0 _x000d__x000a_\ltrch\fcs0 \cs15\b0\v\f1\fs20\cf9\insrsid4922677\charrsid15879488 &lt;Article&gt;}{\rtlch\fcs1 \af0 \ltrch\fcs0 \insrsid4922677\charrsid15879488 [ZRESPART]}{\rtlch\fcs1 \af0 \ltrch\fcs0 \cs15\b0\v\f1\fs20\cf9\insrsid4922677\charrsid15879488 &lt;/Article&gt;}{_x000d__x000a_\rtlch\fcs1 \af0 \ltrch\fcs0 \cs19\b0\insrsid4922677\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922677\charrsid15879488 \cell }\pard \ltrpar\ql \li0\ri0\widctlpar\intbl\wrapdefault\aspalpha\aspnum\faauto\adjustright\rin0\lin0 {\rtlch\fcs1 \af0 \ltrch\fcs0 _x000d__x000a_\insrsid4922677\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4922677\charrsid15879488 [ZLEFTA]\cell [ZRIGHT]\cell }\pard\plain \ltrpar\ql \li0\ri0\widctlpar\intbl\wrapdefault\aspalpha\aspnum\faauto\adjustright\rin0\lin0 \rtlch\fcs1 \af0\afs20\alang1025 \ltrch\fcs0 _x000d__x000a_\fs24\lang2057\langfe2057\cgrid\langnp2057\langfenp2057 {\rtlch\fcs1 \af0 \ltrch\fcs0 \insrsid4922677\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922677\charrsid15879488 [ZTEXTL]\cell [ZTEXTR]}{\rtlch\fcs1 \af0\afs24 \ltrch\fcs0 \insrsid4922677\charrsid15879488 \cell }\pard\plain \ltrpar\ql \li0\ri0\widctlpar\intbl\wrapdefault\aspalpha\aspnum\faauto\adjustright\rin0\lin0 \rtlch\fcs1 _x000d__x000a_\af0\afs20\alang1025 \ltrch\fcs0 \fs24\lang2057\langfe2057\cgrid\langnp2057\langfenp2057 {\rtlch\fcs1 \af0 \ltrch\fcs0 \insrsid4922677\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4922677 \rtlch\fcs1 \af0\afs20\alang1025 \ltrch\fcs0 \i\fs24\lang2057\langfe2057\cgrid\langnp2057\langfenp2057 {\rtlch\fcs1 \af0 _x000d__x000a_\ltrch\fcs0 \cs15\i0\v\f1\fs20\cf9\insrsid4922677\charrsid15879488 &lt;TitreJust&gt;}{\rtlch\fcs1 \af0 \ltrch\fcs0 \insrsid4922677\charrsid15879488 [ZJUSTIFICATION]}{\rtlch\fcs1 \af0 \ltrch\fcs0 \cs15\i0\v\f1\fs20\cf9\insrsid4922677\charrsid15879488 _x000d__x000a_&lt;/TitreJust&gt;}{\rtlch\fcs1 \af0 \ltrch\fcs0 \insrsid4922677\charrsid15879488 _x000d__x000a_\par }\pard\plain \ltrpar\s20\ql \li0\ri0\sa240\nowidctlpar\wrapdefault\aspalpha\aspnum\faauto\adjustright\rin0\lin0\itap0\pararsid4922677 \rtlch\fcs1 \af0\afs20\alang1025 \ltrch\fcs0 \i\fs24\lang2057\langfe2057\cgrid\langnp2057\langfenp2057 {\rtlch\fcs1 \af0 _x000d__x000a_\ltrch\fcs0 \cs15\i0\v\f1\fs20\cf9\insrsid4922677\charrsid15879488 &lt;OptDelPrev&gt;}{\rtlch\fcs1 \af0 \ltrch\fcs0 \insrsid4922677\charrsid15879488 [ZTEXTJUST]}{\rtlch\fcs1 \af0 \ltrch\fcs0 \cs15\i0\v\f1\fs20\cf9\insrsid4922677\charrsid15879488 &lt;/OptDelPrev&gt;}{_x000d__x000a_\rtlch\fcs1 \af0 \ltrch\fcs0 \insrsid4922677\charrsid15879488 _x000d__x000a_\par }\pard\plain \ltrpar\ql \li0\ri0\widctlpar\wrapdefault\aspalpha\aspnum\faauto\adjustright\rin0\lin0\itap0\pararsid4922677 \rtlch\fcs1 \af0\afs20\alang1025 \ltrch\fcs0 \fs24\lang2057\langfe2057\cgrid\langnp2057\langfenp2057 {\rtlch\fcs1 \af0 \ltrch\fcs0 _x000d__x000a_\cs15\v\f1\fs20\cf9\insrsid4922677\charrsid15879488 &lt;/AmendA&gt;}{\rtlch\fcs1 \af0 \ltrch\fcs0 \insrsid492267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8_x000d__x000a_0033bd5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714 HideTWBExt;}{\s16\ql \li0\ri0\sa120\nowidctlpar\wrapdefault\aspalpha\aspnum\faauto\adjustright\rin0\lin0\itap0 \rtlch\fcs1 \af0\afs20\alang1025 \ltrch\fcs0 _x000d__x000a_\fs24\lang2057\langfe2057\cgrid\langnp2057\langfenp2057 \sbasedon0 \snext16 \slink17 \spriority0 \styrsid721714 Normal6;}{\*\cs17 \additive \fs24 \slink16 \slocked \spriority0 \styrsid721714 Normal6 Char;}{_x000d__x000a_\s18\ql \li0\ri0\nowidctlpar\wrapdefault\aspalpha\aspnum\faauto\adjustright\rin0\lin0\itap0 \rtlch\fcs1 \af0\afs20\alang1025 \ltrch\fcs0 \b\fs24\lang2057\langfe2057\cgrid\langnp2057\langfenp2057 \sbasedon0 \snext18 \slink19 \spriority0 \styrsid721714 _x000d__x000a_NormalBold;}{\*\cs19 \additive \b\fs24 \slink18 \slocked \spriority0 \styrsid721714 NormalBold Char;}{\s20\ql \li0\ri0\sa240\nowidctlpar\wrapdefault\aspalpha\aspnum\faauto\adjustright\rin0\lin0\itap0 \rtlch\fcs1 \af0\afs20\alang1025 \ltrch\fcs0 _x000d__x000a_\i\fs24\lang2057\langfe2057\cgrid\langnp2057\langfenp2057 \sbasedon0 \snext20 \spriority0 \styrsid721714 Normal12Italic;}{\s21\qc \li0\ri0\sb240\nowidctlpar\wrapdefault\aspalpha\aspnum\faauto\adjustright\rin0\lin0\itap0 \rtlch\fcs1 \af0\afs20\alang1025 _x000d__x000a_\ltrch\fcs0 \i\fs24\lang2057\langfe2057\cgrid\langnp2057\langfenp2057 \sbasedon0 \snext21 \spriority0 \styrsid721714 CrossRef;}{\s22\qc \li0\ri0\sb240\sa240\keepn\nowidctlpar\wrapdefault\aspalpha\aspnum\faauto\adjustright\rin0\lin0\itap0 \rtlch\fcs1 _x000d__x000a_\af0\afs20\alang1025 \ltrch\fcs0 \i\fs24\lang2057\langfe2057\cgrid\langnp2057\langfenp2057 \sbasedon0 \snext0 \spriority0 \styrsid721714 JustificationTitle;}{_x000d__x000a_\s23\qc \li0\ri0\sa240\nowidctlpar\wrapdefault\aspalpha\aspnum\faauto\adjustright\rin0\lin0\itap0 \rtlch\fcs1 \af0\afs20\alang1025 \ltrch\fcs0 \i\fs24\lang2057\langfe2057\cgrid\langnp2057\langfenp2057 \sbasedon0 \snext23 \spriority0 \styrsid72171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721714 AMNumberTabs;}{_x000d__x000a_\s25\ql \li0\ri0\sb240\nowidctlpar\wrapdefault\aspalpha\aspnum\faauto\adjustright\rin0\lin0\itap0 \rtlch\fcs1 \af0\afs20\alang1025 \ltrch\fcs0 \b\fs24\lang2057\langfe2057\cgrid\langnp2057\langfenp2057 \sbasedon0 \snext25 \spriority0 \styrsid721714 _x000d__x000a_NormalBold12b;}}{\*\rsidtbl \rsid24658\rsid721714\rsid735077\rsid1639743\rsid2892074\rsid4666813\rsid6641733\rsid9636012\rsid11215221\rsid12154954\rsid14424199\rsid15204470\rsid15285974\rsid15950462\rsid16324206\rsid16662270}{\mmathPr\mmathFont34\mbrkBin0_x000d__x000a_\mbrkBinSub0\msmallFrac0\mdispDef1\mlMargin0\mrMargin0\mdefJc1\mwrapIndent1440\mintLim0\mnaryLim1}{\info{\author HERBERT Laurence}{\operator HERBERT Laurence}{\creatim\yr2018\mo10\dy9\hr12\min45}{\revtim\yr2018\mo10\dy9\hr12\min45}{\version1}{\edmins0}_x000d__x000a_{\nofpages1}{\nofwords54}{\nofchars318}{\*\company European Parliament}{\nofcharsws36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714\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639743 \chftnsep _x000d__x000a_\par }}{\*\ftnsepc \ltrpar \pard\plain \ltrpar\ql \li0\ri0\widctlpar\wrapdefault\aspalpha\aspnum\faauto\adjustright\rin0\lin0\itap0 \rtlch\fcs1 \af0\afs20\alang1025 \ltrch\fcs0 \fs24\lang2057\langfe2057\cgrid\langnp2057\langfenp2057 {\rtlch\fcs1 \af0 _x000d__x000a_\ltrch\fcs0 \insrsid1639743 \chftnsepc _x000d__x000a_\par }}{\*\aftnsep \ltrpar \pard\plain \ltrpar\ql \li0\ri0\widctlpar\wrapdefault\aspalpha\aspnum\faauto\adjustright\rin0\lin0\itap0 \rtlch\fcs1 \af0\afs20\alang1025 \ltrch\fcs0 \fs24\lang2057\langfe2057\cgrid\langnp2057\langfenp2057 {\rtlch\fcs1 \af0 _x000d__x000a_\ltrch\fcs0 \insrsid1639743 \chftnsep _x000d__x000a_\par }}{\*\aftnsepc \ltrpar \pard\plain \ltrpar\ql \li0\ri0\widctlpar\wrapdefault\aspalpha\aspnum\faauto\adjustright\rin0\lin0\itap0 \rtlch\fcs1 \af0\afs20\alang1025 \ltrch\fcs0 \fs24\lang2057\langfe2057\cgrid\langnp2057\langfenp2057 {\rtlch\fcs1 \af0 _x000d__x000a_\ltrch\fcs0 \insrsid16397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21714 \rtlch\fcs1 \af0\afs20\alang1025 \ltrch\fcs0 \b\fs24\lang2057\langfe2057\cgrid\langnp2057\langfenp2057 {\rtlch\fcs1 \af0 \ltrch\fcs0 \cs15\b0\v\f1\fs20\cf9\insrsid721714\charrsid15879488 {\*\bkmkstart restartB}&lt;AmendB&gt;}{_x000d__x000a_\rtlch\fcs1 \af0 \ltrch\fcs0 \insrsid721714\charrsid15879488 [ZAMENDMENT]\tab \tab }{\rtlch\fcs1 \af0 \ltrch\fcs0 \cs15\b0\v\f1\fs20\cf9\insrsid721714\charrsid15879488 &lt;NumAmB&gt;}{\rtlch\fcs1 \af0 \ltrch\fcs0 \insrsid721714\charrsid15879488 [ZNRAM]}{_x000d__x000a_\rtlch\fcs1 \af0 \ltrch\fcs0 \cs15\b0\v\f1\fs20\cf9\insrsid721714\charrsid15879488 &lt;/NumAmB&gt;}{\rtlch\fcs1 \af0 \ltrch\fcs0 \insrsid721714\charrsid15879488 _x000d__x000a_\par }\pard\plain \ltrpar\s25\ql \li0\ri0\sb240\keepn\nowidctlpar\wrapdefault\aspalpha\aspnum\faauto\adjustright\rin0\lin0\itap0\pararsid721714 \rtlch\fcs1 \af0\afs20\alang1025 \ltrch\fcs0 \b\fs24\lang2057\langfe2057\cgrid\langnp2057\langfenp2057 {\rtlch\fcs1 _x000d__x000a_\af0 \ltrch\fcs0 \cs15\b0\v\f1\fs20\cf9\insrsid721714\charrsid15879488 &lt;DocAmend&gt;}{\rtlch\fcs1 \af0 \ltrch\fcs0 \insrsid721714\charrsid15879488 [ZPROPOSAL][ZAMACT]}{\rtlch\fcs1 \af0 \ltrch\fcs0 \cs15\b0\v\f1\fs20\cf9\insrsid721714\charrsid15879488 _x000d__x000a_&lt;/DocAmend&gt;}{\rtlch\fcs1 \af0 \ltrch\fcs0 \insrsid721714\charrsid15879488 _x000d__x000a_\par }\pard\plain \ltrpar\s18\ql \li0\ri0\keepn\nowidctlpar\wrapdefault\aspalpha\aspnum\faauto\adjustright\rin0\lin0\itap0\pararsid721714 \rtlch\fcs1 \af0\afs20\alang1025 \ltrch\fcs0 \b\fs24\lang2057\langfe2057\cgrid\langnp2057\langfenp2057 {\rtlch\fcs1 \af0 _x000d__x000a_\ltrch\fcs0 \cs15\b0\v\f1\fs20\cf9\insrsid721714\charrsid15879488 &lt;Article&gt;}{\rtlch\fcs1 \af0 \ltrch\fcs0 \insrsid721714\charrsid15879488 [ZAMPART]}{\rtlch\fcs1 \af0 \ltrch\fcs0 \cs15\b0\v\f1\fs20\cf9\insrsid721714\charrsid15879488 &lt;/Article&gt;}{_x000d__x000a_\rtlch\fcs1 \af0 \ltrch\fcs0 \insrsid721714\charrsid15879488 _x000d__x000a_\par }\pard\plain \ltrpar\ql \li0\ri0\keepn\widctlpar\wrapdefault\aspalpha\aspnum\faauto\adjustright\rin0\lin0\itap0\pararsid721714 \rtlch\fcs1 \af0\afs20\alang1025 \ltrch\fcs0 \fs24\lang2057\langfe2057\cgrid\langnp2057\langfenp2057 {\rtlch\fcs1 \af0 _x000d__x000a_\ltrch\fcs0 \cs15\v\f1\fs20\cf9\insrsid721714\charrsid15879488 &lt;DocAmend2&gt;&lt;OptDel&gt;}{\rtlch\fcs1 \af0 \ltrch\fcs0 \insrsid721714\charrsid15879488 [ZNRACT]}{\rtlch\fcs1 \af0 \ltrch\fcs0 \cs15\v\f1\fs20\cf9\insrsid721714\charrsid15879488 _x000d__x000a_&lt;/OptDel&gt;&lt;/DocAmend2&gt;}{\rtlch\fcs1 \af0 \ltrch\fcs0 \insrsid721714\charrsid15879488 _x000d__x000a_\par }\pard \ltrpar\ql \li0\ri0\widctlpar\wrapdefault\aspalpha\aspnum\faauto\adjustright\rin0\lin0\itap0\pararsid721714 {\rtlch\fcs1 \af0 \ltrch\fcs0 \cs15\v\f1\fs20\cf9\insrsid721714\charrsid15879488 &lt;Article2&gt;&lt;OptDel&gt;}{\rtlch\fcs1 \af0 \ltrch\fcs0 _x000d__x000a_\insrsid721714\charrsid15879488 [ZACTPART]}{\rtlch\fcs1 \af0 \ltrch\fcs0 \cs15\v\f1\fs20\cf9\insrsid721714\charrsid15879488 &lt;/OptDel&gt;&lt;/Article2&gt;}{\rtlch\fcs1 \af0 \ltrch\fcs0 \insrsid721714\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721714\charrsid15879488 \cell }\pard \ltrpar\ql \li0\ri0\widctlpar\intbl\wrapdefault\aspalpha\aspnum\faauto\adjustright\rin0\lin0 {\rtlch\fcs1 \af0 \ltrch\fcs0 \insrsid721714\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721714\charrsid15879488 [ZLEFTB]\cell [ZRIGHT]\cell }\pard\plain \ltrpar\ql \li0\ri0\widctlpar\intbl\wrapdefault\aspalpha\aspnum\faauto\adjustright\rin0\lin0 \rtlch\fcs1 \af0\afs20\alang1025 \ltrch\fcs0 _x000d__x000a_\fs24\lang2057\langfe2057\cgrid\langnp2057\langfenp2057 {\rtlch\fcs1 \af0 \ltrch\fcs0 \insrsid721714\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21714\charrsid15879488 [ZTEXTL]\cell [ZTEXTR]}{\rtlch\fcs1 \af0\afs24 \ltrch\fcs0 \insrsid721714\charrsid15879488 \cell }\pard\plain \ltrpar\ql \li0\ri0\widctlpar\intbl\wrapdefault\aspalpha\aspnum\faauto\adjustright\rin0\lin0 \rtlch\fcs1 _x000d__x000a_\af0\afs20\alang1025 \ltrch\fcs0 \fs24\lang2057\langfe2057\cgrid\langnp2057\langfenp2057 {\rtlch\fcs1 \af0 \ltrch\fcs0 \insrsid721714\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21714 \rtlch\fcs1 \af0\afs20\alang1025 \ltrch\fcs0 \i\fs24\lang2057\langfe2057\cgrid\langnp2057\langfenp2057 {\rtlch\fcs1 \af0 \ltrch\fcs0 _x000d__x000a_\cs15\i0\v\f1\fs20\cf9\insrsid721714\charrsid15879488 &lt;OptDel&gt;}{\rtlch\fcs1 \af0 \ltrch\fcs0 \insrsid721714\charrsid15879488 [ZCROSSREF]}{\rtlch\fcs1 \af0 \ltrch\fcs0 \cs15\i0\v\f1\fs20\cf9\insrsid721714\charrsid15879488 &lt;/OptDel&gt;}{\rtlch\fcs1 \af0 _x000d__x000a_\ltrch\fcs0 \insrsid721714\charrsid15879488 _x000d__x000a_\par }\pard\plain \ltrpar\s22\qc \li0\ri0\sb240\sa240\keepn\nowidctlpar\wrapdefault\aspalpha\aspnum\faauto\adjustright\rin0\lin0\itap0\pararsid721714 \rtlch\fcs1 \af0\afs20\alang1025 \ltrch\fcs0 \i\fs24\lang2057\langfe2057\cgrid\langnp2057\langfenp2057 {_x000d__x000a_\rtlch\fcs1 \af0 \ltrch\fcs0 \cs15\i0\v\f1\fs20\cf9\insrsid721714\charrsid15879488 &lt;TitreJust&gt;}{\rtlch\fcs1 \af0 \ltrch\fcs0 \insrsid721714\charrsid15879488 [ZJUSTIFICATION]}{\rtlch\fcs1 \af0 \ltrch\fcs0 _x000d__x000a_\cs15\i0\v\f1\fs20\cf9\insrsid721714\charrsid15879488 &lt;/TitreJust&gt;}{\rtlch\fcs1 \af0 \ltrch\fcs0 \insrsid721714\charrsid15879488 _x000d__x000a_\par }\pard\plain \ltrpar\s20\ql \li0\ri0\sa240\nowidctlpar\wrapdefault\aspalpha\aspnum\faauto\adjustright\rin0\lin0\itap0\pararsid721714 \rtlch\fcs1 \af0\afs20\alang1025 \ltrch\fcs0 \i\fs24\lang2057\langfe2057\cgrid\langnp2057\langfenp2057 {\rtlch\fcs1 \af0 _x000d__x000a_\ltrch\fcs0 \cs15\i0\v\f1\fs20\cf9\insrsid721714\charrsid15879488 &lt;OptDelPrev&gt;}{\rtlch\fcs1 \af0 \ltrch\fcs0 \insrsid721714\charrsid15879488 [ZTEXTJUST]}{\rtlch\fcs1 \af0 \ltrch\fcs0 \cs15\i0\v\f1\fs20\cf9\insrsid721714\charrsid15879488 &lt;/OptDelPrev&gt;}{_x000d__x000a_\rtlch\fcs1 \af0 \ltrch\fcs0 \insrsid721714\charrsid15879488 _x000d__x000a_\par }\pard\plain \ltrpar\ql \li0\ri0\widctlpar\wrapdefault\aspalpha\aspnum\faauto\adjustright\rin0\lin0\itap0\pararsid721714 \rtlch\fcs1 \af0\afs20\alang1025 \ltrch\fcs0 \fs24\lang2057\langfe2057\cgrid\langnp2057\langfenp2057 {\rtlch\fcs1 \af0 \ltrch\fcs0 _x000d__x000a_\cs15\v\f1\fs20\cf9\insrsid721714\charrsid15879488 &lt;/AmendB&gt;}{\rtlch\fcs1 \af0 \ltrch\fcs0 \insrsid721714\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1_x000d__x000a_6134bd5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89618 HideTWBExt;}{\s16\ql \li0\ri0\sa120\nowidctlpar\wrapdefault\aspalpha\aspnum\faauto\adjustright\rin0\lin0\itap0 \rtlch\fcs1 \af0\afs20\alang1025 \ltrch\fcs0 _x000d__x000a_\fs24\lang2057\langfe2057\cgrid\langnp2057\langfenp2057 \sbasedon0 \snext16 \slink17 \spriority0 \styrsid1989618 Normal6;}{\*\cs17 \additive \fs24 \slink16 \slocked \spriority0 \styrsid1989618 Normal6 Char;}{_x000d__x000a_\s18\ql \li0\ri0\nowidctlpar\wrapdefault\aspalpha\aspnum\faauto\adjustright\rin0\lin0\itap0 \rtlch\fcs1 \af0\afs20\alang1025 \ltrch\fcs0 \b\fs24\lang2057\langfe2057\cgrid\langnp2057\langfenp2057 \sbasedon0 \snext18 \slink19 \spriority0 \styrsid1989618 _x000d__x000a_NormalBold;}{\*\cs19 \additive \b\fs24 \slink18 \slocked \spriority0 \styrsid1989618 NormalBold Char;}{\s20\ql \li0\ri0\sa240\nowidctlpar\wrapdefault\aspalpha\aspnum\faauto\adjustright\rin0\lin0\itap0 \rtlch\fcs1 \af0\afs20\alang1025 \ltrch\fcs0 _x000d__x000a_\i\fs24\lang2057\langfe2057\cgrid\langnp2057\langfenp2057 \sbasedon0 \snext20 \spriority0 \styrsid1989618 Normal12Italic;}{\s21\qc \li0\ri0\sb240\sa240\keepn\nowidctlpar\wrapdefault\aspalpha\aspnum\faauto\adjustright\rin0\lin0\itap0 \rtlch\fcs1 _x000d__x000a_\af0\afs20\alang1025 \ltrch\fcs0 \i\fs24\lang2057\langfe2057\cgrid\langnp2057\langfenp2057 \sbasedon0 \snext0 \spriority0 \styrsid1989618 JustificationTitle;}{_x000d__x000a_\s22\qc \li0\ri0\sa240\nowidctlpar\wrapdefault\aspalpha\aspnum\faauto\adjustright\rin0\lin0\itap0 \rtlch\fcs1 \af0\afs20\alang1025 \ltrch\fcs0 \i\fs24\lang2057\langfe2057\cgrid\langnp2057\langfenp2057 \sbasedon0 \snext22 \spriority0 \styrsid1989618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989618 AMNumberTabs;}{_x000d__x000a_\s24\ql \li0\ri0\sb240\nowidctlpar\wrapdefault\aspalpha\aspnum\faauto\adjustright\rin0\lin0\itap0 \rtlch\fcs1 \af0\afs20\alang1025 \ltrch\fcs0 \b\fs24\lang2057\langfe2057\cgrid\langnp2057\langfenp2057 \sbasedon0 \snext24 \spriority0 \styrsid1989618 _x000d__x000a_NormalBold12b;}}{\*\rsidtbl \rsid24658\rsid735077\rsid1989618\rsid2892074\rsid4666813\rsid6641733\rsid9636012\rsid11215221\rsid12154954\rsid14424199\rsid14641348\rsid15204470\rsid15285974\rsid15950462\rsid16324206\rsid16662270}{\mmathPr\mmathFont34_x000d__x000a_\mbrkBin0\mbrkBinSub0\msmallFrac0\mdispDef1\mlMargin0\mrMargin0\mdefJc1\mwrapIndent1440\mintLim0\mnaryLim1}{\info{\author HERBERT Laurence}{\operator HERBERT Laurence}{\creatim\yr2018\mo10\dy9\hr12\min45}{\revtim\yr2018\mo10\dy9\hr12\min45}{\version1}_x000d__x000a_{\edmins0}{\nofpages1}{\nofwords35}{\nofchars205}{\*\company European Parliament}{\nofcharsws23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89618\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14641348 \chftnsep _x000d__x000a_\par }}{\*\ftnsepc \ltrpar \pard\plain \ltrpar\ql \li0\ri0\widctlpar\wrapdefault\aspalpha\aspnum\faauto\adjustright\rin0\lin0\itap0 \rtlch\fcs1 \af0\afs20\alang1025 \ltrch\fcs0 \fs24\lang2057\langfe2057\cgrid\langnp2057\langfenp2057 {\rtlch\fcs1 \af0 _x000d__x000a_\ltrch\fcs0 \insrsid14641348 \chftnsepc _x000d__x000a_\par }}{\*\aftnsep \ltrpar \pard\plain \ltrpar\ql \li0\ri0\widctlpar\wrapdefault\aspalpha\aspnum\faauto\adjustright\rin0\lin0\itap0 \rtlch\fcs1 \af0\afs20\alang1025 \ltrch\fcs0 \fs24\lang2057\langfe2057\cgrid\langnp2057\langfenp2057 {\rtlch\fcs1 \af0 _x000d__x000a_\ltrch\fcs0 \insrsid14641348 \chftnsep _x000d__x000a_\par }}{\*\aftnsepc \ltrpar \pard\plain \ltrpar\ql \li0\ri0\widctlpar\wrapdefault\aspalpha\aspnum\faauto\adjustright\rin0\lin0\itap0 \rtlch\fcs1 \af0\afs20\alang1025 \ltrch\fcs0 \fs24\lang2057\langfe2057\cgrid\langnp2057\langfenp2057 {\rtlch\fcs1 \af0 _x000d__x000a_\ltrch\fcs0 \insrsid146413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989618 \rtlch\fcs1 \af0\afs20\alang1025 \ltrch\fcs0 \b\fs24\lang2057\langfe2057\cgrid\langnp2057\langfenp2057 {\rtlch\fcs1 \af0 \ltrch\fcs0 \cs15\b0\v\f1\fs20\cf9\insrsid1989618\charrsid15879488 {\*\bkmkstart restartA}&lt;AmendA&gt;}{_x000d__x000a_\rtlch\fcs1 \af0 \ltrch\fcs0 \insrsid1989618\charrsid15879488 [ZAMENDMENT]\tab \tab }{\rtlch\fcs1 \af0 \ltrch\fcs0 \cs15\b0\v\f1\fs20\cf9\insrsid1989618\charrsid15879488 &lt;NumAmA&gt;}{\rtlch\fcs1 \af0 \ltrch\fcs0 \insrsid1989618\charrsid15879488 [ZNRAM]}{_x000d__x000a_\rtlch\fcs1 \af0 \ltrch\fcs0 \cs15\b0\v\f1\fs20\cf9\insrsid1989618\charrsid15879488 &lt;/NumAmA&gt;}{\rtlch\fcs1 \af0 \ltrch\fcs0 \insrsid1989618\charrsid15879488 _x000d__x000a_\par }\pard\plain \ltrpar\s24\ql \li0\ri0\sb240\keepn\nowidctlpar\wrapdefault\aspalpha\aspnum\faauto\adjustright\rin0\lin0\itap0\pararsid1989618 \rtlch\fcs1 \af0\afs20\alang1025 \ltrch\fcs0 \b\fs24\lang2057\langfe2057\cgrid\langnp2057\langfenp2057 {_x000d__x000a_\rtlch\fcs1 \af0 \ltrch\fcs0 \cs15\b0\v\f1\fs20\cf9\insrsid1989618\charrsid15879488 &lt;DocAmend&gt;}{\rtlch\fcs1 \af0 \ltrch\fcs0 \insrsid1989618\charrsid15879488 [ZRESOLUTION]}{\rtlch\fcs1 \af0 \ltrch\fcs0 _x000d__x000a_\cs15\b0\v\f1\fs20\cf9\insrsid1989618\charrsid15879488 &lt;/DocAmend&gt;}{\rtlch\fcs1 \af0 \ltrch\fcs0 \insrsid1989618\charrsid15879488 _x000d__x000a_\par }\pard\plain \ltrpar\s18\ql \li0\ri0\nowidctlpar\wrapdefault\aspalpha\aspnum\faauto\adjustright\rin0\lin0\itap0\pararsid1989618 \rtlch\fcs1 \af0\afs20\alang1025 \ltrch\fcs0 \b\fs24\lang2057\langfe2057\cgrid\langnp2057\langfenp2057 {\rtlch\fcs1 \af0 _x000d__x000a_\ltrch\fcs0 \cs15\b0\v\f1\fs20\cf9\insrsid1989618\charrsid15879488 &lt;Article&gt;}{\rtlch\fcs1 \af0 \ltrch\fcs0 \insrsid1989618\charrsid15879488 [ZRESPART]}{\rtlch\fcs1 \af0 \ltrch\fcs0 \cs15\b0\v\f1\fs20\cf9\insrsid1989618\charrsid15879488 &lt;/Article&gt;}{_x000d__x000a_\rtlch\fcs1 \af0 \ltrch\fcs0 \cs19\b0\insrsid1989618\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989618\charrsid15879488 \cell }\pard \ltrpar\ql \li0\ri0\widctlpar\intbl\wrapdefault\aspalpha\aspnum\faauto\adjustright\rin0\lin0 {\rtlch\fcs1 \af0 \ltrch\fcs0 _x000d__x000a_\insrsid1989618\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989618\charrsid15879488 [ZLEFTA]\cell [ZRIGHT]\cell }\pard\plain \ltrpar\ql \li0\ri0\widctlpar\intbl\wrapdefault\aspalpha\aspnum\faauto\adjustright\rin0\lin0 \rtlch\fcs1 \af0\afs20\alang1025 \ltrch\fcs0 _x000d__x000a_\fs24\lang2057\langfe2057\cgrid\langnp2057\langfenp2057 {\rtlch\fcs1 \af0 \ltrch\fcs0 \insrsid1989618\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989618\charrsid15879488 [ZTEXTL]\cell [ZTEXTR]}{\rtlch\fcs1 \af0\afs24 \ltrch\fcs0 \insrsid1989618\charrsid15879488 \cell }\pard\plain \ltrpar\ql \li0\ri0\widctlpar\intbl\wrapdefault\aspalpha\aspnum\faauto\adjustright\rin0\lin0 \rtlch\fcs1 _x000d__x000a_\af0\afs20\alang1025 \ltrch\fcs0 \fs24\lang2057\langfe2057\cgrid\langnp2057\langfenp2057 {\rtlch\fcs1 \af0 \ltrch\fcs0 \insrsid1989618\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989618 \rtlch\fcs1 \af0\afs20\alang1025 \ltrch\fcs0 \i\fs24\lang2057\langfe2057\cgrid\langnp2057\langfenp2057 {\rtlch\fcs1 \af0 _x000d__x000a_\ltrch\fcs0 \cs15\i0\v\f1\fs20\cf9\insrsid1989618\charrsid15879488 &lt;TitreJust&gt;}{\rtlch\fcs1 \af0 \ltrch\fcs0 \insrsid1989618\charrsid15879488 [ZJUSTIFICATION]}{\rtlch\fcs1 \af0 \ltrch\fcs0 \cs15\i0\v\f1\fs20\cf9\insrsid1989618\charrsid15879488 _x000d__x000a_&lt;/TitreJust&gt;}{\rtlch\fcs1 \af0 \ltrch\fcs0 \insrsid1989618\charrsid15879488 _x000d__x000a_\par }\pard\plain \ltrpar\s20\ql \li0\ri0\sa240\nowidctlpar\wrapdefault\aspalpha\aspnum\faauto\adjustright\rin0\lin0\itap0\pararsid1989618 \rtlch\fcs1 \af0\afs20\alang1025 \ltrch\fcs0 \i\fs24\lang2057\langfe2057\cgrid\langnp2057\langfenp2057 {\rtlch\fcs1 \af0 _x000d__x000a_\ltrch\fcs0 \cs15\i0\v\f1\fs20\cf9\insrsid1989618\charrsid15879488 &lt;OptDelPrev&gt;}{\rtlch\fcs1 \af0 \ltrch\fcs0 \insrsid1989618\charrsid15879488 [ZTEXTJUST]}{\rtlch\fcs1 \af0 \ltrch\fcs0 \cs15\i0\v\f1\fs20\cf9\insrsid1989618\charrsid15879488 &lt;/OptDelPrev&gt;}{_x000d__x000a_\rtlch\fcs1 \af0 \ltrch\fcs0 \insrsid1989618\charrsid15879488 _x000d__x000a_\par }\pard\plain \ltrpar\ql \li0\ri0\widctlpar\wrapdefault\aspalpha\aspnum\faauto\adjustright\rin0\lin0\itap0\pararsid1989618 \rtlch\fcs1 \af0\afs20\alang1025 \ltrch\fcs0 \fs24\lang2057\langfe2057\cgrid\langnp2057\langfenp2057 {\rtlch\fcs1 \af0 \ltrch\fcs0 _x000d__x000a_\cs15\v\f1\fs20\cf9\insrsid1989618\charrsid15879488 &lt;/AmendA&gt;}{\rtlch\fcs1 \af0 \ltrch\fcs0 \insrsid198961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f_x000d__x000a_8031bd5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2"/>
    <w:docVar w:name="TITLECODMNU" w:val=" 1"/>
    <w:docVar w:name="TVTRESPART" w:val="citation"/>
    <w:docVar w:name="TXTLANGUE" w:val="EN"/>
    <w:docVar w:name="TXTLANGUEMIN" w:val="en"/>
    <w:docVar w:name="TXTNRC" w:val="0249/2018"/>
    <w:docVar w:name="TXTNRCOM" w:val="(2018)0385"/>
    <w:docVar w:name="TXTNRFIRSTAM" w:val="1"/>
    <w:docVar w:name="TXTNRLASTAM" w:val="36"/>
    <w:docVar w:name="TXTNRPE" w:val="623.976"/>
    <w:docVar w:name="TXTNRPROC" w:val="2018/0209"/>
    <w:docVar w:name="TXTPEorAP" w:val="PE"/>
    <w:docVar w:name="TXTROUTE" w:val="AD\1162174EN.docx"/>
    <w:docVar w:name="TXTVERSION" w:val="02-00"/>
  </w:docVars>
  <w:rsids>
    <w:rsidRoot w:val="00AE5B29"/>
    <w:rsid w:val="00024885"/>
    <w:rsid w:val="00026559"/>
    <w:rsid w:val="0004474F"/>
    <w:rsid w:val="000A0B76"/>
    <w:rsid w:val="000B5C62"/>
    <w:rsid w:val="000D6D2C"/>
    <w:rsid w:val="0013230E"/>
    <w:rsid w:val="00134974"/>
    <w:rsid w:val="00140AD7"/>
    <w:rsid w:val="00141CD7"/>
    <w:rsid w:val="00156CA1"/>
    <w:rsid w:val="001820A9"/>
    <w:rsid w:val="00187EA6"/>
    <w:rsid w:val="001B0A1E"/>
    <w:rsid w:val="001C0886"/>
    <w:rsid w:val="001E3AC4"/>
    <w:rsid w:val="00212F21"/>
    <w:rsid w:val="00255DC1"/>
    <w:rsid w:val="00260D92"/>
    <w:rsid w:val="002A19D5"/>
    <w:rsid w:val="002B1E1B"/>
    <w:rsid w:val="002F2BD3"/>
    <w:rsid w:val="00304EA8"/>
    <w:rsid w:val="00341A99"/>
    <w:rsid w:val="00360FAA"/>
    <w:rsid w:val="0036478E"/>
    <w:rsid w:val="0038294E"/>
    <w:rsid w:val="003A2F84"/>
    <w:rsid w:val="003C7390"/>
    <w:rsid w:val="0040055C"/>
    <w:rsid w:val="00406308"/>
    <w:rsid w:val="0045148A"/>
    <w:rsid w:val="004570AA"/>
    <w:rsid w:val="00487596"/>
    <w:rsid w:val="00491896"/>
    <w:rsid w:val="00496A81"/>
    <w:rsid w:val="004C2A0D"/>
    <w:rsid w:val="004D1109"/>
    <w:rsid w:val="004D6B0F"/>
    <w:rsid w:val="00516FB4"/>
    <w:rsid w:val="00522B51"/>
    <w:rsid w:val="0052405C"/>
    <w:rsid w:val="00531D5A"/>
    <w:rsid w:val="005445C0"/>
    <w:rsid w:val="005766D7"/>
    <w:rsid w:val="00584A96"/>
    <w:rsid w:val="005A0E40"/>
    <w:rsid w:val="005E11D2"/>
    <w:rsid w:val="00613134"/>
    <w:rsid w:val="0061342A"/>
    <w:rsid w:val="00691B1C"/>
    <w:rsid w:val="006A0C34"/>
    <w:rsid w:val="006A0F0A"/>
    <w:rsid w:val="006A48AA"/>
    <w:rsid w:val="006B1267"/>
    <w:rsid w:val="006D1EA8"/>
    <w:rsid w:val="006D292E"/>
    <w:rsid w:val="006E53E7"/>
    <w:rsid w:val="00712462"/>
    <w:rsid w:val="007174C5"/>
    <w:rsid w:val="0078548A"/>
    <w:rsid w:val="007F187F"/>
    <w:rsid w:val="00804D54"/>
    <w:rsid w:val="00817D13"/>
    <w:rsid w:val="00820C7D"/>
    <w:rsid w:val="00833D11"/>
    <w:rsid w:val="00836FD3"/>
    <w:rsid w:val="008626EE"/>
    <w:rsid w:val="00871033"/>
    <w:rsid w:val="00875820"/>
    <w:rsid w:val="008F6AF6"/>
    <w:rsid w:val="00904864"/>
    <w:rsid w:val="009052FE"/>
    <w:rsid w:val="00924555"/>
    <w:rsid w:val="00955466"/>
    <w:rsid w:val="00982B83"/>
    <w:rsid w:val="009857B4"/>
    <w:rsid w:val="009B524D"/>
    <w:rsid w:val="009D1C28"/>
    <w:rsid w:val="009E5DF1"/>
    <w:rsid w:val="009E7319"/>
    <w:rsid w:val="00AA5B55"/>
    <w:rsid w:val="00AD6531"/>
    <w:rsid w:val="00AE5B29"/>
    <w:rsid w:val="00B06D6D"/>
    <w:rsid w:val="00B11329"/>
    <w:rsid w:val="00B476DC"/>
    <w:rsid w:val="00B556CD"/>
    <w:rsid w:val="00B62D4B"/>
    <w:rsid w:val="00B63CFD"/>
    <w:rsid w:val="00B765C6"/>
    <w:rsid w:val="00B87C6E"/>
    <w:rsid w:val="00BD1F76"/>
    <w:rsid w:val="00BE20CF"/>
    <w:rsid w:val="00C02AE9"/>
    <w:rsid w:val="00C22327"/>
    <w:rsid w:val="00C32A40"/>
    <w:rsid w:val="00C5676E"/>
    <w:rsid w:val="00C6730D"/>
    <w:rsid w:val="00C75E98"/>
    <w:rsid w:val="00C91789"/>
    <w:rsid w:val="00CB29C5"/>
    <w:rsid w:val="00CB39C0"/>
    <w:rsid w:val="00CC0907"/>
    <w:rsid w:val="00CE1995"/>
    <w:rsid w:val="00D1692E"/>
    <w:rsid w:val="00D25CF2"/>
    <w:rsid w:val="00D538DC"/>
    <w:rsid w:val="00D6254D"/>
    <w:rsid w:val="00D703FE"/>
    <w:rsid w:val="00D70D81"/>
    <w:rsid w:val="00D74FD1"/>
    <w:rsid w:val="00D943A5"/>
    <w:rsid w:val="00DB56E4"/>
    <w:rsid w:val="00E27F01"/>
    <w:rsid w:val="00E71D5D"/>
    <w:rsid w:val="00EA1203"/>
    <w:rsid w:val="00EB2E31"/>
    <w:rsid w:val="00EE0DDF"/>
    <w:rsid w:val="00EF33D5"/>
    <w:rsid w:val="00F15744"/>
    <w:rsid w:val="00F24D40"/>
    <w:rsid w:val="00F508E2"/>
    <w:rsid w:val="00F56C5B"/>
    <w:rsid w:val="00F8576C"/>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3A96063-71B3-42D6-9E05-AD3BEB4D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nl-NL"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nl-NL"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5445C0"/>
    <w:rPr>
      <w:rFonts w:ascii="Segoe UI" w:hAnsi="Segoe UI" w:cs="Segoe UI"/>
      <w:sz w:val="18"/>
      <w:szCs w:val="18"/>
    </w:rPr>
  </w:style>
  <w:style w:type="character" w:customStyle="1" w:styleId="BalloonTextChar">
    <w:name w:val="Balloon Text Char"/>
    <w:basedOn w:val="DefaultParagraphFont"/>
    <w:link w:val="BalloonText"/>
    <w:rsid w:val="005445C0"/>
    <w:rPr>
      <w:rFonts w:ascii="Segoe UI" w:hAnsi="Segoe UI" w:cs="Segoe UI"/>
      <w:sz w:val="18"/>
      <w:szCs w:val="18"/>
    </w:rPr>
  </w:style>
  <w:style w:type="character" w:customStyle="1" w:styleId="Sup">
    <w:name w:val="Sup"/>
    <w:rsid w:val="00516FB4"/>
    <w:rPr>
      <w:color w:val="000000"/>
      <w:vertAlign w:val="superscript"/>
    </w:rPr>
  </w:style>
  <w:style w:type="character" w:customStyle="1" w:styleId="SupBoldItalic">
    <w:name w:val="SupBoldItalic"/>
    <w:rsid w:val="00516FB4"/>
    <w:rPr>
      <w:b/>
      <w:i/>
      <w:color w:val="000000"/>
      <w:vertAlign w:val="superscript"/>
    </w:rPr>
  </w:style>
  <w:style w:type="paragraph" w:customStyle="1" w:styleId="Normal6Center">
    <w:name w:val="Normal6 + Center"/>
    <w:qFormat/>
    <w:rsid w:val="00804D54"/>
    <w:pPr>
      <w:spacing w:after="120"/>
      <w:jc w:val="center"/>
    </w:pPr>
    <w:rPr>
      <w:b/>
      <w:i/>
      <w:color w:val="000000"/>
      <w:sz w:val="24"/>
      <w:szCs w:val="24"/>
    </w:rPr>
  </w:style>
  <w:style w:type="paragraph" w:customStyle="1" w:styleId="NormalTabs">
    <w:name w:val="NormalTabs"/>
    <w:basedOn w:val="Normal"/>
    <w:qFormat/>
    <w:rsid w:val="00EB2E31"/>
    <w:pPr>
      <w:widowControl w:val="0"/>
      <w:tabs>
        <w:tab w:val="center" w:pos="284"/>
        <w:tab w:val="left" w:pos="426"/>
      </w:tabs>
    </w:pPr>
    <w:rPr>
      <w:snapToGrid w:val="0"/>
      <w:szCs w:val="20"/>
      <w:lang w:eastAsia="en-US"/>
    </w:rPr>
  </w:style>
  <w:style w:type="character" w:styleId="Hyperlink">
    <w:name w:val="Hyperlink"/>
    <w:basedOn w:val="DefaultParagraphFont"/>
    <w:rsid w:val="00B76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66768">
      <w:bodyDiv w:val="1"/>
      <w:marLeft w:val="0"/>
      <w:marRight w:val="0"/>
      <w:marTop w:val="0"/>
      <w:marBottom w:val="0"/>
      <w:divBdr>
        <w:top w:val="none" w:sz="0" w:space="0" w:color="auto"/>
        <w:left w:val="none" w:sz="0" w:space="0" w:color="auto"/>
        <w:bottom w:val="none" w:sz="0" w:space="0" w:color="auto"/>
        <w:right w:val="none" w:sz="0" w:space="0" w:color="auto"/>
      </w:divBdr>
    </w:div>
    <w:div w:id="18763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7477</Words>
  <Characters>49202</Characters>
  <Application>Microsoft Office Word</Application>
  <DocSecurity>0</DocSecurity>
  <Lines>1757</Lines>
  <Paragraphs>506</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56173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HERBERT Laurence</dc:creator>
  <cp:keywords/>
  <dc:description/>
  <cp:lastModifiedBy>TINNEMANS Beatrice Herma</cp:lastModifiedBy>
  <cp:revision>2</cp:revision>
  <cp:lastPrinted>2018-10-16T14:12:00Z</cp:lastPrinted>
  <dcterms:created xsi:type="dcterms:W3CDTF">2018-10-29T15:26:00Z</dcterms:created>
  <dcterms:modified xsi:type="dcterms:W3CDTF">2018-10-29T15:26:00Z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1162174</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AD\1162174NL.docx</vt:lpwstr>
  </property>
  <property fmtid="{D5CDD505-2E9C-101B-9397-08002B2CF9AE}" pid="10" name="PE number">
    <vt:lpwstr>623.976</vt:lpwstr>
  </property>
  <property fmtid="{D5CDD505-2E9C-101B-9397-08002B2CF9AE}" pid="11" name="SendToEpades">
    <vt:lpwstr>OK - 2018/10/16 16:41</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- 2018/10/29 16:26</vt:lpwstr>
  </property>
</Properties>
</file>