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420C75" w:rsidTr="00F26DE8">
        <w:trPr>
          <w:trHeight w:hRule="exact" w:val="1418"/>
        </w:trPr>
        <w:tc>
          <w:tcPr>
            <w:tcW w:w="6804" w:type="dxa"/>
            <w:shd w:val="clear" w:color="auto" w:fill="auto"/>
            <w:vAlign w:val="center"/>
          </w:tcPr>
          <w:p w:rsidR="00706BC0" w:rsidRPr="00420C75" w:rsidRDefault="002339C2" w:rsidP="00F26DE8">
            <w:pPr>
              <w:pStyle w:val="EPName"/>
            </w:pPr>
            <w:bookmarkStart w:id="0" w:name="_GoBack"/>
            <w:bookmarkEnd w:id="0"/>
            <w:r w:rsidRPr="00420C75">
              <w:t>Europaparlamentet</w:t>
            </w:r>
          </w:p>
          <w:p w:rsidR="00706BC0" w:rsidRPr="00420C75" w:rsidRDefault="00037059" w:rsidP="00037059">
            <w:pPr>
              <w:pStyle w:val="EPTerm"/>
              <w:rPr>
                <w:rStyle w:val="HideTWBExt"/>
                <w:noProof w:val="0"/>
                <w:vanish w:val="0"/>
                <w:color w:val="auto"/>
              </w:rPr>
            </w:pPr>
            <w:r w:rsidRPr="00420C75">
              <w:t>2014-2019</w:t>
            </w:r>
          </w:p>
        </w:tc>
        <w:tc>
          <w:tcPr>
            <w:tcW w:w="2268" w:type="dxa"/>
            <w:shd w:val="clear" w:color="auto" w:fill="auto"/>
          </w:tcPr>
          <w:p w:rsidR="00706BC0" w:rsidRPr="00420C75" w:rsidRDefault="003D19EF"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420C75" w:rsidRDefault="00E53167" w:rsidP="00E53167">
      <w:pPr>
        <w:pStyle w:val="LineTop"/>
      </w:pPr>
    </w:p>
    <w:p w:rsidR="00E53167" w:rsidRPr="00420C75" w:rsidRDefault="00037059" w:rsidP="00E53167">
      <w:pPr>
        <w:pStyle w:val="ZSessionDoc"/>
      </w:pPr>
      <w:r w:rsidRPr="00420C75">
        <w:t>Plenarhandling</w:t>
      </w:r>
    </w:p>
    <w:p w:rsidR="00094DDA" w:rsidRPr="00420C75" w:rsidRDefault="00094DDA" w:rsidP="00094DDA">
      <w:pPr>
        <w:pStyle w:val="LineBottom"/>
      </w:pPr>
    </w:p>
    <w:p w:rsidR="00094DDA" w:rsidRPr="00420C75" w:rsidRDefault="00094DDA" w:rsidP="00094DDA">
      <w:pPr>
        <w:pStyle w:val="RefProc"/>
      </w:pPr>
      <w:r w:rsidRPr="00420C75">
        <w:rPr>
          <w:rStyle w:val="HideTWBExt"/>
          <w:b w:val="0"/>
          <w:noProof w:val="0"/>
        </w:rPr>
        <w:t>&lt;NoDocSe&gt;</w:t>
      </w:r>
      <w:r w:rsidRPr="00420C75">
        <w:t>B8</w:t>
      </w:r>
      <w:r w:rsidRPr="00420C75">
        <w:noBreakHyphen/>
        <w:t>0594/2017</w:t>
      </w:r>
      <w:r w:rsidRPr="00420C75">
        <w:rPr>
          <w:rStyle w:val="HideTWBExt"/>
          <w:b w:val="0"/>
          <w:noProof w:val="0"/>
        </w:rPr>
        <w:t>&lt;/NoDocSe&gt;</w:t>
      </w:r>
    </w:p>
    <w:p w:rsidR="00094DDA" w:rsidRPr="00420C75" w:rsidRDefault="00094DDA" w:rsidP="00094DDA">
      <w:pPr>
        <w:pStyle w:val="ZDate"/>
      </w:pPr>
      <w:r w:rsidRPr="00420C75">
        <w:rPr>
          <w:rStyle w:val="HideTWBExt"/>
          <w:noProof w:val="0"/>
        </w:rPr>
        <w:t>&lt;Date&gt;</w:t>
      </w:r>
      <w:r w:rsidRPr="00420C75">
        <w:rPr>
          <w:rStyle w:val="HideTWBInt"/>
        </w:rPr>
        <w:t>{06/11/2017}</w:t>
      </w:r>
      <w:r w:rsidRPr="00420C75">
        <w:t>6.11.2017</w:t>
      </w:r>
      <w:r w:rsidRPr="00420C75">
        <w:rPr>
          <w:rStyle w:val="HideTWBExt"/>
          <w:noProof w:val="0"/>
        </w:rPr>
        <w:t>&lt;/Date&gt;</w:t>
      </w:r>
    </w:p>
    <w:p w:rsidR="00814BC6" w:rsidRPr="00420C75" w:rsidRDefault="00814BC6">
      <w:pPr>
        <w:pStyle w:val="TypeDoc"/>
      </w:pPr>
      <w:r w:rsidRPr="00420C75">
        <w:rPr>
          <w:rStyle w:val="HideTWBExt"/>
          <w:b w:val="0"/>
          <w:noProof w:val="0"/>
        </w:rPr>
        <w:t>&lt;TitreType&gt;</w:t>
      </w:r>
      <w:r w:rsidRPr="00420C75">
        <w:t>FÖRSLAG TILL RESOLUTION</w:t>
      </w:r>
      <w:r w:rsidRPr="00420C75">
        <w:rPr>
          <w:rStyle w:val="HideTWBExt"/>
          <w:b w:val="0"/>
          <w:noProof w:val="0"/>
        </w:rPr>
        <w:t>&lt;/TitreType&gt;</w:t>
      </w:r>
    </w:p>
    <w:p w:rsidR="00814BC6" w:rsidRPr="00420C75" w:rsidRDefault="00814BC6">
      <w:pPr>
        <w:pStyle w:val="Cover12"/>
      </w:pPr>
      <w:r w:rsidRPr="00420C75">
        <w:rPr>
          <w:rStyle w:val="HideTWBExt"/>
          <w:noProof w:val="0"/>
        </w:rPr>
        <w:t>&lt;TitreSuite&gt;</w:t>
      </w:r>
      <w:r w:rsidRPr="00420C75">
        <w:t>till följd av uttalanden av rådet och kommissionen</w:t>
      </w:r>
      <w:r w:rsidRPr="00420C75">
        <w:rPr>
          <w:rStyle w:val="HideTWBExt"/>
          <w:noProof w:val="0"/>
        </w:rPr>
        <w:t>&lt;/TitreSuite&gt;</w:t>
      </w:r>
    </w:p>
    <w:p w:rsidR="00814BC6" w:rsidRPr="00420C75" w:rsidRDefault="00814BC6">
      <w:pPr>
        <w:pStyle w:val="Cover12"/>
      </w:pPr>
      <w:r w:rsidRPr="00420C75">
        <w:rPr>
          <w:rStyle w:val="HideTWBExt"/>
          <w:noProof w:val="0"/>
        </w:rPr>
        <w:t>&lt;TitreRecueil&gt;</w:t>
      </w:r>
      <w:r w:rsidRPr="00420C75">
        <w:t>i enlighet med artikel 123.2 i arbetsordningen</w:t>
      </w:r>
      <w:r w:rsidRPr="00420C75">
        <w:rPr>
          <w:rStyle w:val="HideTWBExt"/>
          <w:noProof w:val="0"/>
        </w:rPr>
        <w:t>&lt;/TitreRecueil&gt;</w:t>
      </w:r>
    </w:p>
    <w:p w:rsidR="00C23264" w:rsidRPr="00420C75" w:rsidRDefault="00C23264" w:rsidP="00C23264">
      <w:pPr>
        <w:pStyle w:val="CoverNormal"/>
      </w:pPr>
      <w:r w:rsidRPr="00420C75">
        <w:rPr>
          <w:rStyle w:val="HideTWBExt"/>
          <w:noProof w:val="0"/>
        </w:rPr>
        <w:t>&lt;Titre&gt;</w:t>
      </w:r>
      <w:r w:rsidRPr="00420C75">
        <w:t>om situationen i fråga om rättsstatlighet och demokrati i Polen</w:t>
      </w:r>
      <w:r w:rsidRPr="00420C75">
        <w:rPr>
          <w:rStyle w:val="HideTWBExt"/>
          <w:noProof w:val="0"/>
        </w:rPr>
        <w:t>&lt;/Titre&gt;</w:t>
      </w:r>
    </w:p>
    <w:p w:rsidR="00C23264" w:rsidRPr="00420C75" w:rsidRDefault="00C23264" w:rsidP="00C23264">
      <w:pPr>
        <w:pStyle w:val="Cover24"/>
      </w:pPr>
      <w:r w:rsidRPr="00420C75">
        <w:rPr>
          <w:rStyle w:val="HideTWBExt"/>
          <w:noProof w:val="0"/>
        </w:rPr>
        <w:t>&lt;DocRef&gt;</w:t>
      </w:r>
      <w:r w:rsidRPr="00420C75">
        <w:t>(2017/2931(RSP))</w:t>
      </w:r>
      <w:r w:rsidRPr="00420C75">
        <w:rPr>
          <w:rStyle w:val="HideTWBExt"/>
          <w:noProof w:val="0"/>
        </w:rPr>
        <w:t>&lt;/DocRef&gt;</w:t>
      </w:r>
    </w:p>
    <w:p w:rsidR="002574AA" w:rsidRPr="00420C75" w:rsidRDefault="002574AA" w:rsidP="002574AA">
      <w:pPr>
        <w:pStyle w:val="CoverBold"/>
      </w:pPr>
      <w:r w:rsidRPr="00420C75">
        <w:rPr>
          <w:rStyle w:val="HideTWBExt"/>
          <w:b w:val="0"/>
          <w:noProof w:val="0"/>
        </w:rPr>
        <w:t>&lt;RepeatBlock-By&gt;&lt;Depute&gt;</w:t>
      </w:r>
      <w:r w:rsidRPr="00420C75">
        <w:t>Ryszard Legutko, Anna Fotyga, Tomasz Poręba, Ryszard Czarnecki, Karol Karski, Edward Czesak, Beat</w:t>
      </w:r>
      <w:r w:rsidR="003D19EF">
        <w:t>a Gosiewska, Czesław Hoc, Marek </w:t>
      </w:r>
      <w:r w:rsidRPr="00420C75">
        <w:t>Jurek, Sławomir Kłosowski,</w:t>
      </w:r>
      <w:r w:rsidR="003D19EF">
        <w:t xml:space="preserve"> Zdzisław Krasnodębski, Urszula </w:t>
      </w:r>
      <w:r w:rsidRPr="00420C75">
        <w:t>Krupa, Zbigniew Kuźmiuk, Stanisław Ożóg, Bolesław Piecha, Jadwiga Wiśniewska, Kosma Złotowski</w:t>
      </w:r>
      <w:r w:rsidRPr="00420C75">
        <w:rPr>
          <w:rStyle w:val="HideTWBExt"/>
          <w:b w:val="0"/>
          <w:noProof w:val="0"/>
        </w:rPr>
        <w:t>&lt;/Depute&gt;</w:t>
      </w:r>
    </w:p>
    <w:p w:rsidR="002574AA" w:rsidRPr="00420C75" w:rsidRDefault="002574AA" w:rsidP="002574AA">
      <w:pPr>
        <w:pStyle w:val="CoverNormal"/>
      </w:pPr>
      <w:r w:rsidRPr="00420C75">
        <w:rPr>
          <w:rStyle w:val="HideTWBExt"/>
          <w:noProof w:val="0"/>
        </w:rPr>
        <w:t>&lt;Commission&gt;</w:t>
      </w:r>
      <w:r w:rsidRPr="00420C75">
        <w:rPr>
          <w:rStyle w:val="HideTWBInt"/>
        </w:rPr>
        <w:t>{ECR}</w:t>
      </w:r>
      <w:r w:rsidRPr="00420C75">
        <w:t>för ECR-gruppen</w:t>
      </w:r>
      <w:r w:rsidRPr="00420C75">
        <w:rPr>
          <w:rStyle w:val="HideTWBExt"/>
          <w:noProof w:val="0"/>
        </w:rPr>
        <w:t>&lt;/Commission&gt;</w:t>
      </w:r>
    </w:p>
    <w:p w:rsidR="002574AA" w:rsidRPr="00420C75" w:rsidRDefault="002574AA" w:rsidP="002574AA">
      <w:pPr>
        <w:pStyle w:val="CoverNormal"/>
      </w:pPr>
      <w:r w:rsidRPr="00420C75">
        <w:rPr>
          <w:rStyle w:val="HideTWBExt"/>
          <w:noProof w:val="0"/>
        </w:rPr>
        <w:t>&lt;/RepeatBlock-By&gt;</w:t>
      </w:r>
    </w:p>
    <w:p w:rsidR="00814BC6" w:rsidRPr="00420C75" w:rsidRDefault="00814BC6">
      <w:pPr>
        <w:pStyle w:val="Normal12Bold"/>
      </w:pPr>
      <w:r w:rsidRPr="00420C75">
        <w:br w:type="page"/>
      </w:r>
      <w:r w:rsidRPr="00420C75">
        <w:lastRenderedPageBreak/>
        <w:t>B8</w:t>
      </w:r>
      <w:r w:rsidRPr="00420C75">
        <w:noBreakHyphen/>
        <w:t>0594</w:t>
      </w:r>
    </w:p>
    <w:p w:rsidR="00C23264" w:rsidRPr="00420C75" w:rsidRDefault="002339C2" w:rsidP="003D19EF">
      <w:pPr>
        <w:pStyle w:val="NormalBold"/>
      </w:pPr>
      <w:r w:rsidRPr="00420C75">
        <w:t>Europaparlamentets resolution om situationen i fråga om rättsstatlighet och demokrati i Polen</w:t>
      </w:r>
    </w:p>
    <w:p w:rsidR="00C23264" w:rsidRPr="00420C75" w:rsidRDefault="002339C2" w:rsidP="003D19EF">
      <w:pPr>
        <w:pStyle w:val="Normal24Bold"/>
      </w:pPr>
      <w:r w:rsidRPr="00420C75">
        <w:t>(2017/2931(RSP))</w:t>
      </w:r>
    </w:p>
    <w:p w:rsidR="00814BC6" w:rsidRPr="00420C75" w:rsidRDefault="002339C2" w:rsidP="003D19EF">
      <w:pPr>
        <w:pStyle w:val="Normal12"/>
        <w:spacing w:after="0"/>
        <w:ind w:hanging="335"/>
      </w:pPr>
      <w:r w:rsidRPr="00420C75">
        <w:rPr>
          <w:i/>
        </w:rPr>
        <w:t>Europaparlamentet utfärdar denna resolution</w:t>
      </w:r>
    </w:p>
    <w:p w:rsidR="005E48D5" w:rsidRPr="00420C75" w:rsidRDefault="005E48D5" w:rsidP="003D19EF">
      <w:pPr>
        <w:pStyle w:val="Normal12"/>
        <w:spacing w:after="0"/>
        <w:ind w:hanging="335"/>
      </w:pPr>
    </w:p>
    <w:p w:rsidR="00037059" w:rsidRPr="00420C75" w:rsidRDefault="005E48D5" w:rsidP="003D19EF">
      <w:pPr>
        <w:pStyle w:val="BodyB"/>
        <w:spacing w:after="240"/>
        <w:ind w:left="567" w:hanging="567"/>
        <w:rPr>
          <w:rFonts w:ascii="Times New Roman" w:eastAsia="Times New Roman" w:hAnsi="Times New Roman" w:cs="Times New Roman"/>
          <w:sz w:val="24"/>
          <w:szCs w:val="24"/>
        </w:rPr>
      </w:pPr>
      <w:r w:rsidRPr="00420C75">
        <w:rPr>
          <w:rFonts w:ascii="Times New Roman" w:hAnsi="Times New Roman"/>
          <w:sz w:val="24"/>
          <w:szCs w:val="24"/>
        </w:rPr>
        <w:t xml:space="preserve">– </w:t>
      </w:r>
      <w:r w:rsidRPr="00420C75">
        <w:rPr>
          <w:rFonts w:ascii="Times New Roman" w:hAnsi="Times New Roman"/>
          <w:sz w:val="24"/>
          <w:szCs w:val="24"/>
        </w:rPr>
        <w:tab/>
        <w:t>med beaktande av artiklarna 2, 3, 4, 5 och 6 i fördraget om Europeiska unionens funktionssätt (EUF-fördraget) som fastställer</w:t>
      </w:r>
      <w:r w:rsidR="003D19EF">
        <w:rPr>
          <w:rFonts w:ascii="Times New Roman" w:hAnsi="Times New Roman"/>
          <w:sz w:val="24"/>
          <w:szCs w:val="24"/>
        </w:rPr>
        <w:t xml:space="preserve"> kategorier och områden av EU:s </w:t>
      </w:r>
      <w:r w:rsidRPr="00420C75">
        <w:rPr>
          <w:rFonts w:ascii="Times New Roman" w:hAnsi="Times New Roman"/>
          <w:sz w:val="24"/>
          <w:szCs w:val="24"/>
        </w:rPr>
        <w:t>behörighet,</w:t>
      </w:r>
    </w:p>
    <w:p w:rsidR="00037059" w:rsidRPr="00420C75" w:rsidRDefault="005E48D5" w:rsidP="003D19EF">
      <w:pPr>
        <w:pStyle w:val="BodyB"/>
        <w:spacing w:after="240"/>
        <w:ind w:left="567" w:hanging="567"/>
        <w:rPr>
          <w:rFonts w:ascii="Times New Roman" w:eastAsia="Times New Roman" w:hAnsi="Times New Roman" w:cs="Times New Roman"/>
          <w:sz w:val="24"/>
          <w:szCs w:val="24"/>
        </w:rPr>
      </w:pPr>
      <w:r w:rsidRPr="00420C75">
        <w:rPr>
          <w:rFonts w:ascii="Times New Roman" w:hAnsi="Times New Roman"/>
          <w:sz w:val="24"/>
          <w:szCs w:val="24"/>
        </w:rPr>
        <w:t>–</w:t>
      </w:r>
      <w:r w:rsidRPr="00420C75">
        <w:rPr>
          <w:rFonts w:ascii="Times New Roman" w:hAnsi="Times New Roman"/>
          <w:sz w:val="24"/>
          <w:szCs w:val="24"/>
        </w:rPr>
        <w:tab/>
        <w:t>med beaktande av artikel 5 i fördraget om Europeiska unionen (EU-fördraget) och subsidiaritetsprincipen,</w:t>
      </w:r>
    </w:p>
    <w:p w:rsidR="00037059" w:rsidRPr="00420C75" w:rsidRDefault="005E48D5" w:rsidP="003D19EF">
      <w:pPr>
        <w:pStyle w:val="BodyB"/>
        <w:spacing w:after="240"/>
        <w:ind w:left="567" w:hanging="567"/>
        <w:rPr>
          <w:rFonts w:ascii="Times New Roman" w:eastAsia="Times New Roman" w:hAnsi="Times New Roman" w:cs="Times New Roman"/>
          <w:sz w:val="24"/>
          <w:szCs w:val="24"/>
        </w:rPr>
      </w:pPr>
      <w:r w:rsidRPr="00420C75">
        <w:rPr>
          <w:rFonts w:ascii="Times New Roman" w:hAnsi="Times New Roman"/>
          <w:sz w:val="24"/>
          <w:szCs w:val="24"/>
        </w:rPr>
        <w:t>–</w:t>
      </w:r>
      <w:r w:rsidRPr="00420C75">
        <w:rPr>
          <w:rFonts w:ascii="Times New Roman" w:hAnsi="Times New Roman"/>
          <w:sz w:val="24"/>
          <w:szCs w:val="24"/>
        </w:rPr>
        <w:tab/>
        <w:t>med beaktande av artikel 7 i EU-fördraget om risk för allvarligt åsidosättande eller ett allvarligt och ihållande åsidosättande av rättsstatsprincipen,</w:t>
      </w:r>
    </w:p>
    <w:p w:rsidR="00814BC6" w:rsidRPr="00420C75" w:rsidRDefault="00814BC6" w:rsidP="003D19EF">
      <w:pPr>
        <w:pStyle w:val="Normal12Hanging"/>
      </w:pPr>
      <w:r w:rsidRPr="00420C75">
        <w:t>–</w:t>
      </w:r>
      <w:r w:rsidRPr="00420C75">
        <w:tab/>
        <w:t>med beaktande av artikel 123.2 i arbetsordningen, och av följande skäl:</w:t>
      </w:r>
    </w:p>
    <w:p w:rsidR="00037059" w:rsidRPr="00420C75" w:rsidRDefault="005E48D5" w:rsidP="003D19EF">
      <w:pPr>
        <w:pStyle w:val="BodyB"/>
        <w:spacing w:after="240"/>
        <w:ind w:left="567" w:hanging="567"/>
        <w:rPr>
          <w:rFonts w:ascii="Times New Roman" w:hAnsi="Times New Roman"/>
          <w:sz w:val="24"/>
          <w:szCs w:val="24"/>
        </w:rPr>
      </w:pPr>
      <w:r w:rsidRPr="00420C75">
        <w:rPr>
          <w:rFonts w:ascii="Times New Roman" w:hAnsi="Times New Roman"/>
          <w:sz w:val="24"/>
          <w:szCs w:val="24"/>
        </w:rPr>
        <w:t>A.</w:t>
      </w:r>
      <w:r w:rsidRPr="00420C75">
        <w:rPr>
          <w:rFonts w:ascii="Times New Roman" w:hAnsi="Times New Roman"/>
          <w:sz w:val="24"/>
          <w:szCs w:val="24"/>
        </w:rPr>
        <w:tab/>
        <w:t>Polens sittande regering har det starkaste mandatet att utöva makt i landets historia efter kommunismens fall.</w:t>
      </w:r>
    </w:p>
    <w:p w:rsidR="00037059" w:rsidRPr="00420C75" w:rsidRDefault="005E48D5" w:rsidP="003D19EF">
      <w:pPr>
        <w:pStyle w:val="BodyB"/>
        <w:spacing w:after="240"/>
        <w:ind w:left="567" w:hanging="567"/>
        <w:rPr>
          <w:rFonts w:ascii="Times New Roman" w:hAnsi="Times New Roman"/>
          <w:sz w:val="24"/>
          <w:szCs w:val="24"/>
        </w:rPr>
      </w:pPr>
      <w:r w:rsidRPr="00420C75">
        <w:rPr>
          <w:rFonts w:ascii="Times New Roman" w:hAnsi="Times New Roman"/>
          <w:sz w:val="24"/>
          <w:szCs w:val="24"/>
        </w:rPr>
        <w:t>B.</w:t>
      </w:r>
      <w:r w:rsidRPr="00420C75">
        <w:rPr>
          <w:rFonts w:ascii="Times New Roman" w:hAnsi="Times New Roman"/>
          <w:sz w:val="24"/>
          <w:szCs w:val="24"/>
        </w:rPr>
        <w:tab/>
        <w:t xml:space="preserve">Europeiska kommissionen samråder för närvarande med polska regeringen angående författningsdomstolen och reformen av det nationella rådet för domstolsväsendet och Högsta domstolen. </w:t>
      </w:r>
    </w:p>
    <w:p w:rsidR="00037059" w:rsidRPr="00420C75" w:rsidRDefault="005E48D5" w:rsidP="003D19EF">
      <w:pPr>
        <w:pStyle w:val="BodyB"/>
        <w:spacing w:after="240"/>
        <w:ind w:left="567" w:hanging="567"/>
        <w:rPr>
          <w:rFonts w:ascii="Times New Roman" w:hAnsi="Times New Roman"/>
          <w:sz w:val="24"/>
          <w:szCs w:val="24"/>
        </w:rPr>
      </w:pPr>
      <w:r w:rsidRPr="00420C75">
        <w:rPr>
          <w:rFonts w:ascii="Times New Roman" w:hAnsi="Times New Roman"/>
          <w:sz w:val="24"/>
          <w:szCs w:val="24"/>
        </w:rPr>
        <w:t>C.</w:t>
      </w:r>
      <w:r w:rsidRPr="00420C75">
        <w:rPr>
          <w:rFonts w:ascii="Times New Roman" w:hAnsi="Times New Roman"/>
          <w:sz w:val="24"/>
          <w:szCs w:val="24"/>
        </w:rPr>
        <w:tab/>
        <w:t>I enlighet med artikel 7 i EU-fördraget är det rådet och Europeiska rådet som har behörighet att fastställa risk för allvarligt åsidosättande eller ett allvarligt och ihållande åsidosättande av rättsstatsprincipen, inte Europeiska kommissionen.</w:t>
      </w:r>
    </w:p>
    <w:p w:rsidR="00037059" w:rsidRPr="00420C75" w:rsidRDefault="005E48D5" w:rsidP="003D19EF">
      <w:pPr>
        <w:pStyle w:val="BodyB"/>
        <w:spacing w:after="240"/>
        <w:ind w:left="567" w:hanging="567"/>
        <w:rPr>
          <w:rFonts w:ascii="Times New Roman" w:eastAsia="Times New Roman" w:hAnsi="Times New Roman" w:cs="Times New Roman"/>
          <w:sz w:val="24"/>
          <w:szCs w:val="24"/>
        </w:rPr>
      </w:pPr>
      <w:r w:rsidRPr="00420C75">
        <w:rPr>
          <w:rFonts w:ascii="Times New Roman" w:hAnsi="Times New Roman"/>
          <w:sz w:val="24"/>
          <w:szCs w:val="24"/>
        </w:rPr>
        <w:t>D.</w:t>
      </w:r>
      <w:r w:rsidRPr="00420C75">
        <w:rPr>
          <w:rFonts w:ascii="Times New Roman" w:hAnsi="Times New Roman"/>
          <w:sz w:val="24"/>
          <w:szCs w:val="24"/>
        </w:rPr>
        <w:tab/>
        <w:t xml:space="preserve">Polen har aldrig ifrågasatt sitt engagemang för rättsstatsprincipen. Det är just denna princip som regeringen ansluter sig till vid genomförandet av de reformer som den gick till val på. </w:t>
      </w:r>
    </w:p>
    <w:p w:rsidR="00037059" w:rsidRPr="00420C75" w:rsidRDefault="005E48D5" w:rsidP="003D19EF">
      <w:pPr>
        <w:pStyle w:val="BodyB"/>
        <w:spacing w:after="240"/>
        <w:ind w:left="567" w:hanging="567"/>
        <w:rPr>
          <w:rFonts w:ascii="Times New Roman" w:eastAsia="Times New Roman" w:hAnsi="Times New Roman" w:cs="Times New Roman"/>
          <w:sz w:val="24"/>
          <w:szCs w:val="24"/>
        </w:rPr>
      </w:pPr>
      <w:r w:rsidRPr="00420C75">
        <w:rPr>
          <w:rFonts w:ascii="Times New Roman" w:hAnsi="Times New Roman"/>
          <w:sz w:val="24"/>
          <w:szCs w:val="24"/>
        </w:rPr>
        <w:t>E.</w:t>
      </w:r>
      <w:r w:rsidRPr="00420C75">
        <w:rPr>
          <w:rFonts w:ascii="Times New Roman" w:hAnsi="Times New Roman"/>
          <w:sz w:val="24"/>
          <w:szCs w:val="24"/>
        </w:rPr>
        <w:tab/>
        <w:t>Enligt fördragets princip om lojalt samarbete för Polen en omfattande dialog med Europeiska kommissionen om de reformer som regeringen genomfört och lämnar uttömmande klargöranden därom både till kommissionen och medlemsstaterna.</w:t>
      </w:r>
    </w:p>
    <w:p w:rsidR="00037059" w:rsidRPr="00420C75" w:rsidRDefault="005E48D5" w:rsidP="003D19EF">
      <w:pPr>
        <w:pStyle w:val="BodyB"/>
        <w:spacing w:after="240"/>
        <w:ind w:left="567" w:hanging="567"/>
        <w:rPr>
          <w:rFonts w:ascii="Times New Roman" w:eastAsia="Times New Roman" w:hAnsi="Times New Roman" w:cs="Times New Roman"/>
          <w:sz w:val="24"/>
          <w:szCs w:val="24"/>
        </w:rPr>
      </w:pPr>
      <w:r w:rsidRPr="00420C75">
        <w:rPr>
          <w:rFonts w:ascii="Times New Roman" w:hAnsi="Times New Roman"/>
          <w:sz w:val="24"/>
          <w:szCs w:val="24"/>
        </w:rPr>
        <w:t>F.</w:t>
      </w:r>
      <w:r w:rsidRPr="00420C75">
        <w:rPr>
          <w:rFonts w:ascii="Times New Roman" w:hAnsi="Times New Roman"/>
          <w:sz w:val="24"/>
          <w:szCs w:val="24"/>
        </w:rPr>
        <w:tab/>
        <w:t xml:space="preserve">Förändringarna i domstolsväsendet är föremål för ett brett offentligt och politiskt samråd och den slutliga utformningen av regleringarna för högsta domstolen och det nationella rådet för domstolsväsendet är ännu inte känd. </w:t>
      </w:r>
    </w:p>
    <w:p w:rsidR="00814BC6" w:rsidRPr="00420C75" w:rsidRDefault="005E48D5" w:rsidP="003D19EF">
      <w:pPr>
        <w:pStyle w:val="BodyB"/>
        <w:spacing w:after="240"/>
        <w:ind w:left="567" w:hanging="567"/>
      </w:pPr>
      <w:r w:rsidRPr="00420C75">
        <w:rPr>
          <w:rFonts w:ascii="Times New Roman" w:hAnsi="Times New Roman"/>
          <w:sz w:val="24"/>
          <w:szCs w:val="24"/>
        </w:rPr>
        <w:t>G.</w:t>
      </w:r>
      <w:r w:rsidRPr="00420C75">
        <w:rPr>
          <w:rFonts w:ascii="Times New Roman" w:hAnsi="Times New Roman"/>
          <w:sz w:val="24"/>
          <w:szCs w:val="24"/>
        </w:rPr>
        <w:tab/>
        <w:t>Den polska regeringen har hittills i tid och på ett uttömmande sätt besvarat alla kommissionens rekommendationer angående rättsstatsprincipen i Polen och betonat att vidtagna lagstiftningsåtgärder, vilkas överordnade syfte är</w:t>
      </w:r>
      <w:r w:rsidR="003D19EF">
        <w:rPr>
          <w:rFonts w:ascii="Times New Roman" w:hAnsi="Times New Roman"/>
          <w:sz w:val="24"/>
          <w:szCs w:val="24"/>
        </w:rPr>
        <w:t xml:space="preserve"> en reform av rättsväsendet, är </w:t>
      </w:r>
      <w:r w:rsidRPr="00420C75">
        <w:rPr>
          <w:rFonts w:ascii="Times New Roman" w:hAnsi="Times New Roman"/>
          <w:sz w:val="24"/>
          <w:szCs w:val="24"/>
        </w:rPr>
        <w:t>förenliga med unionens normer och motsvarar samhällets förväntningar i detta avseende.</w:t>
      </w:r>
    </w:p>
    <w:p w:rsidR="00037059" w:rsidRPr="00420C75" w:rsidRDefault="005E48D5" w:rsidP="003D19EF">
      <w:pPr>
        <w:pStyle w:val="BodyB"/>
        <w:spacing w:after="240"/>
        <w:ind w:left="567" w:hanging="567"/>
        <w:rPr>
          <w:rFonts w:ascii="Times New Roman" w:hAnsi="Times New Roman"/>
          <w:sz w:val="24"/>
          <w:szCs w:val="24"/>
        </w:rPr>
      </w:pPr>
      <w:r w:rsidRPr="00420C75">
        <w:rPr>
          <w:rFonts w:ascii="Times New Roman" w:hAnsi="Times New Roman"/>
          <w:sz w:val="24"/>
          <w:szCs w:val="24"/>
        </w:rPr>
        <w:lastRenderedPageBreak/>
        <w:t>1.</w:t>
      </w:r>
      <w:r w:rsidRPr="00420C75">
        <w:rPr>
          <w:rFonts w:ascii="Times New Roman" w:hAnsi="Times New Roman"/>
          <w:sz w:val="24"/>
          <w:szCs w:val="24"/>
        </w:rPr>
        <w:tab/>
        <w:t>Europaparlamentet understryker att enligt artikel 5 i EU-fördraget, där subsidiaritetsprincipen fastställs på de områden där unionen inte har exklusiv befogenhet, vidtar unionen åtgärder endast om och i den mån som målen för den planerade åtgärden inte i tillräcklig utsträckning kan uppnås av medlemsstaterna.</w:t>
      </w:r>
    </w:p>
    <w:p w:rsidR="00037059" w:rsidRPr="00420C75" w:rsidRDefault="005E48D5" w:rsidP="003D19EF">
      <w:pPr>
        <w:pStyle w:val="BodyB"/>
        <w:spacing w:after="240"/>
        <w:ind w:left="567" w:hanging="567"/>
        <w:rPr>
          <w:rFonts w:ascii="Times New Roman" w:hAnsi="Times New Roman"/>
          <w:sz w:val="24"/>
          <w:szCs w:val="24"/>
        </w:rPr>
      </w:pPr>
      <w:r w:rsidRPr="00420C75">
        <w:rPr>
          <w:rFonts w:ascii="Times New Roman" w:hAnsi="Times New Roman"/>
          <w:sz w:val="24"/>
          <w:szCs w:val="24"/>
        </w:rPr>
        <w:t>2.</w:t>
      </w:r>
      <w:r w:rsidRPr="00420C75">
        <w:rPr>
          <w:rFonts w:ascii="Times New Roman" w:hAnsi="Times New Roman"/>
          <w:sz w:val="24"/>
          <w:szCs w:val="24"/>
        </w:rPr>
        <w:tab/>
        <w:t>Europaparlamentet påpekar därför att nya lagstiftningsprojekt, såsom förslag till lagstiftning för att det nationella rådet för domstolsväsendet och Högsta domstolen, inte bör vara föremål för ingripanden från unionsinstitutionerna, eftersom lagstiftningens mål enligt subsidiaritetsreglerna bäst uppnås av de polska myndigheterna.</w:t>
      </w:r>
    </w:p>
    <w:p w:rsidR="00037059" w:rsidRPr="00420C75" w:rsidRDefault="005E48D5" w:rsidP="003D19EF">
      <w:pPr>
        <w:pStyle w:val="BodyB"/>
        <w:spacing w:after="240"/>
        <w:ind w:left="567" w:hanging="567"/>
        <w:rPr>
          <w:rFonts w:ascii="Times New Roman" w:hAnsi="Times New Roman"/>
          <w:sz w:val="24"/>
          <w:szCs w:val="24"/>
        </w:rPr>
      </w:pPr>
      <w:r w:rsidRPr="00420C75">
        <w:rPr>
          <w:rFonts w:ascii="Times New Roman" w:hAnsi="Times New Roman"/>
          <w:sz w:val="24"/>
          <w:szCs w:val="24"/>
        </w:rPr>
        <w:t>3.</w:t>
      </w:r>
      <w:r w:rsidRPr="00420C75">
        <w:rPr>
          <w:rFonts w:ascii="Times New Roman" w:hAnsi="Times New Roman"/>
          <w:sz w:val="24"/>
          <w:szCs w:val="24"/>
        </w:rPr>
        <w:tab/>
        <w:t>Europaparlamentet upprepar att det pågår långt framskridna samråd mellan kommissionen och Polen. Parlamentet betonar att ändringar på ovannämnda områden är föremål för diskussioner mellan regeringen, presidenten, oppositionen, men även mellan experter, icke-statliga organisationer och organisationer i det civila samhället.</w:t>
      </w:r>
    </w:p>
    <w:p w:rsidR="00037059" w:rsidRPr="00420C75" w:rsidRDefault="005E48D5" w:rsidP="003D19EF">
      <w:pPr>
        <w:pStyle w:val="BodyB"/>
        <w:spacing w:after="240"/>
        <w:ind w:left="567" w:hanging="567"/>
        <w:rPr>
          <w:rFonts w:ascii="Times New Roman" w:hAnsi="Times New Roman"/>
          <w:sz w:val="24"/>
          <w:szCs w:val="24"/>
        </w:rPr>
      </w:pPr>
      <w:r w:rsidRPr="00420C75">
        <w:rPr>
          <w:rFonts w:ascii="Times New Roman" w:hAnsi="Times New Roman"/>
          <w:sz w:val="24"/>
          <w:szCs w:val="24"/>
        </w:rPr>
        <w:t>4.</w:t>
      </w:r>
      <w:r w:rsidRPr="00420C75">
        <w:rPr>
          <w:rFonts w:ascii="Times New Roman" w:hAnsi="Times New Roman"/>
          <w:sz w:val="24"/>
          <w:szCs w:val="24"/>
        </w:rPr>
        <w:tab/>
        <w:t>Europaparlamentet erinrar om att kommissionen i sin dialog med Polen hänvisar till den pågående lagstiftningsprocessen och deltar därmed i en inhemsk politisk debatt, vilket inte underlättar lösningen av tvisten.</w:t>
      </w:r>
    </w:p>
    <w:p w:rsidR="00037059" w:rsidRPr="00420C75" w:rsidRDefault="005E48D5" w:rsidP="003D19EF">
      <w:pPr>
        <w:pStyle w:val="BodyB"/>
        <w:spacing w:after="240"/>
        <w:ind w:left="567" w:hanging="567"/>
        <w:rPr>
          <w:rFonts w:ascii="Times New Roman" w:hAnsi="Times New Roman"/>
          <w:sz w:val="24"/>
          <w:szCs w:val="24"/>
        </w:rPr>
      </w:pPr>
      <w:r w:rsidRPr="00420C75">
        <w:rPr>
          <w:rFonts w:ascii="Times New Roman" w:hAnsi="Times New Roman"/>
          <w:sz w:val="24"/>
          <w:szCs w:val="24"/>
        </w:rPr>
        <w:t>5.</w:t>
      </w:r>
      <w:r w:rsidRPr="00420C75">
        <w:rPr>
          <w:rFonts w:ascii="Times New Roman" w:hAnsi="Times New Roman"/>
          <w:sz w:val="24"/>
          <w:szCs w:val="24"/>
        </w:rPr>
        <w:tab/>
        <w:t>Europaparlamentet beklagar att kommissionen i sina invändningar ofta tillämpar dubbla standarder och anklagar regeringen för att införa lösningar som tillämpas i andra medlemsstater, t.ex. olika pensionsålder för män och kvinnor.</w:t>
      </w:r>
    </w:p>
    <w:p w:rsidR="00037059" w:rsidRPr="00420C75" w:rsidRDefault="005E48D5" w:rsidP="003D19EF">
      <w:pPr>
        <w:pStyle w:val="BodyB"/>
        <w:spacing w:after="240"/>
        <w:ind w:left="567" w:hanging="567"/>
        <w:rPr>
          <w:rFonts w:ascii="Times New Roman" w:eastAsia="Times New Roman" w:hAnsi="Times New Roman" w:cs="Times New Roman"/>
          <w:sz w:val="24"/>
          <w:szCs w:val="24"/>
        </w:rPr>
      </w:pPr>
      <w:r w:rsidRPr="00420C75">
        <w:rPr>
          <w:rFonts w:ascii="Times New Roman" w:hAnsi="Times New Roman"/>
          <w:sz w:val="24"/>
          <w:szCs w:val="24"/>
        </w:rPr>
        <w:t>6.</w:t>
      </w:r>
      <w:r w:rsidRPr="00420C75">
        <w:rPr>
          <w:rFonts w:ascii="Times New Roman" w:hAnsi="Times New Roman"/>
          <w:sz w:val="24"/>
          <w:szCs w:val="24"/>
        </w:rPr>
        <w:tab/>
        <w:t>Europaparlamentet betonar att denna typ av debatt inte får politiseras samt att den måste bygga på fakta och respektera medlemsstaternas suverä</w:t>
      </w:r>
      <w:r w:rsidR="003D19EF">
        <w:rPr>
          <w:rFonts w:ascii="Times New Roman" w:hAnsi="Times New Roman"/>
          <w:sz w:val="24"/>
          <w:szCs w:val="24"/>
        </w:rPr>
        <w:t>nitet. Parlamentet anser att en </w:t>
      </w:r>
      <w:r w:rsidRPr="00420C75">
        <w:rPr>
          <w:rFonts w:ascii="Times New Roman" w:hAnsi="Times New Roman"/>
          <w:sz w:val="24"/>
          <w:szCs w:val="24"/>
        </w:rPr>
        <w:t>indikator i detta hänseende kan vara det antal ärenden vid Europeiska unionens domstol som rör icke verkställda domstolsbeslut. Parlamentet n</w:t>
      </w:r>
      <w:r w:rsidR="003D19EF">
        <w:rPr>
          <w:rFonts w:ascii="Times New Roman" w:hAnsi="Times New Roman"/>
          <w:sz w:val="24"/>
          <w:szCs w:val="24"/>
        </w:rPr>
        <w:t>oterar att Polen endast har två </w:t>
      </w:r>
      <w:r w:rsidRPr="00420C75">
        <w:rPr>
          <w:rFonts w:ascii="Times New Roman" w:hAnsi="Times New Roman"/>
          <w:sz w:val="24"/>
          <w:szCs w:val="24"/>
        </w:rPr>
        <w:t>sådana ärenden under det administrativa förfarandet, vilket är långt färre än vissa andra medlemsstater, där antalet kan uppgå till så många som elva.</w:t>
      </w:r>
    </w:p>
    <w:p w:rsidR="00037059" w:rsidRPr="00420C75" w:rsidRDefault="005E48D5" w:rsidP="003D19EF">
      <w:pPr>
        <w:pStyle w:val="BodyB"/>
        <w:spacing w:after="240"/>
        <w:ind w:left="567" w:hanging="567"/>
        <w:rPr>
          <w:rFonts w:ascii="Times New Roman" w:eastAsia="Times New Roman" w:hAnsi="Times New Roman" w:cs="Times New Roman"/>
          <w:sz w:val="24"/>
          <w:szCs w:val="24"/>
        </w:rPr>
      </w:pPr>
      <w:r w:rsidRPr="00420C75">
        <w:rPr>
          <w:rFonts w:ascii="Times New Roman" w:hAnsi="Times New Roman"/>
          <w:sz w:val="24"/>
          <w:szCs w:val="24"/>
        </w:rPr>
        <w:t>7.</w:t>
      </w:r>
      <w:r w:rsidRPr="00420C75">
        <w:rPr>
          <w:rFonts w:ascii="Times New Roman" w:hAnsi="Times New Roman"/>
          <w:sz w:val="24"/>
          <w:szCs w:val="24"/>
        </w:rPr>
        <w:tab/>
        <w:t xml:space="preserve">Europaparlamentet påminner om att det är rådet och Europeiska rådet som har behörighet att fastställa risk för allvarligt åsidosättande eller ett allvarligt och ihållande åsidosättande av rättsstatsprincipen, inte Europeiska kommissionen. </w:t>
      </w:r>
    </w:p>
    <w:p w:rsidR="00814BC6" w:rsidRPr="00420C75" w:rsidRDefault="00037059" w:rsidP="003D19EF">
      <w:pPr>
        <w:pStyle w:val="Normal12Hanging"/>
      </w:pPr>
      <w:r w:rsidRPr="00420C75">
        <w:t>8.</w:t>
      </w:r>
      <w:r w:rsidRPr="00420C75">
        <w:tab/>
        <w:t>Europaparlamentet uppdrar åt talmannen att översända denna resolution till kommissionen, rådet, medlemsstaterna, Europarådet och Europeiska kommissionen för demokrati genom lag.</w:t>
      </w:r>
    </w:p>
    <w:sectPr w:rsidR="00814BC6" w:rsidRPr="00420C75" w:rsidSect="00420C7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C2" w:rsidRPr="00420C75" w:rsidRDefault="002339C2">
      <w:r w:rsidRPr="00420C75">
        <w:separator/>
      </w:r>
    </w:p>
  </w:endnote>
  <w:endnote w:type="continuationSeparator" w:id="0">
    <w:p w:rsidR="002339C2" w:rsidRPr="00420C75" w:rsidRDefault="002339C2">
      <w:r w:rsidRPr="00420C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75" w:rsidRPr="003D19EF" w:rsidRDefault="00420C75" w:rsidP="00420C75">
    <w:pPr>
      <w:pStyle w:val="Footer"/>
      <w:rPr>
        <w:lang w:val="it-IT"/>
      </w:rPr>
    </w:pPr>
    <w:r w:rsidRPr="003D19EF">
      <w:rPr>
        <w:lang w:val="it-IT"/>
      </w:rPr>
      <w:t>PE</w:t>
    </w:r>
    <w:r w:rsidRPr="003D19EF">
      <w:rPr>
        <w:rStyle w:val="HideTWBExt"/>
        <w:noProof w:val="0"/>
        <w:lang w:val="it-IT"/>
      </w:rPr>
      <w:t>&lt;NoPE&gt;</w:t>
    </w:r>
    <w:r w:rsidRPr="003D19EF">
      <w:rPr>
        <w:lang w:val="it-IT"/>
      </w:rPr>
      <w:t>614.230</w:t>
    </w:r>
    <w:r w:rsidRPr="003D19EF">
      <w:rPr>
        <w:rStyle w:val="HideTWBExt"/>
        <w:noProof w:val="0"/>
        <w:lang w:val="it-IT"/>
      </w:rPr>
      <w:t>&lt;/NoPE&gt;&lt;Version&gt;</w:t>
    </w:r>
    <w:r w:rsidRPr="003D19EF">
      <w:rPr>
        <w:lang w:val="it-IT"/>
      </w:rPr>
      <w:t>v01-00</w:t>
    </w:r>
    <w:r w:rsidRPr="003D19EF">
      <w:rPr>
        <w:rStyle w:val="HideTWBExt"/>
        <w:noProof w:val="0"/>
        <w:lang w:val="it-IT"/>
      </w:rPr>
      <w:t>&lt;/Version&gt;</w:t>
    </w:r>
    <w:r w:rsidRPr="003D19EF">
      <w:rPr>
        <w:lang w:val="it-IT"/>
      </w:rPr>
      <w:tab/>
    </w:r>
    <w:r w:rsidRPr="00420C75">
      <w:fldChar w:fldCharType="begin"/>
    </w:r>
    <w:r w:rsidRPr="003D19EF">
      <w:rPr>
        <w:lang w:val="it-IT"/>
      </w:rPr>
      <w:instrText xml:space="preserve"> PAGE  \* MERGEFORMAT </w:instrText>
    </w:r>
    <w:r w:rsidRPr="00420C75">
      <w:fldChar w:fldCharType="separate"/>
    </w:r>
    <w:r w:rsidR="003D19EF">
      <w:rPr>
        <w:noProof/>
        <w:lang w:val="it-IT"/>
      </w:rPr>
      <w:t>2</w:t>
    </w:r>
    <w:r w:rsidRPr="00420C75">
      <w:fldChar w:fldCharType="end"/>
    </w:r>
    <w:r w:rsidRPr="003D19EF">
      <w:rPr>
        <w:lang w:val="it-IT"/>
      </w:rPr>
      <w:t>/</w:t>
    </w:r>
    <w:r w:rsidR="003D19EF">
      <w:fldChar w:fldCharType="begin"/>
    </w:r>
    <w:r w:rsidR="003D19EF" w:rsidRPr="003D19EF">
      <w:rPr>
        <w:lang w:val="it-IT"/>
      </w:rPr>
      <w:instrText xml:space="preserve"> NUMPAGES  \* MERGEFORMAT </w:instrText>
    </w:r>
    <w:r w:rsidR="003D19EF">
      <w:fldChar w:fldCharType="separate"/>
    </w:r>
    <w:r w:rsidR="003D19EF">
      <w:rPr>
        <w:noProof/>
        <w:lang w:val="it-IT"/>
      </w:rPr>
      <w:t>3</w:t>
    </w:r>
    <w:r w:rsidR="003D19EF">
      <w:rPr>
        <w:noProof/>
      </w:rPr>
      <w:fldChar w:fldCharType="end"/>
    </w:r>
    <w:r w:rsidRPr="003D19EF">
      <w:rPr>
        <w:lang w:val="it-IT"/>
      </w:rPr>
      <w:tab/>
    </w:r>
    <w:r w:rsidRPr="003D19EF">
      <w:rPr>
        <w:rStyle w:val="HideTWBExt"/>
        <w:noProof w:val="0"/>
        <w:lang w:val="it-IT"/>
      </w:rPr>
      <w:t>&lt;PathFdR&gt;</w:t>
    </w:r>
    <w:r w:rsidRPr="003D19EF">
      <w:rPr>
        <w:lang w:val="it-IT"/>
      </w:rPr>
      <w:t>RE\1139128SV.docx</w:t>
    </w:r>
    <w:r w:rsidRPr="003D19EF">
      <w:rPr>
        <w:rStyle w:val="HideTWBExt"/>
        <w:noProof w:val="0"/>
        <w:lang w:val="it-IT"/>
      </w:rPr>
      <w:t>&lt;/PathFdR&gt;</w:t>
    </w:r>
  </w:p>
  <w:p w:rsidR="00A90219" w:rsidRPr="00420C75" w:rsidRDefault="00420C75" w:rsidP="00420C75">
    <w:pPr>
      <w:pStyle w:val="Footer2"/>
    </w:pPr>
    <w:r w:rsidRPr="00420C75">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75" w:rsidRPr="003D19EF" w:rsidRDefault="00420C75" w:rsidP="00420C75">
    <w:pPr>
      <w:pStyle w:val="Footer"/>
      <w:rPr>
        <w:lang w:val="it-IT"/>
      </w:rPr>
    </w:pPr>
    <w:r w:rsidRPr="003D19EF">
      <w:rPr>
        <w:rStyle w:val="HideTWBExt"/>
        <w:noProof w:val="0"/>
        <w:lang w:val="it-IT"/>
      </w:rPr>
      <w:t>&lt;PathFdR&gt;</w:t>
    </w:r>
    <w:r w:rsidRPr="003D19EF">
      <w:rPr>
        <w:lang w:val="it-IT"/>
      </w:rPr>
      <w:t>RE\1139128SV.docx</w:t>
    </w:r>
    <w:r w:rsidRPr="003D19EF">
      <w:rPr>
        <w:rStyle w:val="HideTWBExt"/>
        <w:noProof w:val="0"/>
        <w:lang w:val="it-IT"/>
      </w:rPr>
      <w:t>&lt;/PathFdR&gt;</w:t>
    </w:r>
    <w:r w:rsidRPr="003D19EF">
      <w:rPr>
        <w:lang w:val="it-IT"/>
      </w:rPr>
      <w:tab/>
    </w:r>
    <w:r w:rsidRPr="00420C75">
      <w:fldChar w:fldCharType="begin"/>
    </w:r>
    <w:r w:rsidRPr="003D19EF">
      <w:rPr>
        <w:lang w:val="it-IT"/>
      </w:rPr>
      <w:instrText xml:space="preserve"> PAGE  \* MERGEFORMAT </w:instrText>
    </w:r>
    <w:r w:rsidRPr="00420C75">
      <w:fldChar w:fldCharType="separate"/>
    </w:r>
    <w:r w:rsidR="003D19EF">
      <w:rPr>
        <w:noProof/>
        <w:lang w:val="it-IT"/>
      </w:rPr>
      <w:t>3</w:t>
    </w:r>
    <w:r w:rsidRPr="00420C75">
      <w:fldChar w:fldCharType="end"/>
    </w:r>
    <w:r w:rsidRPr="003D19EF">
      <w:rPr>
        <w:lang w:val="it-IT"/>
      </w:rPr>
      <w:t>/</w:t>
    </w:r>
    <w:r w:rsidR="003D19EF">
      <w:fldChar w:fldCharType="begin"/>
    </w:r>
    <w:r w:rsidR="003D19EF" w:rsidRPr="003D19EF">
      <w:rPr>
        <w:lang w:val="it-IT"/>
      </w:rPr>
      <w:instrText xml:space="preserve"> NUMPAGES  \* MERGEFORMAT </w:instrText>
    </w:r>
    <w:r w:rsidR="003D19EF">
      <w:fldChar w:fldCharType="separate"/>
    </w:r>
    <w:r w:rsidR="003D19EF">
      <w:rPr>
        <w:noProof/>
        <w:lang w:val="it-IT"/>
      </w:rPr>
      <w:t>3</w:t>
    </w:r>
    <w:r w:rsidR="003D19EF">
      <w:rPr>
        <w:noProof/>
      </w:rPr>
      <w:fldChar w:fldCharType="end"/>
    </w:r>
    <w:r w:rsidRPr="003D19EF">
      <w:rPr>
        <w:lang w:val="it-IT"/>
      </w:rPr>
      <w:tab/>
      <w:t>PE</w:t>
    </w:r>
    <w:r w:rsidRPr="003D19EF">
      <w:rPr>
        <w:rStyle w:val="HideTWBExt"/>
        <w:noProof w:val="0"/>
        <w:lang w:val="it-IT"/>
      </w:rPr>
      <w:t>&lt;NoPE&gt;</w:t>
    </w:r>
    <w:r w:rsidRPr="003D19EF">
      <w:rPr>
        <w:lang w:val="it-IT"/>
      </w:rPr>
      <w:t>614.230</w:t>
    </w:r>
    <w:r w:rsidRPr="003D19EF">
      <w:rPr>
        <w:rStyle w:val="HideTWBExt"/>
        <w:noProof w:val="0"/>
        <w:lang w:val="it-IT"/>
      </w:rPr>
      <w:t>&lt;/NoPE&gt;&lt;Version&gt;</w:t>
    </w:r>
    <w:r w:rsidRPr="003D19EF">
      <w:rPr>
        <w:lang w:val="it-IT"/>
      </w:rPr>
      <w:t>v01-00</w:t>
    </w:r>
    <w:r w:rsidRPr="003D19EF">
      <w:rPr>
        <w:rStyle w:val="HideTWBExt"/>
        <w:noProof w:val="0"/>
        <w:lang w:val="it-IT"/>
      </w:rPr>
      <w:t>&lt;/Version&gt;</w:t>
    </w:r>
  </w:p>
  <w:p w:rsidR="00A90219" w:rsidRPr="00420C75" w:rsidRDefault="00420C75" w:rsidP="00420C75">
    <w:pPr>
      <w:pStyle w:val="Footer2"/>
    </w:pPr>
    <w:r w:rsidRPr="003D19EF">
      <w:rPr>
        <w:lang w:val="it-IT"/>
      </w:rPr>
      <w:tab/>
    </w:r>
    <w:r w:rsidRPr="00420C75">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75" w:rsidRPr="003D19EF" w:rsidRDefault="00420C75" w:rsidP="00420C75">
    <w:pPr>
      <w:pStyle w:val="Footer"/>
      <w:rPr>
        <w:lang w:val="it-IT"/>
      </w:rPr>
    </w:pPr>
    <w:r w:rsidRPr="003D19EF">
      <w:rPr>
        <w:rStyle w:val="HideTWBExt"/>
        <w:noProof w:val="0"/>
        <w:lang w:val="it-IT"/>
      </w:rPr>
      <w:t>&lt;PathFdR&gt;</w:t>
    </w:r>
    <w:r w:rsidRPr="003D19EF">
      <w:rPr>
        <w:lang w:val="it-IT"/>
      </w:rPr>
      <w:t>RE\1139128SV.docx</w:t>
    </w:r>
    <w:r w:rsidRPr="003D19EF">
      <w:rPr>
        <w:rStyle w:val="HideTWBExt"/>
        <w:noProof w:val="0"/>
        <w:lang w:val="it-IT"/>
      </w:rPr>
      <w:t>&lt;/PathFdR&gt;</w:t>
    </w:r>
    <w:r w:rsidRPr="003D19EF">
      <w:rPr>
        <w:lang w:val="it-IT"/>
      </w:rPr>
      <w:tab/>
    </w:r>
    <w:r w:rsidRPr="003D19EF">
      <w:rPr>
        <w:lang w:val="it-IT"/>
      </w:rPr>
      <w:tab/>
      <w:t>PE</w:t>
    </w:r>
    <w:r w:rsidRPr="003D19EF">
      <w:rPr>
        <w:rStyle w:val="HideTWBExt"/>
        <w:noProof w:val="0"/>
        <w:lang w:val="it-IT"/>
      </w:rPr>
      <w:t>&lt;NoPE&gt;</w:t>
    </w:r>
    <w:r w:rsidRPr="003D19EF">
      <w:rPr>
        <w:lang w:val="it-IT"/>
      </w:rPr>
      <w:t>614.230</w:t>
    </w:r>
    <w:r w:rsidRPr="003D19EF">
      <w:rPr>
        <w:rStyle w:val="HideTWBExt"/>
        <w:noProof w:val="0"/>
        <w:lang w:val="it-IT"/>
      </w:rPr>
      <w:t>&lt;/NoPE&gt;&lt;Version&gt;</w:t>
    </w:r>
    <w:r w:rsidRPr="003D19EF">
      <w:rPr>
        <w:lang w:val="it-IT"/>
      </w:rPr>
      <w:t>v01-00</w:t>
    </w:r>
    <w:r w:rsidRPr="003D19EF">
      <w:rPr>
        <w:rStyle w:val="HideTWBExt"/>
        <w:noProof w:val="0"/>
        <w:lang w:val="it-IT"/>
      </w:rPr>
      <w:t>&lt;/Version&gt;</w:t>
    </w:r>
  </w:p>
  <w:p w:rsidR="00A90219" w:rsidRPr="00420C75" w:rsidRDefault="00420C75" w:rsidP="00420C75">
    <w:pPr>
      <w:pStyle w:val="Footer2"/>
      <w:tabs>
        <w:tab w:val="center" w:pos="4535"/>
      </w:tabs>
    </w:pPr>
    <w:r w:rsidRPr="00420C75">
      <w:t>SV</w:t>
    </w:r>
    <w:r w:rsidRPr="00420C75">
      <w:tab/>
    </w:r>
    <w:r w:rsidRPr="00420C75">
      <w:rPr>
        <w:b w:val="0"/>
        <w:i/>
        <w:color w:val="C0C0C0"/>
        <w:sz w:val="22"/>
      </w:rPr>
      <w:t>Förenade i mångfalden</w:t>
    </w:r>
    <w:r w:rsidRPr="00420C75">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C2" w:rsidRPr="00420C75" w:rsidRDefault="002339C2">
      <w:r w:rsidRPr="00420C75">
        <w:separator/>
      </w:r>
    </w:p>
  </w:footnote>
  <w:footnote w:type="continuationSeparator" w:id="0">
    <w:p w:rsidR="002339C2" w:rsidRPr="00420C75" w:rsidRDefault="002339C2">
      <w:r w:rsidRPr="00420C7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9EF" w:rsidRDefault="003D1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9EF" w:rsidRDefault="003D1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9EF" w:rsidRDefault="003D1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47FC2"/>
    <w:multiLevelType w:val="hybridMultilevel"/>
    <w:tmpl w:val="0D3E6C7C"/>
    <w:styleLink w:val="Lettered"/>
    <w:lvl w:ilvl="0" w:tplc="4B1CC276">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0D6193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D0A0978">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D10B2AE">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4E410F2">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236BFC0">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33A26A4">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885EA4">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F548B20">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E236065"/>
    <w:multiLevelType w:val="hybridMultilevel"/>
    <w:tmpl w:val="0D3E6C7C"/>
    <w:numStyleLink w:val="Lettered"/>
  </w:abstractNum>
  <w:abstractNum w:abstractNumId="12" w15:restartNumberingAfterBreak="0">
    <w:nsid w:val="34696029"/>
    <w:multiLevelType w:val="hybridMultilevel"/>
    <w:tmpl w:val="C31CA454"/>
    <w:styleLink w:val="Numbered"/>
    <w:lvl w:ilvl="0" w:tplc="A5727B0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96CDA2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AF06D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4EA508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776852F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5A2E3B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483A3D6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C80A58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EE004D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2091ABC"/>
    <w:multiLevelType w:val="hybridMultilevel"/>
    <w:tmpl w:val="ABD6A132"/>
    <w:styleLink w:val="Dash"/>
    <w:lvl w:ilvl="0" w:tplc="7DA0F436">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3428AF0">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AC1FB4">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71E1ED4">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86AEC2">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FD435BA">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3B021D8">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BE63D26">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C2A082">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B6D2274"/>
    <w:multiLevelType w:val="hybridMultilevel"/>
    <w:tmpl w:val="ABD6A132"/>
    <w:numStyleLink w:val="Dash"/>
  </w:abstractNum>
  <w:abstractNum w:abstractNumId="15" w15:restartNumberingAfterBreak="0">
    <w:nsid w:val="63295A85"/>
    <w:multiLevelType w:val="hybridMultilevel"/>
    <w:tmpl w:val="C31CA454"/>
    <w:numStyleLink w:val="Numbered"/>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 w:numId="43">
    <w:abstractNumId w:val="12"/>
  </w:num>
  <w:num w:numId="44">
    <w:abstractNumId w:val="15"/>
  </w:num>
  <w:num w:numId="45">
    <w:abstractNumId w:val="1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7"/>
    <w:docVar w:name="strDocTypeID" w:val="RE_Statements"/>
    <w:docVar w:name="strSubDir" w:val="1139"/>
    <w:docVar w:name="TXTLANGUE" w:val="PL"/>
    <w:docVar w:name="TXTLANGUEMIN" w:val="pl"/>
    <w:docVar w:name="TXTNRB" w:val="0594"/>
    <w:docVar w:name="TXTNRPE" w:val="614.230"/>
    <w:docVar w:name="TXTNRRSP" w:val="2017/2931"/>
    <w:docVar w:name="TXTPEorAP" w:val="PE"/>
    <w:docVar w:name="TXTROUTE" w:val="RE\1139128PL.docx"/>
    <w:docVar w:name="TXTTITLE" w:val="Sytuacja w zakresie praworządności i demokracji w Polsce"/>
    <w:docVar w:name="TXTVERSION" w:val="01-00"/>
  </w:docVars>
  <w:rsids>
    <w:rsidRoot w:val="002339C2"/>
    <w:rsid w:val="00037059"/>
    <w:rsid w:val="00037F46"/>
    <w:rsid w:val="00053851"/>
    <w:rsid w:val="00094DDA"/>
    <w:rsid w:val="00137A4F"/>
    <w:rsid w:val="001B49A3"/>
    <w:rsid w:val="001C62C5"/>
    <w:rsid w:val="002339C2"/>
    <w:rsid w:val="002574AA"/>
    <w:rsid w:val="002C7767"/>
    <w:rsid w:val="00303413"/>
    <w:rsid w:val="003772FA"/>
    <w:rsid w:val="003D19EF"/>
    <w:rsid w:val="00420C75"/>
    <w:rsid w:val="0058312A"/>
    <w:rsid w:val="005E48D5"/>
    <w:rsid w:val="00706BC0"/>
    <w:rsid w:val="007123C3"/>
    <w:rsid w:val="00723A0B"/>
    <w:rsid w:val="00780A7D"/>
    <w:rsid w:val="0081214B"/>
    <w:rsid w:val="00814BC6"/>
    <w:rsid w:val="008A4052"/>
    <w:rsid w:val="00907285"/>
    <w:rsid w:val="00985877"/>
    <w:rsid w:val="00A90219"/>
    <w:rsid w:val="00B34A46"/>
    <w:rsid w:val="00B87AF4"/>
    <w:rsid w:val="00C23264"/>
    <w:rsid w:val="00CC09D8"/>
    <w:rsid w:val="00D12F64"/>
    <w:rsid w:val="00D90D37"/>
    <w:rsid w:val="00E53167"/>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595D802-AC15-42BE-A838-4FE926A0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BalloonText">
    <w:name w:val="Balloon Text"/>
    <w:basedOn w:val="Normal"/>
    <w:link w:val="BalloonTextChar"/>
    <w:rsid w:val="00037059"/>
    <w:rPr>
      <w:rFonts w:ascii="Segoe UI" w:hAnsi="Segoe UI" w:cs="Segoe UI"/>
      <w:sz w:val="18"/>
      <w:szCs w:val="18"/>
    </w:rPr>
  </w:style>
  <w:style w:type="character" w:customStyle="1" w:styleId="BalloonTextChar">
    <w:name w:val="Balloon Text Char"/>
    <w:basedOn w:val="DefaultParagraphFont"/>
    <w:link w:val="BalloonText"/>
    <w:rsid w:val="00037059"/>
    <w:rPr>
      <w:rFonts w:ascii="Segoe UI" w:hAnsi="Segoe UI" w:cs="Segoe UI"/>
      <w:sz w:val="18"/>
      <w:szCs w:val="18"/>
      <w:lang w:val="sv-SE"/>
    </w:rPr>
  </w:style>
  <w:style w:type="paragraph" w:customStyle="1" w:styleId="BodyB">
    <w:name w:val="Body B"/>
    <w:rsid w:val="00037059"/>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numbering" w:customStyle="1" w:styleId="Lettered">
    <w:name w:val="Lettered"/>
    <w:rsid w:val="00037059"/>
    <w:pPr>
      <w:numPr>
        <w:numId w:val="41"/>
      </w:numPr>
    </w:pPr>
  </w:style>
  <w:style w:type="numbering" w:customStyle="1" w:styleId="Numbered">
    <w:name w:val="Numbered"/>
    <w:rsid w:val="00037059"/>
    <w:pPr>
      <w:numPr>
        <w:numId w:val="43"/>
      </w:numPr>
    </w:pPr>
  </w:style>
  <w:style w:type="numbering" w:customStyle="1" w:styleId="Dash">
    <w:name w:val="Dash"/>
    <w:rsid w:val="0003705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35F41BC5.dotm</Template>
  <TotalTime>0</TotalTime>
  <Pages>3</Pages>
  <Words>680</Words>
  <Characters>4695</Characters>
  <Application>Microsoft Office Word</Application>
  <DocSecurity>0</DocSecurity>
  <Lines>109</Lines>
  <Paragraphs>41</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WOJCIECHOWSKA Joanna</dc:creator>
  <cp:keywords/>
  <dc:description/>
  <cp:lastModifiedBy>NIEMINEN-LINDQUIST Jaana</cp:lastModifiedBy>
  <cp:revision>2</cp:revision>
  <cp:lastPrinted>2017-11-10T13:47:00Z</cp:lastPrinted>
  <dcterms:created xsi:type="dcterms:W3CDTF">2017-11-13T15:23:00Z</dcterms:created>
  <dcterms:modified xsi:type="dcterms:W3CDTF">2017-11-13T15:23:00Z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1139128</vt:lpwstr>
  </property>
  <property fmtid="{D5CDD505-2E9C-101B-9397-08002B2CF9AE}" pid="5" name="&lt;Type&gt;">
    <vt:lpwstr>RE</vt:lpwstr>
  </property>
  <property fmtid="{D5CDD505-2E9C-101B-9397-08002B2CF9AE}" pid="6" name="&lt;ModelCod&gt;">
    <vt:lpwstr>\\eiciLUXpr1\pdocep$\DocEP\DOCS\General\RE\RE_Statements.dot(13/10/2017 10:48:29)</vt:lpwstr>
  </property>
  <property fmtid="{D5CDD505-2E9C-101B-9397-08002B2CF9AE}" pid="7" name="&lt;ModelTra&gt;">
    <vt:lpwstr>\\eiciLUXpr1\pdocep$\DocEP\TRANSFIL\PL\RE_Statements.PL(13/10/2017 10:47:09)</vt:lpwstr>
  </property>
  <property fmtid="{D5CDD505-2E9C-101B-9397-08002B2CF9AE}" pid="8" name="&lt;Model&gt;">
    <vt:lpwstr>RE_Statements</vt:lpwstr>
  </property>
  <property fmtid="{D5CDD505-2E9C-101B-9397-08002B2CF9AE}" pid="9" name="FooterPath">
    <vt:lpwstr>RE\1139128SV.docx</vt:lpwstr>
  </property>
  <property fmtid="{D5CDD505-2E9C-101B-9397-08002B2CF9AE}" pid="10" name="PE number">
    <vt:lpwstr>614.230</vt:lpwstr>
  </property>
  <property fmtid="{D5CDD505-2E9C-101B-9397-08002B2CF9AE}" pid="11" name="Bookout">
    <vt:lpwstr>OK - 2017/11/13 16:23</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ies>
</file>