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06BC0" w:rsidRPr="00C77DC9" w:rsidTr="00F26DE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06BC0" w:rsidRPr="00C77DC9" w:rsidRDefault="00F34BAC" w:rsidP="00F26DE8">
            <w:pPr>
              <w:pStyle w:val="EPName"/>
              <w:rPr>
                <w:color w:val="auto"/>
              </w:rPr>
            </w:pPr>
            <w:bookmarkStart w:id="0" w:name="_GoBack"/>
            <w:bookmarkEnd w:id="0"/>
            <w:r w:rsidRPr="00C77DC9">
              <w:rPr>
                <w:color w:val="auto"/>
              </w:rPr>
              <w:t>Parlamentul European</w:t>
            </w:r>
          </w:p>
          <w:p w:rsidR="00706BC0" w:rsidRPr="00C77DC9" w:rsidRDefault="001B5D12" w:rsidP="001B5D1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C77DC9">
              <w:t>2014-2019</w:t>
            </w:r>
          </w:p>
        </w:tc>
        <w:tc>
          <w:tcPr>
            <w:tcW w:w="2268" w:type="dxa"/>
            <w:shd w:val="clear" w:color="auto" w:fill="auto"/>
          </w:tcPr>
          <w:p w:rsidR="00706BC0" w:rsidRPr="00C77DC9" w:rsidRDefault="00611FA2" w:rsidP="00F26DE8">
            <w:pPr>
              <w:pStyle w:val="EPLogo"/>
            </w:pPr>
            <w:r w:rsidRPr="00C77DC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8" o:title="EP logo RGB_Mute"/>
                </v:shape>
              </w:pict>
            </w:r>
          </w:p>
        </w:tc>
      </w:tr>
    </w:tbl>
    <w:p w:rsidR="00E53167" w:rsidRPr="00C77DC9" w:rsidRDefault="00E53167" w:rsidP="00E53167">
      <w:pPr>
        <w:pStyle w:val="LineTop"/>
      </w:pPr>
    </w:p>
    <w:p w:rsidR="00E53167" w:rsidRPr="00C77DC9" w:rsidRDefault="001B5D12" w:rsidP="00E53167">
      <w:pPr>
        <w:pStyle w:val="ZSessionDoc"/>
      </w:pPr>
      <w:r w:rsidRPr="00C77DC9">
        <w:t xml:space="preserve">Document de </w:t>
      </w:r>
      <w:r w:rsidR="00C77DC9" w:rsidRPr="00C77DC9">
        <w:t>ș</w:t>
      </w:r>
      <w:r w:rsidRPr="00C77DC9">
        <w:t>edin</w:t>
      </w:r>
      <w:r w:rsidR="00C77DC9" w:rsidRPr="00C77DC9">
        <w:t>ț</w:t>
      </w:r>
      <w:r w:rsidRPr="00C77DC9">
        <w:t>ă</w:t>
      </w:r>
    </w:p>
    <w:p w:rsidR="00094DDA" w:rsidRPr="00C77DC9" w:rsidRDefault="00094DDA" w:rsidP="00094DDA">
      <w:pPr>
        <w:pStyle w:val="LineBottom"/>
      </w:pPr>
    </w:p>
    <w:p w:rsidR="00094DDA" w:rsidRPr="00C77DC9" w:rsidRDefault="00094DDA" w:rsidP="00094DDA">
      <w:pPr>
        <w:pStyle w:val="RefProc"/>
      </w:pPr>
      <w:r w:rsidRPr="00C77DC9">
        <w:rPr>
          <w:rStyle w:val="HideTWBExt"/>
          <w:b w:val="0"/>
          <w:noProof w:val="0"/>
        </w:rPr>
        <w:t>&lt;NoDocSe&gt;</w:t>
      </w:r>
      <w:r w:rsidRPr="00C77DC9">
        <w:t>B8</w:t>
      </w:r>
      <w:r w:rsidRPr="00C77DC9">
        <w:noBreakHyphen/>
        <w:t>0239/2018</w:t>
      </w:r>
      <w:r w:rsidRPr="00C77DC9">
        <w:rPr>
          <w:rStyle w:val="HideTWBExt"/>
          <w:b w:val="0"/>
          <w:noProof w:val="0"/>
        </w:rPr>
        <w:t>&lt;/NoDocSe&gt;</w:t>
      </w:r>
    </w:p>
    <w:p w:rsidR="00094DDA" w:rsidRPr="00C77DC9" w:rsidRDefault="00094DDA" w:rsidP="00094DDA">
      <w:pPr>
        <w:pStyle w:val="ZDate"/>
      </w:pPr>
      <w:r w:rsidRPr="00C77DC9">
        <w:rPr>
          <w:rStyle w:val="HideTWBExt"/>
          <w:noProof w:val="0"/>
        </w:rPr>
        <w:t>&lt;Date&gt;</w:t>
      </w:r>
      <w:r w:rsidRPr="00C77DC9">
        <w:rPr>
          <w:rStyle w:val="HideTWBInt"/>
        </w:rPr>
        <w:t>{25/05/2018}</w:t>
      </w:r>
      <w:r w:rsidRPr="00C77DC9">
        <w:t>25.5.2018</w:t>
      </w:r>
      <w:r w:rsidRPr="00C77DC9">
        <w:rPr>
          <w:rStyle w:val="HideTWBExt"/>
          <w:noProof w:val="0"/>
        </w:rPr>
        <w:t>&lt;/Date&gt;</w:t>
      </w:r>
    </w:p>
    <w:p w:rsidR="00814BC6" w:rsidRPr="00C77DC9" w:rsidRDefault="00814BC6">
      <w:pPr>
        <w:pStyle w:val="TypeDoc"/>
      </w:pPr>
      <w:r w:rsidRPr="00C77DC9">
        <w:rPr>
          <w:rStyle w:val="HideTWBExt"/>
          <w:b w:val="0"/>
          <w:noProof w:val="0"/>
        </w:rPr>
        <w:t>&lt;TitreType&gt;</w:t>
      </w:r>
      <w:r w:rsidRPr="00C77DC9">
        <w:t>PROPUNERE DE REZOLU</w:t>
      </w:r>
      <w:r w:rsidR="00C77DC9" w:rsidRPr="00C77DC9">
        <w:t>Ț</w:t>
      </w:r>
      <w:r w:rsidRPr="00C77DC9">
        <w:t>IE</w:t>
      </w:r>
      <w:r w:rsidRPr="00C77DC9">
        <w:rPr>
          <w:rStyle w:val="HideTWBExt"/>
          <w:b w:val="0"/>
          <w:noProof w:val="0"/>
        </w:rPr>
        <w:t>&lt;/TitreType&gt;</w:t>
      </w:r>
    </w:p>
    <w:p w:rsidR="00814BC6" w:rsidRPr="00C77DC9" w:rsidRDefault="00814BC6">
      <w:pPr>
        <w:pStyle w:val="Cover12"/>
      </w:pPr>
      <w:r w:rsidRPr="00C77DC9">
        <w:rPr>
          <w:rStyle w:val="HideTWBExt"/>
          <w:noProof w:val="0"/>
        </w:rPr>
        <w:t>&lt;TitreSuite&gt;</w:t>
      </w:r>
      <w:r w:rsidRPr="00C77DC9">
        <w:t>depusă pe baza declara</w:t>
      </w:r>
      <w:r w:rsidR="00C77DC9" w:rsidRPr="00C77DC9">
        <w:t>ț</w:t>
      </w:r>
      <w:r w:rsidRPr="00C77DC9">
        <w:t xml:space="preserve">iilor Consiliului </w:t>
      </w:r>
      <w:r w:rsidR="00C77DC9" w:rsidRPr="00C77DC9">
        <w:t>ș</w:t>
      </w:r>
      <w:r w:rsidRPr="00C77DC9">
        <w:t>i Comisiei</w:t>
      </w:r>
      <w:r w:rsidRPr="00C77DC9">
        <w:rPr>
          <w:rStyle w:val="HideTWBExt"/>
          <w:noProof w:val="0"/>
        </w:rPr>
        <w:t>&lt;/TitreSuite&gt;</w:t>
      </w:r>
    </w:p>
    <w:p w:rsidR="00814BC6" w:rsidRPr="00C77DC9" w:rsidRDefault="00814BC6">
      <w:pPr>
        <w:pStyle w:val="Cover12"/>
      </w:pPr>
      <w:r w:rsidRPr="00C77DC9">
        <w:rPr>
          <w:rStyle w:val="HideTWBExt"/>
          <w:noProof w:val="0"/>
        </w:rPr>
        <w:t>&lt;TitreRecueil&gt;</w:t>
      </w:r>
      <w:r w:rsidRPr="00C77DC9">
        <w:t>în conformitate cu articolul 123 alineatul (2) din Regulamentul de procedură</w:t>
      </w:r>
      <w:r w:rsidRPr="00C77DC9">
        <w:rPr>
          <w:rStyle w:val="HideTWBExt"/>
          <w:noProof w:val="0"/>
        </w:rPr>
        <w:t>&lt;/TitreRecueil&gt;</w:t>
      </w:r>
    </w:p>
    <w:p w:rsidR="00C23264" w:rsidRPr="00C77DC9" w:rsidRDefault="00C23264" w:rsidP="00C23264">
      <w:pPr>
        <w:pStyle w:val="CoverNormal"/>
      </w:pPr>
      <w:r w:rsidRPr="00C77DC9">
        <w:rPr>
          <w:rStyle w:val="HideTWBExt"/>
          <w:noProof w:val="0"/>
        </w:rPr>
        <w:t>&lt;Titre&gt;</w:t>
      </w:r>
      <w:r w:rsidRPr="00C77DC9">
        <w:t xml:space="preserve">referitoare la cadrul financiar multianual 2021-2027 </w:t>
      </w:r>
      <w:r w:rsidR="00C77DC9" w:rsidRPr="00C77DC9">
        <w:t>ș</w:t>
      </w:r>
      <w:r w:rsidRPr="00C77DC9">
        <w:t>i la resursele proprii</w:t>
      </w:r>
      <w:r w:rsidRPr="00C77DC9">
        <w:rPr>
          <w:rStyle w:val="HideTWBExt"/>
          <w:noProof w:val="0"/>
        </w:rPr>
        <w:t>&lt;/Titre&gt;</w:t>
      </w:r>
    </w:p>
    <w:p w:rsidR="00C23264" w:rsidRPr="00C77DC9" w:rsidRDefault="00C23264" w:rsidP="00C23264">
      <w:pPr>
        <w:pStyle w:val="Cover24"/>
      </w:pPr>
      <w:r w:rsidRPr="00C77DC9">
        <w:rPr>
          <w:rStyle w:val="HideTWBExt"/>
          <w:noProof w:val="0"/>
        </w:rPr>
        <w:t>&lt;DocRef&gt;</w:t>
      </w:r>
      <w:r w:rsidRPr="00C77DC9">
        <w:t>(2018/2714(RSP))</w:t>
      </w:r>
      <w:r w:rsidRPr="00C77DC9">
        <w:rPr>
          <w:rStyle w:val="HideTWBExt"/>
          <w:noProof w:val="0"/>
        </w:rPr>
        <w:t>&lt;/DocRef&gt;</w:t>
      </w:r>
    </w:p>
    <w:p w:rsidR="002574AA" w:rsidRPr="00C77DC9" w:rsidRDefault="002574AA" w:rsidP="00AD0198">
      <w:pPr>
        <w:pStyle w:val="CoverBold"/>
        <w:tabs>
          <w:tab w:val="left" w:pos="8055"/>
        </w:tabs>
      </w:pPr>
      <w:r w:rsidRPr="00C77DC9">
        <w:rPr>
          <w:rStyle w:val="HideTWBExt"/>
          <w:b w:val="0"/>
          <w:noProof w:val="0"/>
        </w:rPr>
        <w:t>&lt;RepeatBlock-By&gt;&lt;Depute&gt;</w:t>
      </w:r>
      <w:r w:rsidRPr="00C77DC9">
        <w:t>José Manuel Fernandes</w:t>
      </w:r>
      <w:r w:rsidRPr="00C77DC9">
        <w:rPr>
          <w:rStyle w:val="HideTWBExt"/>
          <w:b w:val="0"/>
          <w:noProof w:val="0"/>
        </w:rPr>
        <w:t>&lt;/Depute&gt;</w:t>
      </w:r>
      <w:r w:rsidRPr="00C77DC9">
        <w:rPr>
          <w:rStyle w:val="HideTWBExt"/>
          <w:b w:val="0"/>
          <w:noProof w:val="0"/>
          <w:vanish w:val="0"/>
          <w:color w:val="auto"/>
        </w:rPr>
        <w:tab/>
      </w:r>
    </w:p>
    <w:p w:rsidR="002574AA" w:rsidRPr="00C77DC9" w:rsidRDefault="002574AA" w:rsidP="002574AA">
      <w:pPr>
        <w:pStyle w:val="CoverNormal"/>
      </w:pPr>
      <w:r w:rsidRPr="00C77DC9">
        <w:rPr>
          <w:rStyle w:val="HideTWBExt"/>
          <w:noProof w:val="0"/>
        </w:rPr>
        <w:t>&lt;Commission&gt;</w:t>
      </w:r>
      <w:r w:rsidRPr="00C77DC9">
        <w:rPr>
          <w:rStyle w:val="HideTWBInt"/>
        </w:rPr>
        <w:t>{PPE}</w:t>
      </w:r>
      <w:r w:rsidRPr="00C77DC9">
        <w:t>în numele Grupului PPE</w:t>
      </w:r>
      <w:r w:rsidRPr="00C77DC9">
        <w:rPr>
          <w:rStyle w:val="HideTWBExt"/>
          <w:noProof w:val="0"/>
        </w:rPr>
        <w:t>&lt;/Commission&gt;</w:t>
      </w:r>
    </w:p>
    <w:p w:rsidR="001B5D12" w:rsidRPr="00C77DC9" w:rsidRDefault="001B5D12" w:rsidP="001B5D12">
      <w:pPr>
        <w:pStyle w:val="CoverBold"/>
      </w:pPr>
      <w:r w:rsidRPr="00C77DC9">
        <w:rPr>
          <w:rStyle w:val="HideTWBExt"/>
          <w:b w:val="0"/>
          <w:noProof w:val="0"/>
        </w:rPr>
        <w:t>&lt;Depute&gt;</w:t>
      </w:r>
      <w:r w:rsidRPr="00C77DC9">
        <w:t>Eider Gardiazabal Rubial</w:t>
      </w:r>
      <w:r w:rsidRPr="00C77DC9">
        <w:rPr>
          <w:rStyle w:val="HideTWBExt"/>
          <w:b w:val="0"/>
          <w:noProof w:val="0"/>
        </w:rPr>
        <w:t>&lt;/Depute&gt;</w:t>
      </w:r>
    </w:p>
    <w:p w:rsidR="001B5D12" w:rsidRPr="00C77DC9" w:rsidRDefault="001B5D12" w:rsidP="001B5D12">
      <w:pPr>
        <w:pStyle w:val="CoverNormal"/>
      </w:pPr>
      <w:r w:rsidRPr="00C77DC9">
        <w:rPr>
          <w:rStyle w:val="HideTWBExt"/>
          <w:noProof w:val="0"/>
        </w:rPr>
        <w:t>&lt;Commission&gt;</w:t>
      </w:r>
      <w:r w:rsidRPr="00C77DC9">
        <w:rPr>
          <w:rStyle w:val="HideTWBInt"/>
        </w:rPr>
        <w:t>{S&amp;D}</w:t>
      </w:r>
      <w:r w:rsidRPr="00C77DC9">
        <w:t>în numele Grupului S&amp;D</w:t>
      </w:r>
      <w:r w:rsidRPr="00C77DC9">
        <w:rPr>
          <w:rStyle w:val="HideTWBExt"/>
          <w:noProof w:val="0"/>
        </w:rPr>
        <w:t>&lt;/Commission&gt;</w:t>
      </w:r>
    </w:p>
    <w:p w:rsidR="001B5D12" w:rsidRPr="00C77DC9" w:rsidRDefault="001B5D12" w:rsidP="001B5D12">
      <w:pPr>
        <w:pStyle w:val="CoverBold"/>
      </w:pPr>
      <w:r w:rsidRPr="00C77DC9">
        <w:rPr>
          <w:rStyle w:val="HideTWBExt"/>
          <w:b w:val="0"/>
          <w:noProof w:val="0"/>
        </w:rPr>
        <w:t>&lt;Depute&gt;</w:t>
      </w:r>
      <w:r w:rsidRPr="00C77DC9">
        <w:t>Gérard Deprez</w:t>
      </w:r>
      <w:r w:rsidRPr="00C77DC9">
        <w:rPr>
          <w:rStyle w:val="HideTWBExt"/>
          <w:b w:val="0"/>
          <w:noProof w:val="0"/>
        </w:rPr>
        <w:t>&lt;/Depute&gt;</w:t>
      </w:r>
    </w:p>
    <w:p w:rsidR="001B5D12" w:rsidRPr="00C77DC9" w:rsidRDefault="001B5D12" w:rsidP="001B5D12">
      <w:pPr>
        <w:pStyle w:val="CoverNormal"/>
      </w:pPr>
      <w:r w:rsidRPr="00C77DC9">
        <w:rPr>
          <w:rStyle w:val="HideTWBExt"/>
          <w:noProof w:val="0"/>
        </w:rPr>
        <w:t>&lt;Commission&gt;</w:t>
      </w:r>
      <w:r w:rsidRPr="00C77DC9">
        <w:rPr>
          <w:rStyle w:val="HideTWBInt"/>
        </w:rPr>
        <w:t>{ALDE}</w:t>
      </w:r>
      <w:r w:rsidRPr="00C77DC9">
        <w:t>în numele Grupului ALDE</w:t>
      </w:r>
      <w:r w:rsidRPr="00C77DC9">
        <w:rPr>
          <w:rStyle w:val="HideTWBExt"/>
          <w:noProof w:val="0"/>
        </w:rPr>
        <w:t>&lt;/Commission&gt;</w:t>
      </w:r>
    </w:p>
    <w:p w:rsidR="001B5D12" w:rsidRPr="00C77DC9" w:rsidRDefault="001B5D12" w:rsidP="001B5D12">
      <w:pPr>
        <w:pStyle w:val="CoverBold"/>
      </w:pPr>
      <w:r w:rsidRPr="00C77DC9">
        <w:rPr>
          <w:rStyle w:val="HideTWBExt"/>
          <w:b w:val="0"/>
          <w:noProof w:val="0"/>
        </w:rPr>
        <w:t>&lt;Depute&gt;</w:t>
      </w:r>
      <w:r w:rsidRPr="00C77DC9">
        <w:t>Jordi Solé</w:t>
      </w:r>
      <w:r w:rsidRPr="00C77DC9">
        <w:rPr>
          <w:rStyle w:val="HideTWBExt"/>
          <w:b w:val="0"/>
          <w:noProof w:val="0"/>
        </w:rPr>
        <w:t>&lt;/Depute&gt;</w:t>
      </w:r>
    </w:p>
    <w:p w:rsidR="001B5D12" w:rsidRPr="00C77DC9" w:rsidRDefault="001B5D12" w:rsidP="001B5D12">
      <w:pPr>
        <w:pStyle w:val="CoverNormal"/>
      </w:pPr>
      <w:r w:rsidRPr="00C77DC9">
        <w:rPr>
          <w:rStyle w:val="HideTWBExt"/>
          <w:noProof w:val="0"/>
        </w:rPr>
        <w:t>&lt;Commission&gt;</w:t>
      </w:r>
      <w:r w:rsidRPr="00C77DC9">
        <w:rPr>
          <w:rStyle w:val="HideTWBInt"/>
        </w:rPr>
        <w:t>{Verts/ALE}</w:t>
      </w:r>
      <w:r w:rsidRPr="00C77DC9">
        <w:t>în numele Grupului Verts/ALE</w:t>
      </w:r>
      <w:r w:rsidRPr="00C77DC9">
        <w:rPr>
          <w:rStyle w:val="HideTWBExt"/>
          <w:noProof w:val="0"/>
        </w:rPr>
        <w:t>&lt;/Commission&gt;</w:t>
      </w:r>
    </w:p>
    <w:p w:rsidR="002574AA" w:rsidRPr="00C77DC9" w:rsidRDefault="002574AA" w:rsidP="002574AA">
      <w:pPr>
        <w:pStyle w:val="CoverNormal"/>
      </w:pPr>
      <w:r w:rsidRPr="00C77DC9">
        <w:rPr>
          <w:rStyle w:val="HideTWBExt"/>
          <w:noProof w:val="0"/>
        </w:rPr>
        <w:t>&lt;/RepeatBlock-By&gt;</w:t>
      </w:r>
    </w:p>
    <w:p w:rsidR="00814BC6" w:rsidRPr="00C77DC9" w:rsidRDefault="00814BC6">
      <w:pPr>
        <w:pStyle w:val="Normal12Bold"/>
      </w:pPr>
      <w:r w:rsidRPr="00C77DC9">
        <w:br w:type="page"/>
      </w:r>
      <w:r w:rsidRPr="00C77DC9">
        <w:lastRenderedPageBreak/>
        <w:t>B8</w:t>
      </w:r>
      <w:r w:rsidRPr="00C77DC9">
        <w:noBreakHyphen/>
        <w:t>0239/2018</w:t>
      </w:r>
    </w:p>
    <w:p w:rsidR="00C23264" w:rsidRPr="00C77DC9" w:rsidRDefault="00F34BAC" w:rsidP="00C23264">
      <w:pPr>
        <w:pStyle w:val="NormalBold"/>
      </w:pPr>
      <w:r w:rsidRPr="00C77DC9">
        <w:t>Rezolu</w:t>
      </w:r>
      <w:r w:rsidR="00C77DC9" w:rsidRPr="00C77DC9">
        <w:t>ț</w:t>
      </w:r>
      <w:r w:rsidRPr="00C77DC9">
        <w:t xml:space="preserve">ia Parlamentului European referitoare la cadrul financiar multianual 2021-2027 </w:t>
      </w:r>
      <w:r w:rsidR="00C77DC9" w:rsidRPr="00C77DC9">
        <w:t>ș</w:t>
      </w:r>
      <w:r w:rsidRPr="00C77DC9">
        <w:t>i la resursele proprii</w:t>
      </w:r>
    </w:p>
    <w:p w:rsidR="00C23264" w:rsidRPr="00C77DC9" w:rsidRDefault="00F34BAC" w:rsidP="00C23264">
      <w:pPr>
        <w:pStyle w:val="Normal24Bold"/>
      </w:pPr>
      <w:r w:rsidRPr="00C77DC9">
        <w:t>(2018/2714(RSP))</w:t>
      </w:r>
    </w:p>
    <w:p w:rsidR="00814BC6" w:rsidRPr="00C77DC9" w:rsidRDefault="00F34BAC">
      <w:pPr>
        <w:pStyle w:val="Normal12"/>
      </w:pPr>
      <w:r w:rsidRPr="00C77DC9">
        <w:rPr>
          <w:i/>
        </w:rPr>
        <w:t>Parlamentul European</w:t>
      </w:r>
      <w:r w:rsidRPr="00C77DC9">
        <w:t>,</w:t>
      </w:r>
    </w:p>
    <w:p w:rsidR="001B5D12" w:rsidRPr="00C77DC9" w:rsidRDefault="001B5D12" w:rsidP="001B5D12">
      <w:pPr>
        <w:pStyle w:val="Normal12Hanging"/>
      </w:pPr>
      <w:r w:rsidRPr="00C77DC9">
        <w:t>–</w:t>
      </w:r>
      <w:r w:rsidRPr="00C77DC9">
        <w:tab/>
        <w:t xml:space="preserve">având în vedere articolele 311, 312 </w:t>
      </w:r>
      <w:r w:rsidR="00C77DC9" w:rsidRPr="00C77DC9">
        <w:t>ș</w:t>
      </w:r>
      <w:r w:rsidRPr="00C77DC9">
        <w:t>i 323 din Tratatul privind func</w:t>
      </w:r>
      <w:r w:rsidR="00C77DC9" w:rsidRPr="00C77DC9">
        <w:t>ț</w:t>
      </w:r>
      <w:r w:rsidRPr="00C77DC9">
        <w:t>ionarea Uniunii Europene (TFUE),</w:t>
      </w:r>
    </w:p>
    <w:p w:rsidR="001B5D12" w:rsidRPr="00C77DC9" w:rsidRDefault="001B5D12" w:rsidP="001B5D12">
      <w:pPr>
        <w:pStyle w:val="Normal12Hanging"/>
      </w:pPr>
      <w:r w:rsidRPr="00C77DC9">
        <w:t>–</w:t>
      </w:r>
      <w:r w:rsidRPr="00C77DC9">
        <w:tab/>
        <w:t xml:space="preserve">având în vedere Comunicarea Comisiei din 2 mai 2018, intitulată „Un buget modern pentru o Uniune care protejează, capacitează </w:t>
      </w:r>
      <w:r w:rsidR="00C77DC9" w:rsidRPr="00C77DC9">
        <w:t>ș</w:t>
      </w:r>
      <w:r w:rsidRPr="00C77DC9">
        <w:t>i apără – Cadrul financiar multianual pentru perioada 2021-2027” (COM(2018)0321),</w:t>
      </w:r>
    </w:p>
    <w:p w:rsidR="001B5D12" w:rsidRPr="00C77DC9" w:rsidRDefault="001B5D12" w:rsidP="001B5D12">
      <w:pPr>
        <w:pStyle w:val="Normal12Hanging"/>
      </w:pPr>
      <w:r w:rsidRPr="00C77DC9">
        <w:t>–</w:t>
      </w:r>
      <w:r w:rsidRPr="00C77DC9">
        <w:tab/>
        <w:t xml:space="preserve">având în vedere propunerile Comisiei din 2 mai 2018 privind cadrul financiar multianual (CFM) pentru anii 2021-2027 </w:t>
      </w:r>
      <w:r w:rsidR="00C77DC9" w:rsidRPr="00C77DC9">
        <w:t>ș</w:t>
      </w:r>
      <w:r w:rsidRPr="00C77DC9">
        <w:t>i sistemul de resurse proprii al Uniunii Europene,</w:t>
      </w:r>
    </w:p>
    <w:p w:rsidR="001B5D12" w:rsidRPr="00C77DC9" w:rsidRDefault="001B5D12" w:rsidP="001B5D12">
      <w:pPr>
        <w:pStyle w:val="Normal12Hanging"/>
      </w:pPr>
      <w:r w:rsidRPr="00C77DC9">
        <w:t>–</w:t>
      </w:r>
      <w:r w:rsidRPr="00C77DC9">
        <w:tab/>
        <w:t xml:space="preserve">având în vedere propunerea Comisiei din 2 mai 2018 de regulament al Parlamentului European </w:t>
      </w:r>
      <w:r w:rsidR="00C77DC9" w:rsidRPr="00C77DC9">
        <w:t>ș</w:t>
      </w:r>
      <w:r w:rsidRPr="00C77DC9">
        <w:t>i al Consiliului privind protec</w:t>
      </w:r>
      <w:r w:rsidR="00C77DC9" w:rsidRPr="00C77DC9">
        <w:t>ț</w:t>
      </w:r>
      <w:r w:rsidRPr="00C77DC9">
        <w:t>ia bugetului Uniunii în cazul unor deficien</w:t>
      </w:r>
      <w:r w:rsidR="00C77DC9" w:rsidRPr="00C77DC9">
        <w:t>ț</w:t>
      </w:r>
      <w:r w:rsidRPr="00C77DC9">
        <w:t>e generalizate în ceea ce prive</w:t>
      </w:r>
      <w:r w:rsidR="00C77DC9" w:rsidRPr="00C77DC9">
        <w:t>ș</w:t>
      </w:r>
      <w:r w:rsidRPr="00C77DC9">
        <w:t>te statul de drept în statele membre (COM(2018)0324),</w:t>
      </w:r>
    </w:p>
    <w:p w:rsidR="001B5D12" w:rsidRPr="00C77DC9" w:rsidRDefault="001B5D12" w:rsidP="001B5D12">
      <w:pPr>
        <w:pStyle w:val="Normal12Hanging"/>
      </w:pPr>
      <w:r w:rsidRPr="00C77DC9">
        <w:t>–</w:t>
      </w:r>
      <w:r w:rsidRPr="00C77DC9">
        <w:tab/>
        <w:t>având în vedere Rezolu</w:t>
      </w:r>
      <w:r w:rsidR="00C77DC9" w:rsidRPr="00C77DC9">
        <w:t>ț</w:t>
      </w:r>
      <w:r w:rsidRPr="00C77DC9">
        <w:t>iile sale din 14 martie 2018 referitoare la următorul CFM: pregătirea pozi</w:t>
      </w:r>
      <w:r w:rsidR="00C77DC9" w:rsidRPr="00C77DC9">
        <w:t>ț</w:t>
      </w:r>
      <w:r w:rsidRPr="00C77DC9">
        <w:t>iei Parlamentului privind CFM post-2020</w:t>
      </w:r>
      <w:r w:rsidR="00C209B7" w:rsidRPr="00C77DC9">
        <w:rPr>
          <w:rStyle w:val="FootnoteReference"/>
        </w:rPr>
        <w:footnoteReference w:id="1"/>
      </w:r>
      <w:r w:rsidRPr="00C77DC9">
        <w:t xml:space="preserve"> </w:t>
      </w:r>
      <w:r w:rsidR="00C77DC9" w:rsidRPr="00C77DC9">
        <w:t>ș</w:t>
      </w:r>
      <w:r w:rsidRPr="00C77DC9">
        <w:t>i la reforma sistemului de resurse proprii al Uniunii Europene</w:t>
      </w:r>
      <w:r w:rsidR="00C209B7" w:rsidRPr="00C77DC9">
        <w:rPr>
          <w:rStyle w:val="FootnoteReference"/>
        </w:rPr>
        <w:footnoteReference w:id="2"/>
      </w:r>
      <w:r w:rsidRPr="00C77DC9">
        <w:t>,</w:t>
      </w:r>
    </w:p>
    <w:p w:rsidR="001B5D12" w:rsidRPr="00C77DC9" w:rsidRDefault="001B5D12" w:rsidP="001B5D12">
      <w:pPr>
        <w:pStyle w:val="Normal12Hanging"/>
      </w:pPr>
      <w:r w:rsidRPr="00C77DC9">
        <w:t>–</w:t>
      </w:r>
      <w:r w:rsidRPr="00C77DC9">
        <w:tab/>
        <w:t>având în vedere declara</w:t>
      </w:r>
      <w:r w:rsidR="00C77DC9" w:rsidRPr="00C77DC9">
        <w:t>ț</w:t>
      </w:r>
      <w:r w:rsidRPr="00C77DC9">
        <w:t xml:space="preserve">iile Consiliului </w:t>
      </w:r>
      <w:r w:rsidR="00C77DC9" w:rsidRPr="00C77DC9">
        <w:t>ș</w:t>
      </w:r>
      <w:r w:rsidRPr="00C77DC9">
        <w:t xml:space="preserve">i ale Comisiei din 29 mai 2018 referitoare la cadrul financiar multianual 2021-2027 </w:t>
      </w:r>
      <w:r w:rsidR="00C77DC9" w:rsidRPr="00C77DC9">
        <w:t>ș</w:t>
      </w:r>
      <w:r w:rsidRPr="00C77DC9">
        <w:t>i la resursele proprii,</w:t>
      </w:r>
    </w:p>
    <w:p w:rsidR="001B5D12" w:rsidRPr="00C77DC9" w:rsidRDefault="001B5D12" w:rsidP="001B5D12">
      <w:pPr>
        <w:pStyle w:val="Normal12Hanging"/>
      </w:pPr>
      <w:r w:rsidRPr="00C77DC9">
        <w:t>–</w:t>
      </w:r>
      <w:r w:rsidRPr="00C77DC9">
        <w:tab/>
        <w:t>având în vedere articolul 123 alineatul (2) din Regulamentul său de procedură,</w:t>
      </w:r>
    </w:p>
    <w:p w:rsidR="001B5D12" w:rsidRPr="00C77DC9" w:rsidRDefault="001B5D12" w:rsidP="001B5D12">
      <w:pPr>
        <w:pStyle w:val="Normal12Hanging"/>
      </w:pPr>
      <w:r w:rsidRPr="00C77DC9">
        <w:t>1.</w:t>
      </w:r>
      <w:r w:rsidRPr="00C77DC9">
        <w:tab/>
        <w:t xml:space="preserve">ia act de propunerile Comisiei din 2 mai 2018 privind cadrul financiar multianual 2021-2027 </w:t>
      </w:r>
      <w:r w:rsidR="00C77DC9" w:rsidRPr="00C77DC9">
        <w:t>ș</w:t>
      </w:r>
      <w:r w:rsidRPr="00C77DC9">
        <w:t>i resursele proprii ale UE, care au pus bazele negocierilor viitoare; reaminte</w:t>
      </w:r>
      <w:r w:rsidR="00C77DC9" w:rsidRPr="00C77DC9">
        <w:t>ș</w:t>
      </w:r>
      <w:r w:rsidRPr="00C77DC9">
        <w:t>te că pozi</w:t>
      </w:r>
      <w:r w:rsidR="00C77DC9" w:rsidRPr="00C77DC9">
        <w:t>ț</w:t>
      </w:r>
      <w:r w:rsidRPr="00C77DC9">
        <w:t>ia Parlamentului este stabilită în mod clar în cele două rezolu</w:t>
      </w:r>
      <w:r w:rsidR="00C77DC9" w:rsidRPr="00C77DC9">
        <w:t>ț</w:t>
      </w:r>
      <w:r w:rsidRPr="00C77DC9">
        <w:t>ii adoptate cu o largă majoritate la 14 martie 2018, care instituie mandatul acordat Parlamentului pentru negocieri;</w:t>
      </w:r>
    </w:p>
    <w:p w:rsidR="001B5D12" w:rsidRPr="00C77DC9" w:rsidRDefault="001B5D12" w:rsidP="001B5D12">
      <w:pPr>
        <w:pStyle w:val="Normal12Hanging"/>
      </w:pPr>
      <w:r w:rsidRPr="00C77DC9">
        <w:t>2.</w:t>
      </w:r>
      <w:r w:rsidRPr="00C77DC9">
        <w:tab/>
        <w:t xml:space="preserve">îndeamnă Consiliul să garanteze faptul că viitorul cadru financiar multianual reflectă o viziune clară </w:t>
      </w:r>
      <w:r w:rsidR="00C77DC9" w:rsidRPr="00C77DC9">
        <w:t>ș</w:t>
      </w:r>
      <w:r w:rsidRPr="00C77DC9">
        <w:t xml:space="preserve">i pozitivă asupra viitorului Uniunii </w:t>
      </w:r>
      <w:r w:rsidR="00C77DC9" w:rsidRPr="00C77DC9">
        <w:t>ș</w:t>
      </w:r>
      <w:r w:rsidRPr="00C77DC9">
        <w:t>i corespunde necesită</w:t>
      </w:r>
      <w:r w:rsidR="00C77DC9" w:rsidRPr="00C77DC9">
        <w:t>ț</w:t>
      </w:r>
      <w:r w:rsidRPr="00C77DC9">
        <w:t xml:space="preserve">ilor, preocupărilor </w:t>
      </w:r>
      <w:r w:rsidR="00C77DC9" w:rsidRPr="00C77DC9">
        <w:t>ș</w:t>
      </w:r>
      <w:r w:rsidRPr="00C77DC9">
        <w:t>i a</w:t>
      </w:r>
      <w:r w:rsidR="00C77DC9" w:rsidRPr="00C77DC9">
        <w:t>ș</w:t>
      </w:r>
      <w:r w:rsidRPr="00C77DC9">
        <w:t>teptărilor cetă</w:t>
      </w:r>
      <w:r w:rsidR="00C77DC9" w:rsidRPr="00C77DC9">
        <w:t>ț</w:t>
      </w:r>
      <w:r w:rsidRPr="00C77DC9">
        <w:t xml:space="preserve">enilor UE; subliniază că decizia privind CFM va trebui să ofere Uniunii Europene mijloacele financiare necesare pentru a răspunde provocărilor importante </w:t>
      </w:r>
      <w:r w:rsidR="00C77DC9" w:rsidRPr="00C77DC9">
        <w:t>ș</w:t>
      </w:r>
      <w:r w:rsidRPr="00C77DC9">
        <w:t>i pentru a-</w:t>
      </w:r>
      <w:r w:rsidR="00C77DC9" w:rsidRPr="00C77DC9">
        <w:t>ș</w:t>
      </w:r>
      <w:r w:rsidRPr="00C77DC9">
        <w:t>i realiza priorită</w:t>
      </w:r>
      <w:r w:rsidR="00C77DC9" w:rsidRPr="00C77DC9">
        <w:t>ț</w:t>
      </w:r>
      <w:r w:rsidRPr="00C77DC9">
        <w:t xml:space="preserve">ile </w:t>
      </w:r>
      <w:r w:rsidR="00C77DC9" w:rsidRPr="00C77DC9">
        <w:t>ș</w:t>
      </w:r>
      <w:r w:rsidRPr="00C77DC9">
        <w:t xml:space="preserve">i obiectivele politice stabilite pentru următorii </w:t>
      </w:r>
      <w:r w:rsidR="00C77DC9" w:rsidRPr="00C77DC9">
        <w:t>ș</w:t>
      </w:r>
      <w:r w:rsidRPr="00C77DC9">
        <w:t>apte ani; se a</w:t>
      </w:r>
      <w:r w:rsidR="00C77DC9" w:rsidRPr="00C77DC9">
        <w:t>ș</w:t>
      </w:r>
      <w:r w:rsidRPr="00C77DC9">
        <w:t>teaptă, prin urmare, ca Consiliul să ac</w:t>
      </w:r>
      <w:r w:rsidR="00C77DC9" w:rsidRPr="00C77DC9">
        <w:t>ț</w:t>
      </w:r>
      <w:r w:rsidRPr="00C77DC9">
        <w:t>ioneze în concordan</w:t>
      </w:r>
      <w:r w:rsidR="00C77DC9" w:rsidRPr="00C77DC9">
        <w:t>ț</w:t>
      </w:r>
      <w:r w:rsidRPr="00C77DC9">
        <w:t xml:space="preserve">ă cu angajamentele politice pe care </w:t>
      </w:r>
      <w:r w:rsidR="00C77DC9" w:rsidRPr="00C77DC9">
        <w:t>ș</w:t>
      </w:r>
      <w:r w:rsidRPr="00C77DC9">
        <w:t xml:space="preserve">i le-a asumat deja </w:t>
      </w:r>
      <w:r w:rsidR="00C77DC9" w:rsidRPr="00C77DC9">
        <w:t>ș</w:t>
      </w:r>
      <w:r w:rsidRPr="00C77DC9">
        <w:t xml:space="preserve">i să dea dovadă de curaj în abordarea sa; este preocupat de faptul că propunerea Comisiei diminuează sprijinul de care beneficiază principalele politici de solidaritate ale UE </w:t>
      </w:r>
      <w:r w:rsidR="00C77DC9" w:rsidRPr="00C77DC9">
        <w:t>ș</w:t>
      </w:r>
      <w:r w:rsidRPr="00C77DC9">
        <w:t>i inten</w:t>
      </w:r>
      <w:r w:rsidR="00C77DC9" w:rsidRPr="00C77DC9">
        <w:t>ț</w:t>
      </w:r>
      <w:r w:rsidRPr="00C77DC9">
        <w:t xml:space="preserve">ionează să negocieze cu </w:t>
      </w:r>
      <w:r w:rsidRPr="00C77DC9">
        <w:lastRenderedPageBreak/>
        <w:t>Consiliul cu scopul de a elabora un CFM mai ambi</w:t>
      </w:r>
      <w:r w:rsidR="00C77DC9" w:rsidRPr="00C77DC9">
        <w:t>ț</w:t>
      </w:r>
      <w:r w:rsidRPr="00C77DC9">
        <w:t>ios, în beneficiul cetă</w:t>
      </w:r>
      <w:r w:rsidR="00C77DC9" w:rsidRPr="00C77DC9">
        <w:t>ț</w:t>
      </w:r>
      <w:r w:rsidRPr="00C77DC9">
        <w:t>enilor;</w:t>
      </w:r>
    </w:p>
    <w:p w:rsidR="001B5D12" w:rsidRPr="00C77DC9" w:rsidRDefault="001B5D12" w:rsidP="001B5D12">
      <w:pPr>
        <w:pStyle w:val="Normal12Hanging"/>
      </w:pPr>
      <w:r w:rsidRPr="00C77DC9">
        <w:t>3.</w:t>
      </w:r>
      <w:r w:rsidRPr="00C77DC9">
        <w:tab/>
        <w:t>î</w:t>
      </w:r>
      <w:r w:rsidR="00C77DC9" w:rsidRPr="00C77DC9">
        <w:t>ș</w:t>
      </w:r>
      <w:r w:rsidRPr="00C77DC9">
        <w:t xml:space="preserve">i exprimă surpriza </w:t>
      </w:r>
      <w:r w:rsidR="00C77DC9" w:rsidRPr="00C77DC9">
        <w:t>ș</w:t>
      </w:r>
      <w:r w:rsidRPr="00C77DC9">
        <w:t xml:space="preserve">i îngrijorarea cu privire la faptul că datele comparative care au fost publicate în mod oficial de către Comisie, la 18 mai 2018, ca urmare a solicitării ferme a Parlamentului, ilustrează faptul că modul în care cifrele în cauză au fost prezentate </w:t>
      </w:r>
      <w:r w:rsidR="00C77DC9" w:rsidRPr="00C77DC9">
        <w:t>ș</w:t>
      </w:r>
      <w:r w:rsidRPr="00C77DC9">
        <w:t>i comunicate prezintă anumite discrepan</w:t>
      </w:r>
      <w:r w:rsidR="00C77DC9" w:rsidRPr="00C77DC9">
        <w:t>ț</w:t>
      </w:r>
      <w:r w:rsidRPr="00C77DC9">
        <w:t>e în raport cu propunerile referitoare la CFM; remarcă, în special, faptul că majorările pentru mai multe programe ale UE sunt, în realitate, considerabil mai scăzute, în timp ce reducerile pentru alte programe depă</w:t>
      </w:r>
      <w:r w:rsidR="00C77DC9" w:rsidRPr="00C77DC9">
        <w:t>ș</w:t>
      </w:r>
      <w:r w:rsidRPr="00C77DC9">
        <w:t>esc în mod semnificativ valorile care au fost ini</w:t>
      </w:r>
      <w:r w:rsidR="00C77DC9" w:rsidRPr="00C77DC9">
        <w:t>ț</w:t>
      </w:r>
      <w:r w:rsidRPr="00C77DC9">
        <w:t xml:space="preserve">ial prezentate de Comisie; subliniază faptul că este necesar ca Parlamentul European </w:t>
      </w:r>
      <w:r w:rsidR="00C77DC9" w:rsidRPr="00C77DC9">
        <w:t>ș</w:t>
      </w:r>
      <w:r w:rsidRPr="00C77DC9">
        <w:t>i Consiliul să convină de la bun început asupra unei metodologii clare în ceea ce prive</w:t>
      </w:r>
      <w:r w:rsidR="00C77DC9" w:rsidRPr="00C77DC9">
        <w:t>ș</w:t>
      </w:r>
      <w:r w:rsidRPr="00C77DC9">
        <w:t>te cifrele; declară că, în scopul elaborării prezentei rezolu</w:t>
      </w:r>
      <w:r w:rsidR="00C77DC9" w:rsidRPr="00C77DC9">
        <w:t>ț</w:t>
      </w:r>
      <w:r w:rsidRPr="00C77DC9">
        <w:t>ii, inten</w:t>
      </w:r>
      <w:r w:rsidR="00C77DC9" w:rsidRPr="00C77DC9">
        <w:t>ț</w:t>
      </w:r>
      <w:r w:rsidRPr="00C77DC9">
        <w:t>ionează să utilizeze propriile calcule, pe baza unor pre</w:t>
      </w:r>
      <w:r w:rsidR="00C77DC9" w:rsidRPr="00C77DC9">
        <w:t>ț</w:t>
      </w:r>
      <w:r w:rsidRPr="00C77DC9">
        <w:t xml:space="preserve">uri constante </w:t>
      </w:r>
      <w:r w:rsidR="00C77DC9" w:rsidRPr="00C77DC9">
        <w:t>ș</w:t>
      </w:r>
      <w:r w:rsidRPr="00C77DC9">
        <w:t xml:space="preserve">i </w:t>
      </w:r>
      <w:r w:rsidR="00C77DC9" w:rsidRPr="00C77DC9">
        <w:t>ț</w:t>
      </w:r>
      <w:r w:rsidRPr="00C77DC9">
        <w:t>inând seama de retragerea Regatului Unit;</w:t>
      </w:r>
    </w:p>
    <w:p w:rsidR="001B5D12" w:rsidRPr="00C77DC9" w:rsidRDefault="001B5D12" w:rsidP="001B5D12">
      <w:pPr>
        <w:pStyle w:val="Normal12Hanging"/>
      </w:pPr>
      <w:r w:rsidRPr="00C77DC9">
        <w:t>4.</w:t>
      </w:r>
      <w:r w:rsidRPr="00C77DC9">
        <w:tab/>
        <w:t>î</w:t>
      </w:r>
      <w:r w:rsidR="00C77DC9" w:rsidRPr="00C77DC9">
        <w:t>ș</w:t>
      </w:r>
      <w:r w:rsidRPr="00C77DC9">
        <w:t>i exprimă dezamăgirea cu privire la nivelul global al finan</w:t>
      </w:r>
      <w:r w:rsidR="00C77DC9" w:rsidRPr="00C77DC9">
        <w:t>ț</w:t>
      </w:r>
      <w:r w:rsidRPr="00C77DC9">
        <w:t xml:space="preserve">ării propuse pentru următorul CFM, care se ridică la 1 100 de miliarde EUR, ceea ce reprezintă 1,08 % din VNB-ul UE-27, după scăderea Fondului european de dezvoltare (a cărui valoare este în prezent de 0,03 % din VNB-ul UE </w:t>
      </w:r>
      <w:r w:rsidR="00C77DC9" w:rsidRPr="00C77DC9">
        <w:t>ș</w:t>
      </w:r>
      <w:r w:rsidRPr="00C77DC9">
        <w:t>i se calculează în afara bugetului UE); subliniază că acest nivel global al finan</w:t>
      </w:r>
      <w:r w:rsidR="00C77DC9" w:rsidRPr="00C77DC9">
        <w:t>ț</w:t>
      </w:r>
      <w:r w:rsidRPr="00C77DC9">
        <w:t>ării, ca procent din VNB, este mai scăzut în termeni reali decât nivelul actualului CFM, în pofida faptului că sunt necesare finan</w:t>
      </w:r>
      <w:r w:rsidR="00C77DC9" w:rsidRPr="00C77DC9">
        <w:t>ț</w:t>
      </w:r>
      <w:r w:rsidRPr="00C77DC9">
        <w:t>ări suplimentare pentru noile priorită</w:t>
      </w:r>
      <w:r w:rsidR="00C77DC9" w:rsidRPr="00C77DC9">
        <w:t>ț</w:t>
      </w:r>
      <w:r w:rsidRPr="00C77DC9">
        <w:t xml:space="preserve">i politice </w:t>
      </w:r>
      <w:r w:rsidR="00C77DC9" w:rsidRPr="00C77DC9">
        <w:t>ș</w:t>
      </w:r>
      <w:r w:rsidRPr="00C77DC9">
        <w:t>i provocările emergente cu care se confruntă Uniunea Europeană; reaminte</w:t>
      </w:r>
      <w:r w:rsidR="00C77DC9" w:rsidRPr="00C77DC9">
        <w:t>ș</w:t>
      </w:r>
      <w:r w:rsidRPr="00C77DC9">
        <w:t>te că valoarea reală a actualului CFM este mai mică decât cea a predecesorului său (CFM 2007-2013), acesta dovedindu-se deja a fi insuficient pentru a finan</w:t>
      </w:r>
      <w:r w:rsidR="00C77DC9" w:rsidRPr="00C77DC9">
        <w:t>ț</w:t>
      </w:r>
      <w:r w:rsidRPr="00C77DC9">
        <w:t>a nevoile presante ale Uniunii;</w:t>
      </w:r>
    </w:p>
    <w:p w:rsidR="001B5D12" w:rsidRPr="00C77DC9" w:rsidRDefault="001B5D12" w:rsidP="001B5D12">
      <w:pPr>
        <w:pStyle w:val="Normal12Hanging"/>
      </w:pPr>
      <w:r w:rsidRPr="00C77DC9">
        <w:t>5.</w:t>
      </w:r>
      <w:r w:rsidRPr="00C77DC9">
        <w:tab/>
        <w:t>regretă faptul că această propunere are drept efect direct o reducere a nivelului de finan</w:t>
      </w:r>
      <w:r w:rsidR="00C77DC9" w:rsidRPr="00C77DC9">
        <w:t>ț</w:t>
      </w:r>
      <w:r w:rsidRPr="00C77DC9">
        <w:t xml:space="preserve">are a politicii agricole comune (PAC) </w:t>
      </w:r>
      <w:r w:rsidR="00C77DC9" w:rsidRPr="00C77DC9">
        <w:t>ș</w:t>
      </w:r>
      <w:r w:rsidRPr="00C77DC9">
        <w:t xml:space="preserve">i a politicii de coeziune, cu 15 % </w:t>
      </w:r>
      <w:r w:rsidR="00C77DC9" w:rsidRPr="00C77DC9">
        <w:t>ș</w:t>
      </w:r>
      <w:r w:rsidRPr="00C77DC9">
        <w:t xml:space="preserve">i, respectiv, cu 10 %; se opune îndeosebi oricăror reduceri radicale care vor avea un impact negativ asupra naturii </w:t>
      </w:r>
      <w:r w:rsidR="00C77DC9" w:rsidRPr="00C77DC9">
        <w:t>ș</w:t>
      </w:r>
      <w:r w:rsidRPr="00C77DC9">
        <w:t>i obiectivelor acestor politici, cum ar fi reducerile propuse pentru Fondul de coeziune (cu 45 %) sau pentru Fondul european agricol pentru dezvoltare rurală (cu peste 25 %); pune sub semnul întrebării, în acest context, propunerea de a reduce cu 6 % finan</w:t>
      </w:r>
      <w:r w:rsidR="00C77DC9" w:rsidRPr="00C77DC9">
        <w:t>ț</w:t>
      </w:r>
      <w:r w:rsidRPr="00C77DC9">
        <w:t xml:space="preserve">area acordată Fondului social european, în ciuda domeniului de aplicare extins al acestuia </w:t>
      </w:r>
      <w:r w:rsidR="00C77DC9" w:rsidRPr="00C77DC9">
        <w:t>ș</w:t>
      </w:r>
      <w:r w:rsidRPr="00C77DC9">
        <w:t>i a integrării ini</w:t>
      </w:r>
      <w:r w:rsidR="00C77DC9" w:rsidRPr="00C77DC9">
        <w:t>ț</w:t>
      </w:r>
      <w:r w:rsidRPr="00C77DC9">
        <w:t>iativei „Locuri de muncă pentru tineri” în domeniul său de aplicare;</w:t>
      </w:r>
    </w:p>
    <w:p w:rsidR="001B5D12" w:rsidRPr="00C77DC9" w:rsidRDefault="001B5D12" w:rsidP="001B5D12">
      <w:pPr>
        <w:pStyle w:val="Normal12Hanging"/>
      </w:pPr>
      <w:r w:rsidRPr="00C77DC9">
        <w:t>6.</w:t>
      </w:r>
      <w:r w:rsidRPr="00C77DC9">
        <w:tab/>
        <w:t>î</w:t>
      </w:r>
      <w:r w:rsidR="00C77DC9" w:rsidRPr="00C77DC9">
        <w:t>ș</w:t>
      </w:r>
      <w:r w:rsidRPr="00C77DC9">
        <w:t>i reafirmă pozi</w:t>
      </w:r>
      <w:r w:rsidR="00C77DC9" w:rsidRPr="00C77DC9">
        <w:t>ț</w:t>
      </w:r>
      <w:r w:rsidRPr="00C77DC9">
        <w:t>ia fermă în legătură cu asigurarea nivelului necesar de finan</w:t>
      </w:r>
      <w:r w:rsidR="00C77DC9" w:rsidRPr="00C77DC9">
        <w:t>ț</w:t>
      </w:r>
      <w:r w:rsidRPr="00C77DC9">
        <w:t>are în cadrul financiar multianual 2021-2027 pentru politicile cheie ale UE, pentru a le permite acestora să î</w:t>
      </w:r>
      <w:r w:rsidR="00C77DC9" w:rsidRPr="00C77DC9">
        <w:t>ș</w:t>
      </w:r>
      <w:r w:rsidRPr="00C77DC9">
        <w:t xml:space="preserve">i îndeplinească misiunea </w:t>
      </w:r>
      <w:r w:rsidR="00C77DC9" w:rsidRPr="00C77DC9">
        <w:t>ș</w:t>
      </w:r>
      <w:r w:rsidRPr="00C77DC9">
        <w:t>i obiectivele; subliniază, în special, apelul său privind men</w:t>
      </w:r>
      <w:r w:rsidR="00C77DC9" w:rsidRPr="00C77DC9">
        <w:t>ț</w:t>
      </w:r>
      <w:r w:rsidRPr="00C77DC9">
        <w:t>inerea finan</w:t>
      </w:r>
      <w:r w:rsidR="00C77DC9" w:rsidRPr="00C77DC9">
        <w:t>ț</w:t>
      </w:r>
      <w:r w:rsidRPr="00C77DC9">
        <w:t xml:space="preserve">ării alocate PAC </w:t>
      </w:r>
      <w:r w:rsidR="00C77DC9" w:rsidRPr="00C77DC9">
        <w:t>ș</w:t>
      </w:r>
      <w:r w:rsidRPr="00C77DC9">
        <w:t>i politicii de coeziune pentru UE-27 cel pu</w:t>
      </w:r>
      <w:r w:rsidR="00C77DC9" w:rsidRPr="00C77DC9">
        <w:t>ț</w:t>
      </w:r>
      <w:r w:rsidRPr="00C77DC9">
        <w:t>in la nivelul bugetului pentru perioada 2014-2020 în termeni reali, respectând arhitectura generală a acestor politici, apelul său privind triplarea bugetului actual alocat programului Erasmus+, dublarea finan</w:t>
      </w:r>
      <w:r w:rsidR="00C77DC9" w:rsidRPr="00C77DC9">
        <w:t>ț</w:t>
      </w:r>
      <w:r w:rsidRPr="00C77DC9">
        <w:t xml:space="preserve">ării specifice dedicate IMM-urilor </w:t>
      </w:r>
      <w:r w:rsidR="00C77DC9" w:rsidRPr="00C77DC9">
        <w:t>ș</w:t>
      </w:r>
      <w:r w:rsidRPr="00C77DC9">
        <w:t xml:space="preserve">i combaterii </w:t>
      </w:r>
      <w:r w:rsidR="00C77DC9" w:rsidRPr="00C77DC9">
        <w:t>ș</w:t>
      </w:r>
      <w:r w:rsidRPr="00C77DC9">
        <w:t>omajului în rândul tinerilor, cu scopul de a cre</w:t>
      </w:r>
      <w:r w:rsidR="00C77DC9" w:rsidRPr="00C77DC9">
        <w:t>ș</w:t>
      </w:r>
      <w:r w:rsidRPr="00C77DC9">
        <w:t xml:space="preserve">te nivelul bugetului actual pentru cercetare </w:t>
      </w:r>
      <w:r w:rsidR="00C77DC9" w:rsidRPr="00C77DC9">
        <w:t>ș</w:t>
      </w:r>
      <w:r w:rsidRPr="00C77DC9">
        <w:t>i inovare cu cel pu</w:t>
      </w:r>
      <w:r w:rsidR="00C77DC9" w:rsidRPr="00C77DC9">
        <w:t>ț</w:t>
      </w:r>
      <w:r w:rsidRPr="00C77DC9">
        <w:t>in 50 %, astfel încât acesta să ajungă la 120 de miliarde EUR, dublarea pachetului financiar al programului Life +, cu scopul de a cre</w:t>
      </w:r>
      <w:r w:rsidR="00C77DC9" w:rsidRPr="00C77DC9">
        <w:t>ș</w:t>
      </w:r>
      <w:r w:rsidRPr="00C77DC9">
        <w:t>te în mod semnificativ investi</w:t>
      </w:r>
      <w:r w:rsidR="00C77DC9" w:rsidRPr="00C77DC9">
        <w:t>ț</w:t>
      </w:r>
      <w:r w:rsidRPr="00C77DC9">
        <w:t xml:space="preserve">iile prin intermediul Mecanismului pentru interconectarea Europei, </w:t>
      </w:r>
      <w:r w:rsidR="00C77DC9" w:rsidRPr="00C77DC9">
        <w:t>ș</w:t>
      </w:r>
      <w:r w:rsidRPr="00C77DC9">
        <w:t>i asigurarea unei finan</w:t>
      </w:r>
      <w:r w:rsidR="00C77DC9" w:rsidRPr="00C77DC9">
        <w:t>ț</w:t>
      </w:r>
      <w:r w:rsidRPr="00C77DC9">
        <w:t>ări suplimentare pentru securitate, migra</w:t>
      </w:r>
      <w:r w:rsidR="00C77DC9" w:rsidRPr="00C77DC9">
        <w:t>ț</w:t>
      </w:r>
      <w:r w:rsidRPr="00C77DC9">
        <w:t xml:space="preserve">ie </w:t>
      </w:r>
      <w:r w:rsidR="00C77DC9" w:rsidRPr="00C77DC9">
        <w:t>ș</w:t>
      </w:r>
      <w:r w:rsidRPr="00C77DC9">
        <w:t>i rela</w:t>
      </w:r>
      <w:r w:rsidR="00C77DC9" w:rsidRPr="00C77DC9">
        <w:t>ț</w:t>
      </w:r>
      <w:r w:rsidRPr="00C77DC9">
        <w:t>iile externe; subliniază, în consecin</w:t>
      </w:r>
      <w:r w:rsidR="00C77DC9" w:rsidRPr="00C77DC9">
        <w:t>ț</w:t>
      </w:r>
      <w:r w:rsidRPr="00C77DC9">
        <w:t>ă, pozi</w:t>
      </w:r>
      <w:r w:rsidR="00C77DC9" w:rsidRPr="00C77DC9">
        <w:t>ț</w:t>
      </w:r>
      <w:r w:rsidRPr="00C77DC9">
        <w:t>ia sa, conform căreia nivelul CFM 2021-2027 ar trebui să fie echivalent cu 1,3 % din VNB-ul UE-27;</w:t>
      </w:r>
    </w:p>
    <w:p w:rsidR="001B5D12" w:rsidRPr="00C77DC9" w:rsidRDefault="001B5D12" w:rsidP="001B5D12">
      <w:pPr>
        <w:pStyle w:val="Normal12Hanging"/>
      </w:pPr>
      <w:r w:rsidRPr="00C77DC9">
        <w:lastRenderedPageBreak/>
        <w:t>7.</w:t>
      </w:r>
      <w:r w:rsidRPr="00C77DC9">
        <w:tab/>
        <w:t>subliniază importan</w:t>
      </w:r>
      <w:r w:rsidR="00C77DC9" w:rsidRPr="00C77DC9">
        <w:t>ț</w:t>
      </w:r>
      <w:r w:rsidRPr="00C77DC9">
        <w:t xml:space="preserve">a principiilor orizontale care ar trebui să stea la baza CFM </w:t>
      </w:r>
      <w:r w:rsidR="00C77DC9" w:rsidRPr="00C77DC9">
        <w:t>ș</w:t>
      </w:r>
      <w:r w:rsidRPr="00C77DC9">
        <w:t>i a tuturor politicilor conexe ale UE; reafirmă, în acest context, pozi</w:t>
      </w:r>
      <w:r w:rsidR="00C77DC9" w:rsidRPr="00C77DC9">
        <w:t>ț</w:t>
      </w:r>
      <w:r w:rsidRPr="00C77DC9">
        <w:t>ia sa, potrivit căreia UE trebuie să î</w:t>
      </w:r>
      <w:r w:rsidR="00C77DC9" w:rsidRPr="00C77DC9">
        <w:t>ș</w:t>
      </w:r>
      <w:r w:rsidRPr="00C77DC9">
        <w:t>i îndeplinească angajamentul de a fi precursor în ceea ce prive</w:t>
      </w:r>
      <w:r w:rsidR="00C77DC9" w:rsidRPr="00C77DC9">
        <w:t>ș</w:t>
      </w:r>
      <w:r w:rsidRPr="00C77DC9">
        <w:t xml:space="preserve">te punerea în aplicare a obiectivelor de dezvoltare durabilă (ODD) ale ONU </w:t>
      </w:r>
      <w:r w:rsidR="00C77DC9" w:rsidRPr="00C77DC9">
        <w:t>ș</w:t>
      </w:r>
      <w:r w:rsidRPr="00C77DC9">
        <w:t xml:space="preserve">i regretă lipsa unui angajament clar </w:t>
      </w:r>
      <w:r w:rsidR="00C77DC9" w:rsidRPr="00C77DC9">
        <w:t>ș</w:t>
      </w:r>
      <w:r w:rsidRPr="00C77DC9">
        <w:t xml:space="preserve">i vizibil în acest sens în propunerile referitoare la CFM; solicită, prin urmare, să se depună eforturi pentru integrarea ODD în toate politicile </w:t>
      </w:r>
      <w:r w:rsidR="00C77DC9" w:rsidRPr="00C77DC9">
        <w:t>ș</w:t>
      </w:r>
      <w:r w:rsidRPr="00C77DC9">
        <w:t>i ini</w:t>
      </w:r>
      <w:r w:rsidR="00C77DC9" w:rsidRPr="00C77DC9">
        <w:t>ț</w:t>
      </w:r>
      <w:r w:rsidRPr="00C77DC9">
        <w:t xml:space="preserve">iativele UE din următorul CFM; subliniază, de asemenea, că eliminarea discriminării este vitală pentru îndeplinirea angajamentelor UE privind o Europă incluzivă </w:t>
      </w:r>
      <w:r w:rsidR="00C77DC9" w:rsidRPr="00C77DC9">
        <w:t>ș</w:t>
      </w:r>
      <w:r w:rsidRPr="00C77DC9">
        <w:t>i regretă faptul că în politicile UE, astfel cum au fost prezentate în cadrul propunerilor privind CFM, nu au fost integrate angajamente privind respectarea egalită</w:t>
      </w:r>
      <w:r w:rsidR="00C77DC9" w:rsidRPr="00C77DC9">
        <w:t>ț</w:t>
      </w:r>
      <w:r w:rsidRPr="00C77DC9">
        <w:t xml:space="preserve">ii de gen </w:t>
      </w:r>
      <w:r w:rsidR="00C77DC9" w:rsidRPr="00C77DC9">
        <w:t>ș</w:t>
      </w:r>
      <w:r w:rsidRPr="00C77DC9">
        <w:t>i mecanisme pentru integrarea perspectivei de gen; subliniază totodată pozi</w:t>
      </w:r>
      <w:r w:rsidR="00C77DC9" w:rsidRPr="00C77DC9">
        <w:t>ț</w:t>
      </w:r>
      <w:r w:rsidRPr="00C77DC9">
        <w:t>ia sa, potrivit căreia, după adoptarea Acordului de la Paris, cheltuielile pentru politicile ce vizează schimbările climatice ar trebui să fie majorate în mod semnificativ în compara</w:t>
      </w:r>
      <w:r w:rsidR="00C77DC9" w:rsidRPr="00C77DC9">
        <w:t>ț</w:t>
      </w:r>
      <w:r w:rsidRPr="00C77DC9">
        <w:t xml:space="preserve">ie cu actualul CFM </w:t>
      </w:r>
      <w:r w:rsidR="00C77DC9" w:rsidRPr="00C77DC9">
        <w:t>ș</w:t>
      </w:r>
      <w:r w:rsidRPr="00C77DC9">
        <w:t xml:space="preserve">i să atingă pragul de 30 % cât mai curând posibil </w:t>
      </w:r>
      <w:r w:rsidR="00C77DC9" w:rsidRPr="00C77DC9">
        <w:t>ș</w:t>
      </w:r>
      <w:r w:rsidRPr="00C77DC9">
        <w:t>i, cel târziu, până în 2027;</w:t>
      </w:r>
    </w:p>
    <w:p w:rsidR="001B5D12" w:rsidRPr="00C77DC9" w:rsidRDefault="001B5D12" w:rsidP="001B5D12">
      <w:pPr>
        <w:pStyle w:val="Normal12Hanging"/>
      </w:pPr>
      <w:r w:rsidRPr="00C77DC9">
        <w:t>8.</w:t>
      </w:r>
      <w:r w:rsidRPr="00C77DC9">
        <w:tab/>
        <w:t xml:space="preserve">sprijină propunerile Comisiei privind reforma sistemului de resurse proprii al UE, care reprezintă o componentă de venituri deosebit de oportună în cadrul pachetului de măsuri privind CFM 2021-2027; salută, prin urmare, propunerea de a introduce trei noi categorii de resurse proprii ale UE, precum </w:t>
      </w:r>
      <w:r w:rsidR="00C77DC9" w:rsidRPr="00C77DC9">
        <w:t>ș</w:t>
      </w:r>
      <w:r w:rsidRPr="00C77DC9">
        <w:t>i simplificarea actualei resurse proprii bazate pe TVA; subliniază că aceste propuneri, direct inspirate de activitatea Grupului interinstitu</w:t>
      </w:r>
      <w:r w:rsidR="00C77DC9" w:rsidRPr="00C77DC9">
        <w:t>ț</w:t>
      </w:r>
      <w:r w:rsidRPr="00C77DC9">
        <w:t>ional la nivel înalt privind resursele proprii, au făcut, de asemenea, parte din pachetul de măsuri propus de Parlament în Rezolu</w:t>
      </w:r>
      <w:r w:rsidR="00C77DC9" w:rsidRPr="00C77DC9">
        <w:t>ț</w:t>
      </w:r>
      <w:r w:rsidRPr="00C77DC9">
        <w:t>ia sa din 14 martie 2018; ia act cu satisfac</w:t>
      </w:r>
      <w:r w:rsidR="00C77DC9" w:rsidRPr="00C77DC9">
        <w:t>ț</w:t>
      </w:r>
      <w:r w:rsidRPr="00C77DC9">
        <w:t>ie de faptul că aceste noi resurse sunt direct asociate cu finan</w:t>
      </w:r>
      <w:r w:rsidR="00C77DC9" w:rsidRPr="00C77DC9">
        <w:t>ț</w:t>
      </w:r>
      <w:r w:rsidRPr="00C77DC9">
        <w:t xml:space="preserve">area a două obiective strategice ale Uniunii, </w:t>
      </w:r>
      <w:r w:rsidR="00C77DC9" w:rsidRPr="00C77DC9">
        <w:t>ș</w:t>
      </w:r>
      <w:r w:rsidRPr="00C77DC9">
        <w:t>i anume buna func</w:t>
      </w:r>
      <w:r w:rsidR="00C77DC9" w:rsidRPr="00C77DC9">
        <w:t>ț</w:t>
      </w:r>
      <w:r w:rsidRPr="00C77DC9">
        <w:t>ionare a pie</w:t>
      </w:r>
      <w:r w:rsidR="00C77DC9" w:rsidRPr="00C77DC9">
        <w:t>ț</w:t>
      </w:r>
      <w:r w:rsidRPr="00C77DC9">
        <w:t xml:space="preserve">ei interne </w:t>
      </w:r>
      <w:r w:rsidR="00C77DC9" w:rsidRPr="00C77DC9">
        <w:t>ș</w:t>
      </w:r>
      <w:r w:rsidRPr="00C77DC9">
        <w:t>i protec</w:t>
      </w:r>
      <w:r w:rsidR="00C77DC9" w:rsidRPr="00C77DC9">
        <w:t>ț</w:t>
      </w:r>
      <w:r w:rsidRPr="00C77DC9">
        <w:t xml:space="preserve">ia mediului </w:t>
      </w:r>
      <w:r w:rsidR="00C77DC9" w:rsidRPr="00C77DC9">
        <w:t>ș</w:t>
      </w:r>
      <w:r w:rsidRPr="00C77DC9">
        <w:t>i lupta împotriva schimbărilor climatice; se a</w:t>
      </w:r>
      <w:r w:rsidR="00C77DC9" w:rsidRPr="00C77DC9">
        <w:t>ș</w:t>
      </w:r>
      <w:r w:rsidRPr="00C77DC9">
        <w:t xml:space="preserve">teaptă la sprijin din partea Consiliului </w:t>
      </w:r>
      <w:r w:rsidR="00C77DC9" w:rsidRPr="00C77DC9">
        <w:t>ș</w:t>
      </w:r>
      <w:r w:rsidRPr="00C77DC9">
        <w:t>i a Comisiei în vederea consolidării rolului Parlamentului în cadrul procedurii de adoptare a resurselor proprii; î</w:t>
      </w:r>
      <w:r w:rsidR="00C77DC9" w:rsidRPr="00C77DC9">
        <w:t>ș</w:t>
      </w:r>
      <w:r w:rsidRPr="00C77DC9">
        <w:t>i reiterează pozi</w:t>
      </w:r>
      <w:r w:rsidR="00C77DC9" w:rsidRPr="00C77DC9">
        <w:t>ț</w:t>
      </w:r>
      <w:r w:rsidRPr="00C77DC9">
        <w:t xml:space="preserve">ia potrivit căreia componenta de venituri </w:t>
      </w:r>
      <w:r w:rsidR="00C77DC9" w:rsidRPr="00C77DC9">
        <w:t>ș</w:t>
      </w:r>
      <w:r w:rsidRPr="00C77DC9">
        <w:t xml:space="preserve">i cea de cheltuieli din următorul CFM ar trebui să fie tratate ca un pachet unic în cadrul viitoarelor negocieri </w:t>
      </w:r>
      <w:r w:rsidR="00C77DC9" w:rsidRPr="00C77DC9">
        <w:t>ș</w:t>
      </w:r>
      <w:r w:rsidRPr="00C77DC9">
        <w:t>i că nu se poate ajunge la un acord cu Parlamentul cu privire la CFM dacă nu se realizează, în aceea</w:t>
      </w:r>
      <w:r w:rsidR="00C77DC9" w:rsidRPr="00C77DC9">
        <w:t>ș</w:t>
      </w:r>
      <w:r w:rsidRPr="00C77DC9">
        <w:t>i măsură, progrese cu privire la resursele proprii;</w:t>
      </w:r>
    </w:p>
    <w:p w:rsidR="001B5D12" w:rsidRPr="00C77DC9" w:rsidRDefault="001B5D12" w:rsidP="001B5D12">
      <w:pPr>
        <w:pStyle w:val="Normal12Hanging"/>
      </w:pPr>
      <w:r w:rsidRPr="00C77DC9">
        <w:t>9.</w:t>
      </w:r>
      <w:r w:rsidRPr="00C77DC9">
        <w:tab/>
        <w:t>salută, în plus, principiul potrivit căruia veniturile viitoare generate direct de politicile UE ar trebui să fie direc</w:t>
      </w:r>
      <w:r w:rsidR="00C77DC9" w:rsidRPr="00C77DC9">
        <w:t>ț</w:t>
      </w:r>
      <w:r w:rsidRPr="00C77DC9">
        <w:t xml:space="preserve">ionate către bugetul UE, </w:t>
      </w:r>
      <w:r w:rsidR="00C77DC9" w:rsidRPr="00C77DC9">
        <w:t>ș</w:t>
      </w:r>
      <w:r w:rsidRPr="00C77DC9">
        <w:t xml:space="preserve">i sprijină pe deplin eliminarea tuturor formelor de reduceri </w:t>
      </w:r>
      <w:r w:rsidR="00C77DC9" w:rsidRPr="00C77DC9">
        <w:t>ș</w:t>
      </w:r>
      <w:r w:rsidRPr="00C77DC9">
        <w:t>i corec</w:t>
      </w:r>
      <w:r w:rsidR="00C77DC9" w:rsidRPr="00C77DC9">
        <w:t>ț</w:t>
      </w:r>
      <w:r w:rsidRPr="00C77DC9">
        <w:t>ii; se întreabă în ce ritm urmează să fie introduse aceste noi resurse proprii pentru a reduce contribu</w:t>
      </w:r>
      <w:r w:rsidR="00C77DC9" w:rsidRPr="00C77DC9">
        <w:t>ț</w:t>
      </w:r>
      <w:r w:rsidRPr="00C77DC9">
        <w:t>iile na</w:t>
      </w:r>
      <w:r w:rsidR="00C77DC9" w:rsidRPr="00C77DC9">
        <w:t>ț</w:t>
      </w:r>
      <w:r w:rsidRPr="00C77DC9">
        <w:t>ionale; consideră, cu toate acestea, că nu este clar motivul pentru care Comisia nu a prezentat propuneri privind crearea unei rezerve speciale pe partea de venituri a bugetului UE, care să fie treptat completată cu toate tipurile de alte venituri neprevăzute, inclusiv cu amenzi pentru încălcarea normelor de concuren</w:t>
      </w:r>
      <w:r w:rsidR="00C77DC9" w:rsidRPr="00C77DC9">
        <w:t>ț</w:t>
      </w:r>
      <w:r w:rsidRPr="00C77DC9">
        <w:t>ă aplicate societă</w:t>
      </w:r>
      <w:r w:rsidR="00C77DC9" w:rsidRPr="00C77DC9">
        <w:t>ț</w:t>
      </w:r>
      <w:r w:rsidRPr="00C77DC9">
        <w:t xml:space="preserve">ilor, precum </w:t>
      </w:r>
      <w:r w:rsidR="00C77DC9" w:rsidRPr="00C77DC9">
        <w:t>ș</w:t>
      </w:r>
      <w:r w:rsidRPr="00C77DC9">
        <w:t xml:space="preserve">i cu veniturile generate de o taxă aplicată marilor întreprinderi din sectorul digital </w:t>
      </w:r>
      <w:r w:rsidR="00C77DC9" w:rsidRPr="00C77DC9">
        <w:t>ș</w:t>
      </w:r>
      <w:r w:rsidRPr="00C77DC9">
        <w:t>i de taxa pe tranzac</w:t>
      </w:r>
      <w:r w:rsidR="00C77DC9" w:rsidRPr="00C77DC9">
        <w:t>ț</w:t>
      </w:r>
      <w:r w:rsidRPr="00C77DC9">
        <w:t>iile financiare, ca nouă sursă de venituri proprii ale UE;</w:t>
      </w:r>
    </w:p>
    <w:p w:rsidR="001B5D12" w:rsidRPr="00C77DC9" w:rsidRDefault="001B5D12" w:rsidP="001B5D12">
      <w:pPr>
        <w:pStyle w:val="Normal12Hanging"/>
      </w:pPr>
      <w:r w:rsidRPr="00C77DC9">
        <w:t>10.</w:t>
      </w:r>
      <w:r w:rsidRPr="00C77DC9">
        <w:tab/>
        <w:t>î</w:t>
      </w:r>
      <w:r w:rsidR="00C77DC9" w:rsidRPr="00C77DC9">
        <w:t>ș</w:t>
      </w:r>
      <w:r w:rsidRPr="00C77DC9">
        <w:t>i reiterează pozi</w:t>
      </w:r>
      <w:r w:rsidR="00C77DC9" w:rsidRPr="00C77DC9">
        <w:t>ț</w:t>
      </w:r>
      <w:r w:rsidRPr="00C77DC9">
        <w:t>ia în favoarea instituirii unui mecanism prin care statele membre care nu respectă valorile consacrate la articolul 2 din Tratatul privind Uniunea Europeană (TUE) să poată suporta consecin</w:t>
      </w:r>
      <w:r w:rsidR="00C77DC9" w:rsidRPr="00C77DC9">
        <w:t>ț</w:t>
      </w:r>
      <w:r w:rsidRPr="00C77DC9">
        <w:t>e financiare; ia act de propunerea Comisiei referitoare la „protec</w:t>
      </w:r>
      <w:r w:rsidR="00C77DC9" w:rsidRPr="00C77DC9">
        <w:t>ț</w:t>
      </w:r>
      <w:r w:rsidRPr="00C77DC9">
        <w:t>ia bugetului Uniunii în cazul unor deficien</w:t>
      </w:r>
      <w:r w:rsidR="00C77DC9" w:rsidRPr="00C77DC9">
        <w:t>ț</w:t>
      </w:r>
      <w:r w:rsidRPr="00C77DC9">
        <w:t>e generalizate în ceea ce prive</w:t>
      </w:r>
      <w:r w:rsidR="00C77DC9" w:rsidRPr="00C77DC9">
        <w:t>ș</w:t>
      </w:r>
      <w:r w:rsidRPr="00C77DC9">
        <w:t xml:space="preserve">te statul de drept în statele membre”, care a fost prezentată ca parte a pachetului global </w:t>
      </w:r>
      <w:r w:rsidRPr="00C77DC9">
        <w:lastRenderedPageBreak/>
        <w:t>privind CFM; inten</w:t>
      </w:r>
      <w:r w:rsidR="00C77DC9" w:rsidRPr="00C77DC9">
        <w:t>ț</w:t>
      </w:r>
      <w:r w:rsidRPr="00C77DC9">
        <w:t xml:space="preserve">ionează să examineze îndeaproape toate elementele acestei propuneri </w:t>
      </w:r>
      <w:r w:rsidR="00C77DC9" w:rsidRPr="00C77DC9">
        <w:t>ș</w:t>
      </w:r>
      <w:r w:rsidRPr="00C77DC9">
        <w:t>i să introducă dispozi</w:t>
      </w:r>
      <w:r w:rsidR="00C77DC9" w:rsidRPr="00C77DC9">
        <w:t>ț</w:t>
      </w:r>
      <w:r w:rsidRPr="00C77DC9">
        <w:t>iile necesare pentru a garanta că beneficiarii finali ai bugetului Uniunii nu pot fi în niciun caz afecta</w:t>
      </w:r>
      <w:r w:rsidR="00C77DC9" w:rsidRPr="00C77DC9">
        <w:t>ț</w:t>
      </w:r>
      <w:r w:rsidRPr="00C77DC9">
        <w:t>i de încălcări ale normelor pentru care nu sunt responsabili;</w:t>
      </w:r>
    </w:p>
    <w:p w:rsidR="001B5D12" w:rsidRPr="00C77DC9" w:rsidRDefault="001B5D12" w:rsidP="001B5D12">
      <w:pPr>
        <w:pStyle w:val="Normal12Hanging"/>
      </w:pPr>
      <w:r w:rsidRPr="00C77DC9">
        <w:t>11.</w:t>
      </w:r>
      <w:r w:rsidRPr="00C77DC9">
        <w:tab/>
        <w:t>este convins de necesitatea de a introduce obliga</w:t>
      </w:r>
      <w:r w:rsidR="00C77DC9" w:rsidRPr="00C77DC9">
        <w:t>ț</w:t>
      </w:r>
      <w:r w:rsidRPr="00C77DC9">
        <w:t xml:space="preserve">ia de a realiza o revizuire la jumătatea perioadei a CFM care să fie obligatorie din punct de vedere juridic, </w:t>
      </w:r>
      <w:r w:rsidR="00C77DC9" w:rsidRPr="00C77DC9">
        <w:t>ș</w:t>
      </w:r>
      <w:r w:rsidRPr="00C77DC9">
        <w:t xml:space="preserve">i care ar trebui să fie propusă </w:t>
      </w:r>
      <w:r w:rsidR="00C77DC9" w:rsidRPr="00C77DC9">
        <w:t>ș</w:t>
      </w:r>
      <w:r w:rsidRPr="00C77DC9">
        <w:t xml:space="preserve">i instituită în timp util, pentru a permite următorului Parlament </w:t>
      </w:r>
      <w:r w:rsidR="00C77DC9" w:rsidRPr="00C77DC9">
        <w:t>ș</w:t>
      </w:r>
      <w:r w:rsidRPr="00C77DC9">
        <w:t>i următoarei Comisii desemnate să realizeze o ajustare semnificativă a cadrului pentru perioada 2021-2027; inten</w:t>
      </w:r>
      <w:r w:rsidR="00C77DC9" w:rsidRPr="00C77DC9">
        <w:t>ț</w:t>
      </w:r>
      <w:r w:rsidRPr="00C77DC9">
        <w:t>ionează să îmbunătă</w:t>
      </w:r>
      <w:r w:rsidR="00C77DC9" w:rsidRPr="00C77DC9">
        <w:t>ț</w:t>
      </w:r>
      <w:r w:rsidRPr="00C77DC9">
        <w:t>ească formularea articolului propus în Regulamentul privind CFM;</w:t>
      </w:r>
    </w:p>
    <w:p w:rsidR="001B5D12" w:rsidRPr="00C77DC9" w:rsidRDefault="001B5D12" w:rsidP="001B5D12">
      <w:pPr>
        <w:pStyle w:val="Normal12Hanging"/>
      </w:pPr>
      <w:r w:rsidRPr="00C77DC9">
        <w:t>12.</w:t>
      </w:r>
      <w:r w:rsidRPr="00C77DC9">
        <w:tab/>
        <w:t>consideră că propunerile Comisiei privind flexibilitatea reprezintă un bun punct de plecare pentru negocieri; salută, în special, o serie de propuneri care îmbunătă</w:t>
      </w:r>
      <w:r w:rsidR="00C77DC9" w:rsidRPr="00C77DC9">
        <w:t>ț</w:t>
      </w:r>
      <w:r w:rsidRPr="00C77DC9">
        <w:t>esc dispozi</w:t>
      </w:r>
      <w:r w:rsidR="00C77DC9" w:rsidRPr="00C77DC9">
        <w:t>ț</w:t>
      </w:r>
      <w:r w:rsidRPr="00C77DC9">
        <w:t>iile actuale, în special cele privind reutilizarea creditelor dezangajate pentru a finan</w:t>
      </w:r>
      <w:r w:rsidR="00C77DC9" w:rsidRPr="00C77DC9">
        <w:t>ț</w:t>
      </w:r>
      <w:r w:rsidRPr="00C77DC9">
        <w:t>a rezerva Uniunii, cre</w:t>
      </w:r>
      <w:r w:rsidR="00C77DC9" w:rsidRPr="00C77DC9">
        <w:t>ș</w:t>
      </w:r>
      <w:r w:rsidRPr="00C77DC9">
        <w:t xml:space="preserve">terea alocărilor pentru instrumentele speciale, precum </w:t>
      </w:r>
      <w:r w:rsidR="00C77DC9" w:rsidRPr="00C77DC9">
        <w:t>ș</w:t>
      </w:r>
      <w:r w:rsidRPr="00C77DC9">
        <w:t>i respingerea oricăror constrângeri aplicabile marjei globale pentru plă</w:t>
      </w:r>
      <w:r w:rsidR="00C77DC9" w:rsidRPr="00C77DC9">
        <w:t>ț</w:t>
      </w:r>
      <w:r w:rsidRPr="00C77DC9">
        <w:t>i, în conformitate cu solicitările Parlamentului în acest sens; inten</w:t>
      </w:r>
      <w:r w:rsidR="00C77DC9" w:rsidRPr="00C77DC9">
        <w:t>ț</w:t>
      </w:r>
      <w:r w:rsidRPr="00C77DC9">
        <w:t>ionează să se angajeze în negocieri pentru a ob</w:t>
      </w:r>
      <w:r w:rsidR="00C77DC9" w:rsidRPr="00C77DC9">
        <w:t>ț</w:t>
      </w:r>
      <w:r w:rsidRPr="00C77DC9">
        <w:t>ine îmbunătă</w:t>
      </w:r>
      <w:r w:rsidR="00C77DC9" w:rsidRPr="00C77DC9">
        <w:t>ț</w:t>
      </w:r>
      <w:r w:rsidRPr="00C77DC9">
        <w:t>iri suplimentare, ori de câte ori este necesar;</w:t>
      </w:r>
    </w:p>
    <w:p w:rsidR="001B5D12" w:rsidRPr="00C77DC9" w:rsidRDefault="001B5D12" w:rsidP="001B5D12">
      <w:pPr>
        <w:pStyle w:val="Normal12Hanging"/>
      </w:pPr>
      <w:r w:rsidRPr="00C77DC9">
        <w:t>13.</w:t>
      </w:r>
      <w:r w:rsidRPr="00C77DC9">
        <w:tab/>
        <w:t>ia act de propunerea Comisiei de creare a unui mecanism european de stabilizare a investi</w:t>
      </w:r>
      <w:r w:rsidR="00C77DC9" w:rsidRPr="00C77DC9">
        <w:t>ț</w:t>
      </w:r>
      <w:r w:rsidRPr="00C77DC9">
        <w:t>iilor, care va completa func</w:t>
      </w:r>
      <w:r w:rsidR="00C77DC9" w:rsidRPr="00C77DC9">
        <w:t>ț</w:t>
      </w:r>
      <w:r w:rsidRPr="00C77DC9">
        <w:t>ia de stabilizare a bugetelor na</w:t>
      </w:r>
      <w:r w:rsidR="00C77DC9" w:rsidRPr="00C77DC9">
        <w:t>ț</w:t>
      </w:r>
      <w:r w:rsidRPr="00C77DC9">
        <w:t xml:space="preserve">ionale în cazul unor </w:t>
      </w:r>
      <w:r w:rsidR="00C77DC9" w:rsidRPr="00C77DC9">
        <w:t>ș</w:t>
      </w:r>
      <w:r w:rsidRPr="00C77DC9">
        <w:t>ocuri asimetrice majore; inten</w:t>
      </w:r>
      <w:r w:rsidR="00C77DC9" w:rsidRPr="00C77DC9">
        <w:t>ț</w:t>
      </w:r>
      <w:r w:rsidRPr="00C77DC9">
        <w:t>ionează să examineze îndeaproape această propunere, în special în ceea ce prive</w:t>
      </w:r>
      <w:r w:rsidR="00C77DC9" w:rsidRPr="00C77DC9">
        <w:t>ș</w:t>
      </w:r>
      <w:r w:rsidRPr="00C77DC9">
        <w:t xml:space="preserve">te obiectivele sale </w:t>
      </w:r>
      <w:r w:rsidR="00C77DC9" w:rsidRPr="00C77DC9">
        <w:t>ș</w:t>
      </w:r>
      <w:r w:rsidRPr="00C77DC9">
        <w:t>i volumul aferent;</w:t>
      </w:r>
    </w:p>
    <w:p w:rsidR="001B5D12" w:rsidRPr="00C77DC9" w:rsidRDefault="001B5D12" w:rsidP="001B5D12">
      <w:pPr>
        <w:pStyle w:val="Normal12Hanging"/>
      </w:pPr>
      <w:r w:rsidRPr="00C77DC9">
        <w:t>14.</w:t>
      </w:r>
      <w:r w:rsidRPr="00C77DC9">
        <w:tab/>
        <w:t>subliniază că, odată cu prezentarea propunerilor Comisiei, este ini</w:t>
      </w:r>
      <w:r w:rsidR="00C77DC9" w:rsidRPr="00C77DC9">
        <w:t>ț</w:t>
      </w:r>
      <w:r w:rsidRPr="00C77DC9">
        <w:t xml:space="preserve">iată oficial o perioadă de negocieri intense în cadrul Consiliului, dar </w:t>
      </w:r>
      <w:r w:rsidR="00C77DC9" w:rsidRPr="00C77DC9">
        <w:t>ș</w:t>
      </w:r>
      <w:r w:rsidRPr="00C77DC9">
        <w:t xml:space="preserve">i între Consiliu </w:t>
      </w:r>
      <w:r w:rsidR="00C77DC9" w:rsidRPr="00C77DC9">
        <w:t>ș</w:t>
      </w:r>
      <w:r w:rsidRPr="00C77DC9">
        <w:t>i Parlament, cu scopul de a asigura faptul că Parlamentul va aproba Regulamentul privind CFM; subliniază faptul că toate elementele pachetului privind CFM/resursele proprii, inclusiv cifrele din CFM, ar trebui să rămână pe masa negocierilor până la încheierea unui acord final; î</w:t>
      </w:r>
      <w:r w:rsidR="00C77DC9" w:rsidRPr="00C77DC9">
        <w:t>ș</w:t>
      </w:r>
      <w:r w:rsidRPr="00C77DC9">
        <w:t>i exprimă disponibilitatea de a deschide de urgen</w:t>
      </w:r>
      <w:r w:rsidR="00C77DC9" w:rsidRPr="00C77DC9">
        <w:t>ț</w:t>
      </w:r>
      <w:r w:rsidRPr="00C77DC9">
        <w:t>ă un dialog structurat cu Consiliul, pentru a permite o mai bună în</w:t>
      </w:r>
      <w:r w:rsidR="00C77DC9" w:rsidRPr="00C77DC9">
        <w:t>ț</w:t>
      </w:r>
      <w:r w:rsidRPr="00C77DC9">
        <w:t>elegere a a</w:t>
      </w:r>
      <w:r w:rsidR="00C77DC9" w:rsidRPr="00C77DC9">
        <w:t>ș</w:t>
      </w:r>
      <w:r w:rsidRPr="00C77DC9">
        <w:t xml:space="preserve">teptărilor Parlamentului </w:t>
      </w:r>
      <w:r w:rsidR="00C77DC9" w:rsidRPr="00C77DC9">
        <w:t>ș</w:t>
      </w:r>
      <w:r w:rsidRPr="00C77DC9">
        <w:t>i a facilita încheierea unui acord în timp util; consideră, prin urmare, că lansarea recentă a unei serii de reuniuni periodice între pre</w:t>
      </w:r>
      <w:r w:rsidR="00C77DC9" w:rsidRPr="00C77DC9">
        <w:t>ș</w:t>
      </w:r>
      <w:r w:rsidRPr="00C77DC9">
        <w:t>edin</w:t>
      </w:r>
      <w:r w:rsidR="00C77DC9" w:rsidRPr="00C77DC9">
        <w:t>ț</w:t>
      </w:r>
      <w:r w:rsidRPr="00C77DC9">
        <w:t xml:space="preserve">iile succesive ale Consiliului </w:t>
      </w:r>
      <w:r w:rsidR="00C77DC9" w:rsidRPr="00C77DC9">
        <w:t>ș</w:t>
      </w:r>
      <w:r w:rsidRPr="00C77DC9">
        <w:t>i echipa de negociere a Parlamentului reprezintă un prim pas esen</w:t>
      </w:r>
      <w:r w:rsidR="00C77DC9" w:rsidRPr="00C77DC9">
        <w:t>ț</w:t>
      </w:r>
      <w:r w:rsidRPr="00C77DC9">
        <w:t>ial în procedura care va conduce la adoptarea următorului CFM;</w:t>
      </w:r>
    </w:p>
    <w:p w:rsidR="001B5D12" w:rsidRPr="00C77DC9" w:rsidRDefault="001B5D12" w:rsidP="001B5D12">
      <w:pPr>
        <w:pStyle w:val="Normal12Hanging"/>
      </w:pPr>
      <w:r w:rsidRPr="00C77DC9">
        <w:t>15.</w:t>
      </w:r>
      <w:r w:rsidRPr="00C77DC9">
        <w:tab/>
        <w:t>încredin</w:t>
      </w:r>
      <w:r w:rsidR="00C77DC9" w:rsidRPr="00C77DC9">
        <w:t>ț</w:t>
      </w:r>
      <w:r w:rsidRPr="00C77DC9">
        <w:t>ează Pre</w:t>
      </w:r>
      <w:r w:rsidR="00C77DC9" w:rsidRPr="00C77DC9">
        <w:t>ș</w:t>
      </w:r>
      <w:r w:rsidRPr="00C77DC9">
        <w:t>edintelui sarcina de a transmite prezenta rezolu</w:t>
      </w:r>
      <w:r w:rsidR="00C77DC9" w:rsidRPr="00C77DC9">
        <w:t>ț</w:t>
      </w:r>
      <w:r w:rsidRPr="00C77DC9">
        <w:t xml:space="preserve">ie Consiliului, Comisiei </w:t>
      </w:r>
      <w:r w:rsidR="00C77DC9" w:rsidRPr="00C77DC9">
        <w:t>ș</w:t>
      </w:r>
      <w:r w:rsidRPr="00C77DC9">
        <w:t>i celorlalte institu</w:t>
      </w:r>
      <w:r w:rsidR="00C77DC9" w:rsidRPr="00C77DC9">
        <w:t>ț</w:t>
      </w:r>
      <w:r w:rsidRPr="00C77DC9">
        <w:t xml:space="preserve">ii </w:t>
      </w:r>
      <w:r w:rsidR="00C77DC9" w:rsidRPr="00C77DC9">
        <w:t>ș</w:t>
      </w:r>
      <w:r w:rsidRPr="00C77DC9">
        <w:t xml:space="preserve">i organe interesate, precum </w:t>
      </w:r>
      <w:r w:rsidR="00C77DC9" w:rsidRPr="00C77DC9">
        <w:t>ș</w:t>
      </w:r>
      <w:r w:rsidRPr="00C77DC9">
        <w:t xml:space="preserve">i guvernelor </w:t>
      </w:r>
      <w:r w:rsidR="00C77DC9" w:rsidRPr="00C77DC9">
        <w:t>ș</w:t>
      </w:r>
      <w:r w:rsidRPr="00C77DC9">
        <w:t>i parlamentelor statelor membre.</w:t>
      </w:r>
    </w:p>
    <w:p w:rsidR="00814BC6" w:rsidRPr="00C77DC9" w:rsidRDefault="00814BC6" w:rsidP="001B5D12">
      <w:pPr>
        <w:pStyle w:val="Normal12Hanging"/>
      </w:pPr>
    </w:p>
    <w:sectPr w:rsidR="00814BC6" w:rsidRPr="00C77DC9" w:rsidSect="00B24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AC" w:rsidRPr="00B24F09" w:rsidRDefault="00F34BAC">
      <w:r w:rsidRPr="00B24F09">
        <w:separator/>
      </w:r>
    </w:p>
  </w:endnote>
  <w:endnote w:type="continuationSeparator" w:id="0">
    <w:p w:rsidR="00F34BAC" w:rsidRPr="00B24F09" w:rsidRDefault="00F34BAC">
      <w:r w:rsidRPr="00B24F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09" w:rsidRPr="00B24F09" w:rsidRDefault="00B24F09" w:rsidP="00B24F09">
    <w:pPr>
      <w:pStyle w:val="Footer"/>
    </w:pPr>
    <w:r w:rsidRPr="00B24F09">
      <w:t>PE</w:t>
    </w:r>
    <w:r w:rsidRPr="00B24F09">
      <w:rPr>
        <w:rStyle w:val="HideTWBExt"/>
        <w:noProof w:val="0"/>
      </w:rPr>
      <w:t>&lt;NoPE&gt;</w:t>
    </w:r>
    <w:r w:rsidRPr="00B24F09">
      <w:t>621.622</w:t>
    </w:r>
    <w:r w:rsidRPr="00B24F09">
      <w:rPr>
        <w:rStyle w:val="HideTWBExt"/>
        <w:noProof w:val="0"/>
      </w:rPr>
      <w:t>&lt;/NoPE&gt;&lt;Version&gt;</w:t>
    </w:r>
    <w:r w:rsidRPr="00B24F09">
      <w:t>v01-00</w:t>
    </w:r>
    <w:r w:rsidRPr="00B24F09">
      <w:rPr>
        <w:rStyle w:val="HideTWBExt"/>
        <w:noProof w:val="0"/>
      </w:rPr>
      <w:t>&lt;/Version&gt;</w:t>
    </w:r>
    <w:r w:rsidRPr="00B24F09">
      <w:tab/>
    </w:r>
    <w:r w:rsidRPr="00B24F09">
      <w:fldChar w:fldCharType="begin"/>
    </w:r>
    <w:r w:rsidRPr="00B24F09">
      <w:instrText xml:space="preserve"> PAGE  \* MERGEFORMAT </w:instrText>
    </w:r>
    <w:r w:rsidRPr="00B24F09">
      <w:fldChar w:fldCharType="separate"/>
    </w:r>
    <w:r w:rsidR="00611FA2">
      <w:rPr>
        <w:noProof/>
      </w:rPr>
      <w:t>2</w:t>
    </w:r>
    <w:r w:rsidRPr="00B24F09">
      <w:fldChar w:fldCharType="end"/>
    </w:r>
    <w:r w:rsidRPr="00B24F09">
      <w:t>/</w:t>
    </w:r>
    <w:r w:rsidRPr="00B24F09">
      <w:fldChar w:fldCharType="begin"/>
    </w:r>
    <w:r w:rsidRPr="00B24F09">
      <w:instrText xml:space="preserve"> NUMPAGES  \* MERGEFORMAT </w:instrText>
    </w:r>
    <w:r w:rsidRPr="00B24F09">
      <w:fldChar w:fldCharType="separate"/>
    </w:r>
    <w:r w:rsidR="00611FA2">
      <w:rPr>
        <w:noProof/>
      </w:rPr>
      <w:t>5</w:t>
    </w:r>
    <w:r w:rsidRPr="00B24F09">
      <w:fldChar w:fldCharType="end"/>
    </w:r>
    <w:r w:rsidRPr="00B24F09">
      <w:tab/>
    </w:r>
    <w:r w:rsidRPr="00B24F09">
      <w:rPr>
        <w:rStyle w:val="HideTWBExt"/>
        <w:noProof w:val="0"/>
      </w:rPr>
      <w:t>&lt;PathFdR&gt;</w:t>
    </w:r>
    <w:r w:rsidRPr="00B24F09">
      <w:t>RE\1154256RO.docx</w:t>
    </w:r>
    <w:r w:rsidRPr="00B24F09">
      <w:rPr>
        <w:rStyle w:val="HideTWBExt"/>
        <w:noProof w:val="0"/>
      </w:rPr>
      <w:t>&lt;/PathFdR&gt;</w:t>
    </w:r>
  </w:p>
  <w:p w:rsidR="00A90219" w:rsidRPr="00B24F09" w:rsidRDefault="00B24F09" w:rsidP="00B24F09">
    <w:pPr>
      <w:pStyle w:val="Footer2"/>
    </w:pPr>
    <w:r w:rsidRPr="00B24F09">
      <w:t>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09" w:rsidRPr="00B24F09" w:rsidRDefault="00B24F09" w:rsidP="00B24F09">
    <w:pPr>
      <w:pStyle w:val="Footer"/>
    </w:pPr>
    <w:r w:rsidRPr="00B24F09">
      <w:rPr>
        <w:rStyle w:val="HideTWBExt"/>
        <w:noProof w:val="0"/>
      </w:rPr>
      <w:t>&lt;PathFdR&gt;</w:t>
    </w:r>
    <w:r w:rsidRPr="00B24F09">
      <w:t>RE\1154256RO.docx</w:t>
    </w:r>
    <w:r w:rsidRPr="00B24F09">
      <w:rPr>
        <w:rStyle w:val="HideTWBExt"/>
        <w:noProof w:val="0"/>
      </w:rPr>
      <w:t>&lt;/PathFdR&gt;</w:t>
    </w:r>
    <w:r w:rsidRPr="00B24F09">
      <w:tab/>
    </w:r>
    <w:r w:rsidRPr="00B24F09">
      <w:fldChar w:fldCharType="begin"/>
    </w:r>
    <w:r w:rsidRPr="00B24F09">
      <w:instrText xml:space="preserve"> PAGE  \* MERGEFORMAT </w:instrText>
    </w:r>
    <w:r w:rsidRPr="00B24F09">
      <w:fldChar w:fldCharType="separate"/>
    </w:r>
    <w:r w:rsidR="00611FA2">
      <w:rPr>
        <w:noProof/>
      </w:rPr>
      <w:t>5</w:t>
    </w:r>
    <w:r w:rsidRPr="00B24F09">
      <w:fldChar w:fldCharType="end"/>
    </w:r>
    <w:r w:rsidRPr="00B24F09">
      <w:t>/</w:t>
    </w:r>
    <w:r w:rsidRPr="00B24F09">
      <w:fldChar w:fldCharType="begin"/>
    </w:r>
    <w:r w:rsidRPr="00B24F09">
      <w:instrText xml:space="preserve"> NUMPAGES  \* MERGEFORMAT </w:instrText>
    </w:r>
    <w:r w:rsidRPr="00B24F09">
      <w:fldChar w:fldCharType="separate"/>
    </w:r>
    <w:r w:rsidR="00611FA2">
      <w:rPr>
        <w:noProof/>
      </w:rPr>
      <w:t>5</w:t>
    </w:r>
    <w:r w:rsidRPr="00B24F09">
      <w:fldChar w:fldCharType="end"/>
    </w:r>
    <w:r w:rsidRPr="00B24F09">
      <w:tab/>
      <w:t>PE</w:t>
    </w:r>
    <w:r w:rsidRPr="00B24F09">
      <w:rPr>
        <w:rStyle w:val="HideTWBExt"/>
        <w:noProof w:val="0"/>
      </w:rPr>
      <w:t>&lt;NoPE&gt;</w:t>
    </w:r>
    <w:r w:rsidRPr="00B24F09">
      <w:t>621.622</w:t>
    </w:r>
    <w:r w:rsidRPr="00B24F09">
      <w:rPr>
        <w:rStyle w:val="HideTWBExt"/>
        <w:noProof w:val="0"/>
      </w:rPr>
      <w:t>&lt;/NoPE&gt;&lt;Version&gt;</w:t>
    </w:r>
    <w:r w:rsidRPr="00B24F09">
      <w:t>v01-00</w:t>
    </w:r>
    <w:r w:rsidRPr="00B24F09">
      <w:rPr>
        <w:rStyle w:val="HideTWBExt"/>
        <w:noProof w:val="0"/>
      </w:rPr>
      <w:t>&lt;/Version&gt;</w:t>
    </w:r>
  </w:p>
  <w:p w:rsidR="00A90219" w:rsidRPr="00B24F09" w:rsidRDefault="00B24F09" w:rsidP="00B24F09">
    <w:pPr>
      <w:pStyle w:val="Footer2"/>
    </w:pPr>
    <w:r w:rsidRPr="00B24F09">
      <w:tab/>
      <w:t>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09" w:rsidRPr="00B24F09" w:rsidRDefault="00B24F09" w:rsidP="00B24F09">
    <w:pPr>
      <w:pStyle w:val="Footer"/>
    </w:pPr>
    <w:r w:rsidRPr="00B24F09">
      <w:rPr>
        <w:rStyle w:val="HideTWBExt"/>
        <w:noProof w:val="0"/>
      </w:rPr>
      <w:t>&lt;PathFdR&gt;</w:t>
    </w:r>
    <w:r w:rsidRPr="00B24F09">
      <w:t>RE\1154256RO.docx</w:t>
    </w:r>
    <w:r w:rsidRPr="00B24F09">
      <w:rPr>
        <w:rStyle w:val="HideTWBExt"/>
        <w:noProof w:val="0"/>
      </w:rPr>
      <w:t>&lt;/PathFdR&gt;</w:t>
    </w:r>
    <w:r w:rsidRPr="00B24F09">
      <w:tab/>
    </w:r>
    <w:r w:rsidRPr="00B24F09">
      <w:tab/>
      <w:t>PE</w:t>
    </w:r>
    <w:r w:rsidRPr="00B24F09">
      <w:rPr>
        <w:rStyle w:val="HideTWBExt"/>
        <w:noProof w:val="0"/>
      </w:rPr>
      <w:t>&lt;NoPE&gt;</w:t>
    </w:r>
    <w:r w:rsidRPr="00B24F09">
      <w:t>621.622</w:t>
    </w:r>
    <w:r w:rsidRPr="00B24F09">
      <w:rPr>
        <w:rStyle w:val="HideTWBExt"/>
        <w:noProof w:val="0"/>
      </w:rPr>
      <w:t>&lt;/NoPE&gt;&lt;Version&gt;</w:t>
    </w:r>
    <w:r w:rsidRPr="00B24F09">
      <w:t>v01-00</w:t>
    </w:r>
    <w:r w:rsidRPr="00B24F09">
      <w:rPr>
        <w:rStyle w:val="HideTWBExt"/>
        <w:noProof w:val="0"/>
      </w:rPr>
      <w:t>&lt;/Version&gt;</w:t>
    </w:r>
  </w:p>
  <w:p w:rsidR="00A90219" w:rsidRPr="00B24F09" w:rsidRDefault="00B24F09" w:rsidP="00B24F09">
    <w:pPr>
      <w:pStyle w:val="Footer2"/>
      <w:tabs>
        <w:tab w:val="center" w:pos="4535"/>
      </w:tabs>
    </w:pPr>
    <w:r w:rsidRPr="00B24F09">
      <w:t>RO</w:t>
    </w:r>
    <w:r w:rsidRPr="00B24F09">
      <w:tab/>
    </w:r>
    <w:r w:rsidRPr="00B24F09">
      <w:rPr>
        <w:b w:val="0"/>
        <w:i/>
        <w:color w:val="C0C0C0"/>
        <w:sz w:val="22"/>
      </w:rPr>
      <w:t>Unită în diversitate</w:t>
    </w:r>
    <w:r w:rsidRPr="00B24F09">
      <w:tab/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AC" w:rsidRPr="00B24F09" w:rsidRDefault="00F34BAC">
      <w:r w:rsidRPr="00B24F09">
        <w:separator/>
      </w:r>
    </w:p>
  </w:footnote>
  <w:footnote w:type="continuationSeparator" w:id="0">
    <w:p w:rsidR="00F34BAC" w:rsidRPr="00B24F09" w:rsidRDefault="00F34BAC">
      <w:r w:rsidRPr="00B24F09">
        <w:continuationSeparator/>
      </w:r>
    </w:p>
  </w:footnote>
  <w:footnote w:id="1">
    <w:p w:rsidR="00C209B7" w:rsidRPr="00B24F09" w:rsidRDefault="00C209B7">
      <w:pPr>
        <w:pStyle w:val="FootnoteText"/>
      </w:pPr>
      <w:r w:rsidRPr="00B24F09">
        <w:rPr>
          <w:rStyle w:val="FootnoteReference"/>
        </w:rPr>
        <w:footnoteRef/>
      </w:r>
      <w:r w:rsidRPr="00B24F09">
        <w:t xml:space="preserve"> Texte adoptate, P8_TA(2018)0075.</w:t>
      </w:r>
    </w:p>
  </w:footnote>
  <w:footnote w:id="2">
    <w:p w:rsidR="00C209B7" w:rsidRPr="00B24F09" w:rsidRDefault="00C209B7">
      <w:pPr>
        <w:pStyle w:val="FootnoteText"/>
      </w:pPr>
      <w:r w:rsidRPr="00B24F09">
        <w:rPr>
          <w:rStyle w:val="FootnoteReference"/>
        </w:rPr>
        <w:footnoteRef/>
      </w:r>
      <w:r w:rsidRPr="00B24F09">
        <w:t xml:space="preserve"> Texte adoptate, P8_TA(2018)0076.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A2" w:rsidRDefault="0061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A2" w:rsidRDefault="0061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A2" w:rsidRDefault="0061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YPEMNU" w:val=" 2"/>
    <w:docVar w:name="LastEditedSection" w:val=" 1"/>
    <w:docVar w:name="STATMNU" w:val=" 7"/>
    <w:docVar w:name="strDocTypeID" w:val="RE_Statements"/>
    <w:docVar w:name="strSubDir" w:val="1154"/>
    <w:docVar w:name="TXTLANGUE" w:val="EN"/>
    <w:docVar w:name="TXTLANGUEMIN" w:val="en"/>
    <w:docVar w:name="TXTNRB" w:val="0239/2018"/>
    <w:docVar w:name="TXTNRPE" w:val="621.622"/>
    <w:docVar w:name="TXTNRRSP" w:val="2018/2714"/>
    <w:docVar w:name="TXTPEorAP" w:val="PE"/>
    <w:docVar w:name="TXTROUTE" w:val="RE\1154256EN.docx"/>
    <w:docVar w:name="TXTTITLE" w:val="the 2021-2027 Multiannual Financial Framework and own resources"/>
    <w:docVar w:name="TXTVERSION" w:val="01-00"/>
  </w:docVars>
  <w:rsids>
    <w:rsidRoot w:val="00F34BAC"/>
    <w:rsid w:val="00037F46"/>
    <w:rsid w:val="00094DDA"/>
    <w:rsid w:val="001B49A3"/>
    <w:rsid w:val="001B5D12"/>
    <w:rsid w:val="001C62C5"/>
    <w:rsid w:val="001D4705"/>
    <w:rsid w:val="002574AA"/>
    <w:rsid w:val="002B54A1"/>
    <w:rsid w:val="002C7767"/>
    <w:rsid w:val="00303413"/>
    <w:rsid w:val="003772FA"/>
    <w:rsid w:val="005821AB"/>
    <w:rsid w:val="0058312A"/>
    <w:rsid w:val="00597CD8"/>
    <w:rsid w:val="005B078D"/>
    <w:rsid w:val="00611FA2"/>
    <w:rsid w:val="00706BC0"/>
    <w:rsid w:val="00723A0B"/>
    <w:rsid w:val="00780A7D"/>
    <w:rsid w:val="007C37D8"/>
    <w:rsid w:val="00814BC6"/>
    <w:rsid w:val="00856055"/>
    <w:rsid w:val="008A4052"/>
    <w:rsid w:val="00907285"/>
    <w:rsid w:val="00953692"/>
    <w:rsid w:val="009D5D14"/>
    <w:rsid w:val="009E29A7"/>
    <w:rsid w:val="00A63131"/>
    <w:rsid w:val="00A90219"/>
    <w:rsid w:val="00AD0198"/>
    <w:rsid w:val="00B24F09"/>
    <w:rsid w:val="00B2705B"/>
    <w:rsid w:val="00B34A46"/>
    <w:rsid w:val="00C209B7"/>
    <w:rsid w:val="00C23264"/>
    <w:rsid w:val="00C77DC9"/>
    <w:rsid w:val="00CC09D8"/>
    <w:rsid w:val="00D12F64"/>
    <w:rsid w:val="00D536DA"/>
    <w:rsid w:val="00D90D37"/>
    <w:rsid w:val="00E53167"/>
    <w:rsid w:val="00EB4C5A"/>
    <w:rsid w:val="00EE4080"/>
    <w:rsid w:val="00EE7457"/>
    <w:rsid w:val="00F26DE8"/>
    <w:rsid w:val="00F34BAC"/>
    <w:rsid w:val="00F4455A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2641CD-A9DC-49A4-AD87-3F4EA44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2574AA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1B49A3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E53167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C23264"/>
    <w:pPr>
      <w:spacing w:after="480"/>
    </w:pPr>
    <w:rPr>
      <w:b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RefProc">
    <w:name w:val="RefProc"/>
    <w:basedOn w:val="Normal"/>
    <w:rsid w:val="00094DDA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094DDA"/>
    <w:pPr>
      <w:spacing w:after="1200"/>
    </w:pPr>
  </w:style>
  <w:style w:type="paragraph" w:styleId="BalloonText">
    <w:name w:val="Balloon Text"/>
    <w:basedOn w:val="Normal"/>
    <w:link w:val="BalloonTextChar"/>
    <w:rsid w:val="00C20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09B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C209B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209B7"/>
  </w:style>
  <w:style w:type="character" w:styleId="FootnoteReference">
    <w:name w:val="footnote reference"/>
    <w:basedOn w:val="DefaultParagraphFont"/>
    <w:rsid w:val="00C20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69EA-9E67-44DA-9965-A7DD7A3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965BFD28.dotm</Template>
  <TotalTime>0</TotalTime>
  <Pages>5</Pages>
  <Words>1966</Words>
  <Characters>11793</Characters>
  <Application>Microsoft Office Word</Application>
  <DocSecurity>0</DocSecurity>
  <Lines>193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DE WILDE Alice</dc:creator>
  <cp:keywords/>
  <dc:description/>
  <cp:lastModifiedBy>DIACONESCU Simona</cp:lastModifiedBy>
  <cp:revision>2</cp:revision>
  <cp:lastPrinted>2018-05-25T14:27:00Z</cp:lastPrinted>
  <dcterms:created xsi:type="dcterms:W3CDTF">2018-05-28T18:31:00Z</dcterms:created>
  <dcterms:modified xsi:type="dcterms:W3CDTF">2018-05-28T18:31:00Z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1154256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\\eiciLUXpr1\pdocep$\DocEP\DOCS\General\RE\RE_Statements.dot(13/10/2017 11:48:29)</vt:lpwstr>
  </property>
  <property fmtid="{D5CDD505-2E9C-101B-9397-08002B2CF9AE}" pid="7" name="&lt;ModelTra&gt;">
    <vt:lpwstr>\\eiciLUXpr1\pdocep$\DocEP\TRANSFIL\EN\RE_Statements.EN(13/10/2017 11:43:44)</vt:lpwstr>
  </property>
  <property fmtid="{D5CDD505-2E9C-101B-9397-08002B2CF9AE}" pid="8" name="&lt;Model&gt;">
    <vt:lpwstr>RE_Statements</vt:lpwstr>
  </property>
  <property fmtid="{D5CDD505-2E9C-101B-9397-08002B2CF9AE}" pid="9" name="FooterPath">
    <vt:lpwstr>RE\1154256RO.docx</vt:lpwstr>
  </property>
  <property fmtid="{D5CDD505-2E9C-101B-9397-08002B2CF9AE}" pid="10" name="PE number">
    <vt:lpwstr>621.622</vt:lpwstr>
  </property>
  <property fmtid="{D5CDD505-2E9C-101B-9397-08002B2CF9AE}" pid="11" name="Bookout">
    <vt:lpwstr>OK - 2018/05/28 20:31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RO</vt:lpwstr>
  </property>
</Properties>
</file>