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144FDF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054D5" w:rsidRPr="00144FDF" w:rsidRDefault="00144FDF" w:rsidP="00C868A4">
            <w:pPr>
              <w:pStyle w:val="EPName"/>
            </w:pPr>
            <w:r>
              <w:t>Parlamento europeo</w:t>
            </w:r>
          </w:p>
          <w:p w:rsidR="00E054D5" w:rsidRPr="00A90FC2" w:rsidRDefault="00A90FC2" w:rsidP="00A90FC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E054D5" w:rsidRPr="00144FDF" w:rsidRDefault="00FC1968" w:rsidP="00C868A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89074B" w:rsidRPr="00144FDF" w:rsidRDefault="0089074B" w:rsidP="0089074B">
      <w:pPr>
        <w:pStyle w:val="LineTop"/>
      </w:pPr>
    </w:p>
    <w:p w:rsidR="0089074B" w:rsidRPr="00144FDF" w:rsidRDefault="00A90FC2" w:rsidP="0089074B">
      <w:pPr>
        <w:pStyle w:val="ZSessionDoc"/>
      </w:pPr>
      <w:r>
        <w:t>Documento di seduta</w:t>
      </w:r>
    </w:p>
    <w:p w:rsidR="002C0ACF" w:rsidRPr="00144FDF" w:rsidRDefault="002C0ACF" w:rsidP="002C0ACF">
      <w:pPr>
        <w:pStyle w:val="LineBottom"/>
      </w:pPr>
    </w:p>
    <w:p w:rsidR="002C0ACF" w:rsidRPr="00144FDF" w:rsidRDefault="002C0ACF" w:rsidP="002C0ACF">
      <w:pPr>
        <w:pStyle w:val="RefProc"/>
      </w:pPr>
      <w:bookmarkStart w:id="0" w:name="_GoBack"/>
      <w:bookmarkEnd w:id="0"/>
      <w:r>
        <w:rPr>
          <w:rStyle w:val="HideTWBExt"/>
          <w:b w:val="0"/>
          <w:noProof w:val="0"/>
        </w:rPr>
        <w:t>&lt;NoDocSe&gt;</w:t>
      </w:r>
      <w:r>
        <w:t>B8-0485/2018</w:t>
      </w:r>
      <w:r>
        <w:rPr>
          <w:rStyle w:val="HideTWBExt"/>
          <w:b w:val="0"/>
          <w:noProof w:val="0"/>
        </w:rPr>
        <w:t>&lt;/NoDocSe&gt;</w:t>
      </w:r>
    </w:p>
    <w:p w:rsidR="002C0ACF" w:rsidRPr="00144FDF" w:rsidRDefault="002C0ACF" w:rsidP="002C0AC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{17/10/2018}</w:t>
      </w:r>
      <w:r>
        <w:t>17.10.2018</w:t>
      </w:r>
      <w:r>
        <w:rPr>
          <w:rStyle w:val="HideTWBExt"/>
          <w:noProof w:val="0"/>
        </w:rPr>
        <w:t>&lt;/Date&gt;</w:t>
      </w:r>
    </w:p>
    <w:p w:rsidR="004D339E" w:rsidRPr="00144FDF" w:rsidRDefault="004D339E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PROPOSTA DI RISOLUZIONE</w:t>
      </w:r>
      <w:r>
        <w:rPr>
          <w:rStyle w:val="HideTWBExt"/>
          <w:b w:val="0"/>
          <w:noProof w:val="0"/>
        </w:rPr>
        <w:t>&lt;/TitreType&gt;</w:t>
      </w:r>
    </w:p>
    <w:p w:rsidR="004D339E" w:rsidRPr="00144FDF" w:rsidRDefault="004D339E">
      <w:pPr>
        <w:pStyle w:val="Cover12"/>
      </w:pPr>
      <w:r>
        <w:rPr>
          <w:rStyle w:val="HideTWBExt"/>
          <w:noProof w:val="0"/>
        </w:rPr>
        <w:t>&lt;TitreSuite&gt;</w:t>
      </w:r>
      <w:r>
        <w:t>presentata a seguito dell'interrogazione con richiesta di risposta orale B8-0410/2018</w:t>
      </w:r>
      <w:r>
        <w:rPr>
          <w:rStyle w:val="HideTWBExt"/>
          <w:noProof w:val="0"/>
        </w:rPr>
        <w:t>&lt;/TitreSuite&gt;</w:t>
      </w:r>
    </w:p>
    <w:p w:rsidR="004D339E" w:rsidRPr="00144FDF" w:rsidRDefault="004D339E">
      <w:pPr>
        <w:pStyle w:val="Cover12"/>
      </w:pPr>
      <w:r>
        <w:rPr>
          <w:rStyle w:val="HideTWBExt"/>
          <w:noProof w:val="0"/>
        </w:rPr>
        <w:t>&lt;TitreRecueil&gt;</w:t>
      </w:r>
      <w:r>
        <w:t>a norma dell'articolo 128, paragrafo 5, del regolamento</w:t>
      </w:r>
      <w:r>
        <w:rPr>
          <w:rStyle w:val="HideTWBExt"/>
          <w:noProof w:val="0"/>
        </w:rPr>
        <w:t>&lt;/TitreRecueil&gt;</w:t>
      </w:r>
    </w:p>
    <w:p w:rsidR="00450DDD" w:rsidRPr="00A90FC2" w:rsidRDefault="00450DDD" w:rsidP="00450DDD">
      <w:pPr>
        <w:pStyle w:val="CoverNormal"/>
      </w:pPr>
      <w:r>
        <w:rPr>
          <w:rStyle w:val="HideTWBExt"/>
          <w:noProof w:val="0"/>
          <w:lang w:val="en-GB"/>
        </w:rPr>
        <w:t>&lt;Titre&gt;</w:t>
      </w:r>
      <w:r>
        <w:t>sul benessere degli animali, l'uso di antimicrobici e l'impatto ambientale dell'allevamento industriale dei polli da carne</w:t>
      </w:r>
      <w:r>
        <w:rPr>
          <w:rStyle w:val="HideTWBExt"/>
          <w:noProof w:val="0"/>
          <w:lang w:val="en-GB"/>
        </w:rPr>
        <w:t>&lt;/Titre&gt;</w:t>
      </w:r>
    </w:p>
    <w:p w:rsidR="00450DDD" w:rsidRPr="00144FDF" w:rsidRDefault="00450DDD" w:rsidP="00450DDD">
      <w:pPr>
        <w:pStyle w:val="Cover24"/>
      </w:pPr>
      <w:r>
        <w:rPr>
          <w:rStyle w:val="HideTWBExt"/>
          <w:noProof w:val="0"/>
        </w:rPr>
        <w:t>&lt;DocRef&gt;</w:t>
      </w:r>
      <w:r>
        <w:t>(2018/2858(RSP))</w:t>
      </w:r>
      <w:r>
        <w:rPr>
          <w:rStyle w:val="HideTWBExt"/>
          <w:noProof w:val="0"/>
        </w:rPr>
        <w:t>&lt;/DocRef&gt;</w:t>
      </w:r>
    </w:p>
    <w:p w:rsidR="00507541" w:rsidRPr="00A90FC2" w:rsidRDefault="00507541" w:rsidP="00507541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Herbert Dorfmann</w:t>
      </w:r>
      <w:r>
        <w:rPr>
          <w:rStyle w:val="HideTWBExt"/>
          <w:b w:val="0"/>
          <w:noProof w:val="0"/>
          <w:color w:val="auto"/>
        </w:rPr>
        <w:t>&lt;/Depute&gt;</w:t>
      </w:r>
    </w:p>
    <w:p w:rsidR="00507541" w:rsidRPr="00144FDF" w:rsidRDefault="00507541" w:rsidP="00507541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{PPE}</w:t>
      </w:r>
      <w:r>
        <w:t>a nome del gruppo PPE</w:t>
      </w:r>
      <w:r>
        <w:rPr>
          <w:rStyle w:val="HideTWBExt"/>
          <w:noProof w:val="0"/>
        </w:rPr>
        <w:t>&lt;/Commission&gt;</w:t>
      </w:r>
    </w:p>
    <w:p w:rsidR="00507541" w:rsidRPr="00144FDF" w:rsidRDefault="00507541" w:rsidP="00507541">
      <w:pPr>
        <w:pStyle w:val="CoverNormal"/>
      </w:pPr>
      <w:r>
        <w:rPr>
          <w:rStyle w:val="HideTWBExt"/>
          <w:noProof w:val="0"/>
        </w:rPr>
        <w:t>&lt;/RepeatBlock-By&gt;</w:t>
      </w:r>
    </w:p>
    <w:p w:rsidR="004D339E" w:rsidRPr="00A90FC2" w:rsidRDefault="004D339E">
      <w:pPr>
        <w:pStyle w:val="Normal12Bold"/>
      </w:pPr>
      <w:r>
        <w:br w:type="page"/>
      </w:r>
      <w:r>
        <w:lastRenderedPageBreak/>
        <w:t>B8-0485/2018</w:t>
      </w:r>
    </w:p>
    <w:p w:rsidR="00450DDD" w:rsidRPr="00A90FC2" w:rsidRDefault="00A90FC2" w:rsidP="00450DDD">
      <w:pPr>
        <w:pStyle w:val="NormalBold"/>
      </w:pPr>
      <w:r>
        <w:t>Risoluzione del Parlamento europeo sul benessere degli animali, l'uso di antimicrobici e l'impatto ambientale dell'allevamento industriale dei polli da carne</w:t>
      </w:r>
    </w:p>
    <w:p w:rsidR="00450DDD" w:rsidRPr="00144FDF" w:rsidRDefault="00144FDF" w:rsidP="00450DDD">
      <w:pPr>
        <w:pStyle w:val="Normal24Bold"/>
      </w:pPr>
      <w:r>
        <w:t>(2018/2858(RSP))</w:t>
      </w:r>
    </w:p>
    <w:p w:rsidR="004D339E" w:rsidRPr="00144FDF" w:rsidRDefault="00144FDF">
      <w:pPr>
        <w:pStyle w:val="Normal12"/>
      </w:pPr>
      <w:r>
        <w:rPr>
          <w:i/>
        </w:rPr>
        <w:t>Il Parlamento europeo</w:t>
      </w:r>
      <w:r>
        <w:t>,</w:t>
      </w:r>
    </w:p>
    <w:p w:rsidR="00A90FC2" w:rsidRPr="00A43761" w:rsidRDefault="004D339E" w:rsidP="00A90FC2">
      <w:pPr>
        <w:pStyle w:val="Normal12Hanging"/>
      </w:pPr>
      <w:r>
        <w:t>–</w:t>
      </w:r>
      <w:r>
        <w:tab/>
        <w:t xml:space="preserve"> visto il regolamento (UE) 2016/429 del Parlamento europeo e del Consiglio, del 9 marzo 2016, relativo alle malattie animali trasmissibili e che modifica e abroga taluni atti in materia di sanità animale ("normativa in materia di sanità animale")</w:t>
      </w:r>
      <w:r w:rsidR="00A90FC2" w:rsidRPr="00A43761">
        <w:rPr>
          <w:rStyle w:val="FootnoteReference"/>
        </w:rPr>
        <w:footnoteReference w:id="1"/>
      </w:r>
      <w:r>
        <w:t>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visto il regolamento (UE) 2017/625 del Parlamento europeo e del Consiglio, del 15 marzo 2017, relativo ai controlli ufficiali e alle altre attività ufficiali effettuati per garantire l'applicazione della legislazione sugli alimenti e sui mangimi, delle norme sulla salute e sul benessere degli animali, sulla sanità delle piante nonché sui prodotti fitosanitari</w:t>
      </w:r>
      <w:r w:rsidRPr="00A43761">
        <w:rPr>
          <w:rStyle w:val="FootnoteReference"/>
        </w:rPr>
        <w:footnoteReference w:id="2"/>
      </w:r>
      <w:r>
        <w:t>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visto il pacchetto igiene dell'Unione europea, del 29 aprile 2004, che consiste dei regolamenti (CE) n. 852/2004</w:t>
      </w:r>
      <w:r w:rsidRPr="00A43761">
        <w:rPr>
          <w:rStyle w:val="FootnoteReference"/>
        </w:rPr>
        <w:footnoteReference w:id="3"/>
      </w:r>
      <w:r>
        <w:t>, 853/2004</w:t>
      </w:r>
      <w:r w:rsidRPr="00A43761">
        <w:rPr>
          <w:rStyle w:val="FootnoteReference"/>
        </w:rPr>
        <w:footnoteReference w:id="4"/>
      </w:r>
      <w:r>
        <w:t xml:space="preserve"> e 854/2004</w:t>
      </w:r>
      <w:r w:rsidRPr="00A43761">
        <w:rPr>
          <w:rStyle w:val="FootnoteReference"/>
        </w:rPr>
        <w:footnoteReference w:id="5"/>
      </w:r>
      <w:r>
        <w:t xml:space="preserve"> del Parlamento europeo e del Consiglio,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direttiva 2007/43/CE del Consiglio, del 28 luglio 2007, che stabilisce norme minime per la protezione dei polli allevati per la produzione di carne</w:t>
      </w:r>
      <w:r w:rsidRPr="00A43761">
        <w:rPr>
          <w:rStyle w:val="FootnoteReference"/>
        </w:rPr>
        <w:footnoteReference w:id="6"/>
      </w:r>
      <w:r>
        <w:t>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comunicazione della Commissione del 29 giugno 2017 dal titolo "Piano d'azione europeo 'One Health' contro la resistenza antimicrobica" (COM(2017)0339),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decisione di esecuzione (UE) 2017/302 della Commissione, del 15 febbraio 2017, che stabilisce le conclusioni sulle migliori tecniche disponibili (BAT) concernenti l'allevamento intensivo di pollame o di suini, ai sensi della direttiva 2010/75/UE del Parlamento europeo e del Consiglio</w:t>
      </w:r>
      <w:r w:rsidRPr="00A43761">
        <w:rPr>
          <w:rStyle w:val="FootnoteReference"/>
        </w:rPr>
        <w:footnoteReference w:id="7"/>
      </w:r>
      <w:r>
        <w:t>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proposta di regolamento del Parlamento europeo e del Consiglio relativo ai medicinali veterinari, del 10 settembre 2014 (COM(2014)0558),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comunicazione della Commissione del 19 gennaio 2012 sulla strategia dell'Unione europea per la protezione e il benessere degli animali 2012-2015 (COM(2012)0006),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Convenzione europea sulla protezione degli animali negli allevamenti,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la relazione della Commissione al Parlamento europeo e al Consiglio, del 13 aprile 2018, relativa all'applicazione della direttiva 2007/43/CE e alla sua incidenza sul benessere dei polli allevati per la produzione di carne, nonché alla definizione degli indicatori di benessere (COM(2018)0181),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vista l'interrogazione alla Commissione su benessere degli animali, uso di medicinali antimicrobici e impatto ambientale dell'allevamento industriale dei polli da carne (O-000095/2018 – B8-0410/2018),</w:t>
      </w:r>
    </w:p>
    <w:p w:rsidR="00A90FC2" w:rsidRPr="00A90FC2" w:rsidRDefault="00A90FC2" w:rsidP="00A90FC2">
      <w:pPr>
        <w:pStyle w:val="Normal12Hanging"/>
      </w:pPr>
      <w:r>
        <w:t>–</w:t>
      </w:r>
      <w:r>
        <w:tab/>
        <w:t>visti l'articolo 128, paragrafo 5, e l'articolo 123, paragrafo 2, del suo regolamento,</w:t>
      </w:r>
    </w:p>
    <w:p w:rsidR="00A90FC2" w:rsidRPr="00A90FC2" w:rsidRDefault="00A90FC2" w:rsidP="00A90FC2">
      <w:pPr>
        <w:pStyle w:val="Normal12Hanging"/>
      </w:pPr>
      <w:r>
        <w:t>A.</w:t>
      </w:r>
      <w:r>
        <w:tab/>
        <w:t>considerando che le prospettive agricole dell'OCSE e della FAO 2018-2027 confermano che la crescita della produzione totale di carne resta riconducibile, in primo luogo, alla carne di pollame; che i bassi costi di produzione, gli elevati indici di conversione alimentare e i prezzi contenuti dei prodotti hanno contribuito a fare del pollame il tipo di carne preferito, sia dai produttori che dai consumatori;</w:t>
      </w:r>
    </w:p>
    <w:p w:rsidR="00A90FC2" w:rsidRPr="00A90FC2" w:rsidRDefault="00A90FC2" w:rsidP="00A90FC2">
      <w:pPr>
        <w:pStyle w:val="Normal12Hanging"/>
      </w:pPr>
      <w:r>
        <w:t>B.</w:t>
      </w:r>
      <w:r>
        <w:tab/>
        <w:t>considerando che, in base a un recente studio, il consumo di carne di pollame, nel quadro di una dieta ricca di verdure, è associato a una riduzione del rischio di sviluppare sovrappeso e obesità, malattie cardiovascolari e diabete mellito di tipo 2</w:t>
      </w:r>
      <w:r w:rsidRPr="00A43761">
        <w:rPr>
          <w:rStyle w:val="FootnoteReference"/>
        </w:rPr>
        <w:footnoteReference w:id="8"/>
      </w:r>
      <w:r>
        <w:t>;</w:t>
      </w:r>
    </w:p>
    <w:p w:rsidR="00A90FC2" w:rsidRPr="00A90FC2" w:rsidRDefault="00A90FC2" w:rsidP="00A90FC2">
      <w:pPr>
        <w:pStyle w:val="Normal12Hanging"/>
      </w:pPr>
      <w:r>
        <w:t>C.</w:t>
      </w:r>
      <w:r>
        <w:tab/>
        <w:t>considerando che il settore avicolo europeo basa la propria produzione sul principio "dai campi alla tavola"</w:t>
      </w:r>
      <w:r w:rsidRPr="00A43761">
        <w:rPr>
          <w:rStyle w:val="FootnoteReference"/>
        </w:rPr>
        <w:footnoteReference w:id="9"/>
      </w:r>
      <w:r>
        <w:t>;</w:t>
      </w:r>
    </w:p>
    <w:p w:rsidR="00A90FC2" w:rsidRPr="00A90FC2" w:rsidRDefault="00A90FC2" w:rsidP="00A90FC2">
      <w:pPr>
        <w:pStyle w:val="Normal12Hanging"/>
      </w:pPr>
      <w:r>
        <w:t>D.</w:t>
      </w:r>
      <w:r>
        <w:tab/>
        <w:t>considerando che l'Unione europea è riconosciuta come uno degli attori più impegnati e all'avanguardia nel campo della legislazione sul benessere degli animali</w:t>
      </w:r>
      <w:r w:rsidRPr="00A43761">
        <w:rPr>
          <w:rStyle w:val="FootnoteReference"/>
        </w:rPr>
        <w:footnoteReference w:id="10"/>
      </w:r>
      <w:r>
        <w:t>;</w:t>
      </w:r>
    </w:p>
    <w:p w:rsidR="00A90FC2" w:rsidRPr="00A90FC2" w:rsidRDefault="00A90FC2" w:rsidP="00A90FC2">
      <w:pPr>
        <w:pStyle w:val="Normal12Hanging"/>
      </w:pPr>
      <w:r>
        <w:t>E.</w:t>
      </w:r>
      <w:r>
        <w:tab/>
        <w:t>considerando che è importante che gli Stati membri dell'Unione europea e i produttori europei rispettino tali norme e che la Commissione e le autorità degli Stati membri effettuino ispezioni regolari in questo settore;</w:t>
      </w:r>
    </w:p>
    <w:p w:rsidR="00A90FC2" w:rsidRPr="00A90FC2" w:rsidRDefault="00A90FC2" w:rsidP="00A90FC2">
      <w:pPr>
        <w:pStyle w:val="Normal12Hanging"/>
      </w:pPr>
      <w:r>
        <w:t>F.</w:t>
      </w:r>
      <w:r>
        <w:tab/>
        <w:t>considerando che a livello mondiale la domanda di carne di pollame cresce più dell'offerta; che tra il 2000 e il 2050 si prevede un aumento del 120 %; che il maggior consumo di carne di pollame si è tradotto anche in un aumento del consumo di carne nell'UE (la quota della carne di pollame sul consumo totale di carne è passata dal 12,6 %, nel 1964, al 31,4 %, nel 2014);</w:t>
      </w:r>
    </w:p>
    <w:p w:rsidR="00A90FC2" w:rsidRPr="00A90FC2" w:rsidRDefault="00A90FC2" w:rsidP="00A90FC2">
      <w:pPr>
        <w:pStyle w:val="Normal12Hanging"/>
      </w:pPr>
      <w:r>
        <w:t>G.</w:t>
      </w:r>
      <w:r>
        <w:tab/>
        <w:t>considerando che le conclusioni relative alle migliori tecniche disponibili (BAT) stabilite nella decisione di esecuzione (UE) 2017/302 della Commissione per l'allevamento intensivo di pollame o suini prevedono tecniche corredate di rigorosi limiti di emissione per ridurre l'impatto ambientale della produzione avicola, in particolare le emissioni di ammoniaca nell'aria legate alla produzione di polli da carne</w:t>
      </w:r>
      <w:r w:rsidRPr="00A43761">
        <w:rPr>
          <w:rStyle w:val="FootnoteReference"/>
        </w:rPr>
        <w:footnoteReference w:id="11"/>
      </w:r>
      <w:r>
        <w:t>;</w:t>
      </w:r>
    </w:p>
    <w:p w:rsidR="00A90FC2" w:rsidRPr="00A90FC2" w:rsidRDefault="00A90FC2" w:rsidP="00A90FC2">
      <w:pPr>
        <w:pStyle w:val="Normal12Hanging"/>
      </w:pPr>
      <w:r>
        <w:t>H.</w:t>
      </w:r>
      <w:r>
        <w:tab/>
        <w:t>considerando che da recenti valutazioni dell'impatto ambientale della produzione animale emerge che il pollame presenta le emissioni di ammoniaca e di gas a effetto serra più basse</w:t>
      </w:r>
      <w:r w:rsidRPr="00A43761">
        <w:rPr>
          <w:rStyle w:val="FootnoteReference"/>
        </w:rPr>
        <w:footnoteReference w:id="12"/>
      </w:r>
      <w:r>
        <w:t>;</w:t>
      </w:r>
    </w:p>
    <w:p w:rsidR="00A90FC2" w:rsidRPr="00A90FC2" w:rsidRDefault="00A90FC2" w:rsidP="00A90FC2">
      <w:pPr>
        <w:pStyle w:val="Normal12Hanging"/>
      </w:pPr>
      <w:r>
        <w:t>I.</w:t>
      </w:r>
      <w:r>
        <w:tab/>
        <w:t>considerando che il livello delle importazioni nell'Unione europea è più elevato nel settore delle carni di pollame che in qualsiasi altro settore delle carni, con il risultato che il 25 % dei petti di pollo consumati nell'Unione proviene da paesi terzi con una legislazione meno rigorosa;</w:t>
      </w:r>
    </w:p>
    <w:p w:rsidR="00A90FC2" w:rsidRPr="00A90FC2" w:rsidRDefault="00A90FC2" w:rsidP="00A90FC2">
      <w:pPr>
        <w:pStyle w:val="Normal12Hanging"/>
      </w:pPr>
      <w:r>
        <w:t>J.</w:t>
      </w:r>
      <w:r>
        <w:tab/>
        <w:t xml:space="preserve">considerando che la maggior parte della carne di pollame importata è utilizzata nel settore dei servizi alimentari o nella trasformazione alimentare, dove le informazioni sull'origine della carne non sono obbligatorie; </w:t>
      </w:r>
    </w:p>
    <w:p w:rsidR="00A90FC2" w:rsidRPr="00A90FC2" w:rsidRDefault="00A90FC2" w:rsidP="00A90FC2">
      <w:pPr>
        <w:pStyle w:val="Normal12Hanging"/>
      </w:pPr>
      <w:r>
        <w:t>K.</w:t>
      </w:r>
      <w:r>
        <w:tab/>
        <w:t>considerando che Brasile</w:t>
      </w:r>
      <w:r w:rsidRPr="00A43761">
        <w:rPr>
          <w:rStyle w:val="FootnoteReference"/>
        </w:rPr>
        <w:footnoteReference w:id="13"/>
      </w:r>
      <w:r>
        <w:t>, Ucraina</w:t>
      </w:r>
      <w:r w:rsidRPr="00A43761">
        <w:rPr>
          <w:rStyle w:val="FootnoteReference"/>
        </w:rPr>
        <w:footnoteReference w:id="14"/>
      </w:r>
      <w:r>
        <w:t xml:space="preserve"> e Thailandia</w:t>
      </w:r>
      <w:r w:rsidRPr="00A43761">
        <w:rPr>
          <w:rStyle w:val="FootnoteReference"/>
        </w:rPr>
        <w:footnoteReference w:id="15"/>
      </w:r>
      <w:r>
        <w:t>, dai quali proviene complessivamente il 90 % delle importazioni da paesi terzi, sono stati tutti sottoposti ad audit dalla DG SANTE della Commissione e che tali audit che hanno evidenziato carenze significative a livello dei processi di produzione e del rispetto della legislazione dell'UE;</w:t>
      </w:r>
    </w:p>
    <w:p w:rsidR="00A90FC2" w:rsidRPr="00A90FC2" w:rsidRDefault="00A90FC2" w:rsidP="00A90FC2">
      <w:pPr>
        <w:pStyle w:val="Normal12Hanging"/>
      </w:pPr>
      <w:r>
        <w:t>1.</w:t>
      </w:r>
      <w:r>
        <w:tab/>
        <w:t>prende atto delle conclusioni della relazione della Commissione relativa all'applicazione della direttiva 2007/43/CE e alla sua incidenza sul benessere dei polli allevati per la produzione di carne; segnala che solo due terzi degli Stati membri hanno istituito i sistemi in parola e che le autorità e gli allevatori hanno potuto misurare i progressi ottenuti e rispettare le norme sulla base di risultati concreti in materia di benessere degli animali, grazie al sistema di attribuzione di un punteggio alla pododermatite;</w:t>
      </w:r>
    </w:p>
    <w:p w:rsidR="00A90FC2" w:rsidRPr="00A90FC2" w:rsidRDefault="00A90FC2" w:rsidP="00A90FC2">
      <w:pPr>
        <w:pStyle w:val="Normal12Hanging"/>
      </w:pPr>
      <w:r>
        <w:t>2.</w:t>
      </w:r>
      <w:r>
        <w:tab/>
        <w:t>ritiene che ispezioni periodiche da parte delle autorità degli Stati membri dell'Unione e della Commissione possano garantire che i produttori avicoli dell'Unione rispettino, nella pratica, le rigorose norme dell'Unione in materia di sicurezza degli alimenti, salute animale, ambiente e benessere degli animali; invita la Commissione a garantire che tali ispezioni siano debitamente e periodicamente effettuate in tutto il territorio dell'Unione;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3.</w:t>
      </w:r>
      <w:r>
        <w:tab/>
        <w:t>evidenzia che l'aspetto più importante in questo settore è la corretta applicazione delle rigorose norme dell'Unione europea in vigore; sottolinea che il Parlamento europeo intende sostenere una produzione di carne di pollame competitiva e sostenibile in tutta l'Unione;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4.</w:t>
      </w:r>
      <w:r>
        <w:tab/>
        <w:t>riconosce gli sforzi già profusi dagli agricoltori nei vari Stati membri in materia di benessere dei polli da carne;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5.</w:t>
      </w:r>
      <w:r>
        <w:tab/>
        <w:t>esorta la Commissione a garantire un'attuazione armonizzata delle disposizioni della direttiva sul benessere dei polli da carne in tutti gli Stati membri, al fine di assicurare parità di condizioni;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6.</w:t>
      </w:r>
      <w:r>
        <w:tab/>
        <w:t>invita la Commissione a proporre una normativa sull'indicazione obbligatoria, sull'etichetta, dell'origine dei prodotti trasformati contenenti carne di pollame, sia nel commercio al dettaglio che nel settore del catering e della ristorazione, in modo che i consumatori possano fare scelte informate;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7.</w:t>
      </w:r>
      <w:r>
        <w:tab/>
        <w:t>rileva che la produzione animale su vasta scala non rappresenta un problema ambientale o di sostenibilità, ma che, al contrario, essa può spesso meglio far fronte al costo delle tecnologie ambientali ed ha dunque emissioni per unità prodotta inferiori a quelle della produzione animale su scala più piccola</w:t>
      </w:r>
      <w:r w:rsidRPr="00A43761">
        <w:rPr>
          <w:rStyle w:val="FootnoteReference"/>
          <w:spacing w:val="-2"/>
        </w:rPr>
        <w:footnoteReference w:id="16"/>
      </w:r>
      <w:r>
        <w:t>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8.</w:t>
      </w:r>
      <w:r>
        <w:tab/>
        <w:t>ritiene che la resistenza antimicrobica sia un problema mondiale e osserva che il settore avicolo europeo e le autorità nazionali stanno adottando iniziative volte a ridurre l'uso degli antibiotici mediante la modernizzazione degli allevamenti avicoli</w:t>
      </w:r>
      <w:r w:rsidRPr="00A43761">
        <w:rPr>
          <w:rStyle w:val="FootnoteReference"/>
          <w:spacing w:val="-2"/>
        </w:rPr>
        <w:footnoteReference w:id="17"/>
      </w:r>
      <w:r>
        <w:t>;</w:t>
      </w:r>
    </w:p>
    <w:p w:rsidR="00A90FC2" w:rsidRPr="00A90FC2" w:rsidRDefault="00A90FC2" w:rsidP="00A90FC2">
      <w:pPr>
        <w:pStyle w:val="Normal12Hanging"/>
        <w:rPr>
          <w:spacing w:val="-2"/>
        </w:rPr>
      </w:pPr>
      <w:r>
        <w:t>9.</w:t>
      </w:r>
      <w:r>
        <w:tab/>
        <w:t xml:space="preserve">invita la Commissione a garantire che i test realizzati sulla carne di pollame importata da paesi terzi siano conformi alla normativa dell'Unione sul benessere animale, la sicurezza degli alimenti e l'ambiente, al fine di garantire condizioni di parità ai produttori dell'Unione europea;  </w:t>
      </w:r>
    </w:p>
    <w:p w:rsidR="004D339E" w:rsidRPr="00A90FC2" w:rsidRDefault="00A90FC2" w:rsidP="00A90FC2">
      <w:pPr>
        <w:pStyle w:val="Normal12Hanging"/>
      </w:pPr>
      <w:r>
        <w:t>10.</w:t>
      </w:r>
      <w:r>
        <w:tab/>
        <w:t>incarica il suo Presidente di trasmettere la presente risoluzione al Consiglio, alla Commissione e ai governi e ai parlamenti degli Stati membri.</w:t>
      </w:r>
    </w:p>
    <w:sectPr w:rsidR="004D339E" w:rsidRPr="00A90FC2" w:rsidSect="00E05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DF" w:rsidRPr="00144FDF" w:rsidRDefault="00144FDF">
      <w:r w:rsidRPr="00144FDF">
        <w:separator/>
      </w:r>
    </w:p>
  </w:endnote>
  <w:endnote w:type="continuationSeparator" w:id="0">
    <w:p w:rsidR="00144FDF" w:rsidRPr="00144FDF" w:rsidRDefault="00144FDF">
      <w:r w:rsidRPr="00144F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D" w:rsidRPr="008F7539" w:rsidRDefault="007D2BD3">
    <w:pPr>
      <w:pStyle w:val="Footer"/>
      <w:tabs>
        <w:tab w:val="right" w:pos="9356"/>
      </w:tabs>
      <w:rPr>
        <w:lang w:val="en-GB"/>
      </w:rPr>
    </w:pPr>
    <w:r>
      <w:fldChar w:fldCharType="begin"/>
    </w:r>
    <w:r w:rsidRPr="008F7539">
      <w:rPr>
        <w:lang w:val="en-GB"/>
      </w:rPr>
      <w:instrText xml:space="preserve"> REF OutsideFooter </w:instrText>
    </w:r>
    <w:r>
      <w:fldChar w:fldCharType="separate"/>
    </w:r>
    <w:r w:rsidR="00D16AD4" w:rsidRPr="00144FDF">
      <w:t>PE</w:t>
    </w:r>
    <w:r w:rsidR="00D16AD4" w:rsidRPr="00144FDF">
      <w:rPr>
        <w:rStyle w:val="HideTWBExt"/>
        <w:noProof w:val="0"/>
      </w:rPr>
      <w:t>&lt;NoPE&gt;</w:t>
    </w:r>
    <w:r w:rsidR="00D16AD4">
      <w:t>624.177</w:t>
    </w:r>
    <w:r w:rsidR="00D16AD4" w:rsidRPr="00144FDF">
      <w:rPr>
        <w:rStyle w:val="HideTWBExt"/>
        <w:noProof w:val="0"/>
      </w:rPr>
      <w:t>&lt;/NoPE&gt;&lt;Version&gt;</w:t>
    </w:r>
    <w:r w:rsidR="00D16AD4" w:rsidRPr="00144FDF">
      <w:t>v</w:t>
    </w:r>
    <w:r w:rsidR="00D16AD4">
      <w:t>01-00</w:t>
    </w:r>
    <w:r w:rsidR="00D16AD4" w:rsidRPr="00144FDF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450DDD" w:rsidRPr="008F7539">
      <w:rPr>
        <w:lang w:val="en-GB"/>
      </w:rPr>
      <w:tab/>
    </w:r>
    <w:r w:rsidR="00450DDD" w:rsidRPr="00144FDF">
      <w:fldChar w:fldCharType="begin"/>
    </w:r>
    <w:r w:rsidR="00450DDD" w:rsidRPr="008F7539">
      <w:rPr>
        <w:lang w:val="en-GB"/>
      </w:rPr>
      <w:instrText xml:space="preserve"> PAGE </w:instrText>
    </w:r>
    <w:r w:rsidR="00450DDD" w:rsidRPr="00144FDF">
      <w:fldChar w:fldCharType="separate"/>
    </w:r>
    <w:r w:rsidR="00D16AD4">
      <w:rPr>
        <w:noProof/>
        <w:lang w:val="en-GB"/>
      </w:rPr>
      <w:t>5</w:t>
    </w:r>
    <w:r w:rsidR="00450DDD" w:rsidRPr="00144FDF">
      <w:fldChar w:fldCharType="end"/>
    </w:r>
    <w:r w:rsidR="00450DDD" w:rsidRPr="008F7539">
      <w:rPr>
        <w:lang w:val="en-GB"/>
      </w:rPr>
      <w:t>/</w:t>
    </w:r>
    <w:r>
      <w:rPr>
        <w:noProof/>
      </w:rPr>
      <w:fldChar w:fldCharType="begin"/>
    </w:r>
    <w:r w:rsidRPr="008F7539">
      <w:rPr>
        <w:noProof/>
        <w:lang w:val="en-GB"/>
      </w:rPr>
      <w:instrText xml:space="preserve"> NUMPAGES </w:instrText>
    </w:r>
    <w:r>
      <w:rPr>
        <w:noProof/>
      </w:rPr>
      <w:fldChar w:fldCharType="separate"/>
    </w:r>
    <w:r w:rsidR="00D16AD4">
      <w:rPr>
        <w:noProof/>
        <w:lang w:val="en-GB"/>
      </w:rPr>
      <w:t>5</w:t>
    </w:r>
    <w:r>
      <w:rPr>
        <w:noProof/>
      </w:rPr>
      <w:fldChar w:fldCharType="end"/>
    </w:r>
    <w:r w:rsidR="00450DDD" w:rsidRPr="008F7539">
      <w:rPr>
        <w:lang w:val="en-GB"/>
      </w:rPr>
      <w:tab/>
    </w:r>
    <w:r>
      <w:rPr>
        <w:rStyle w:val="HideTWBExt"/>
        <w:noProof w:val="0"/>
      </w:rPr>
      <w:fldChar w:fldCharType="begin"/>
    </w:r>
    <w:r w:rsidRPr="008F7539">
      <w:rPr>
        <w:rStyle w:val="HideTWBExt"/>
        <w:noProof w:val="0"/>
        <w:lang w:val="en-GB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D16AD4" w:rsidRPr="00144FDF">
      <w:rPr>
        <w:rStyle w:val="HideTWBExt"/>
        <w:noProof w:val="0"/>
      </w:rPr>
      <w:t>&lt;PathFdR&gt;</w:t>
    </w:r>
    <w:r w:rsidR="00D16AD4" w:rsidRPr="00A90FC2">
      <w:t>RE\1166295IT.docx</w:t>
    </w:r>
    <w:r w:rsidR="00D16AD4" w:rsidRPr="00144FD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450DDD" w:rsidRPr="008F7539" w:rsidRDefault="007D2BD3">
    <w:pPr>
      <w:pStyle w:val="Footer2"/>
      <w:rPr>
        <w:lang w:val="en-GB"/>
      </w:rPr>
    </w:pPr>
    <w:r>
      <w:fldChar w:fldCharType="begin"/>
    </w:r>
    <w:r w:rsidRPr="008F7539">
      <w:rPr>
        <w:lang w:val="en-GB"/>
      </w:rPr>
      <w:instrText xml:space="preserve"> DOCPROPERTY "&lt;Extension&gt;" </w:instrText>
    </w:r>
    <w:r>
      <w:fldChar w:fldCharType="separate"/>
    </w:r>
    <w:r w:rsidR="00D16AD4">
      <w:rPr>
        <w:lang w:val="en-GB"/>
      </w:rPr>
      <w:t>IT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D" w:rsidRPr="008F7539" w:rsidRDefault="007D2BD3">
    <w:pPr>
      <w:pStyle w:val="Footer"/>
      <w:tabs>
        <w:tab w:val="right" w:pos="9356"/>
      </w:tabs>
      <w:rPr>
        <w:lang w:val="en-GB"/>
      </w:rPr>
    </w:pPr>
    <w:r>
      <w:rPr>
        <w:rStyle w:val="HideTWBExt"/>
        <w:noProof w:val="0"/>
      </w:rPr>
      <w:fldChar w:fldCharType="begin"/>
    </w:r>
    <w:r w:rsidRPr="008F7539">
      <w:rPr>
        <w:rStyle w:val="HideTWBExt"/>
        <w:noProof w:val="0"/>
        <w:lang w:val="en-GB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D16AD4" w:rsidRPr="00144FDF">
      <w:rPr>
        <w:rStyle w:val="HideTWBExt"/>
        <w:noProof w:val="0"/>
      </w:rPr>
      <w:t>&lt;PathFdR&gt;</w:t>
    </w:r>
    <w:r w:rsidR="00D16AD4" w:rsidRPr="00A90FC2">
      <w:t>RE\1166295IT.docx</w:t>
    </w:r>
    <w:r w:rsidR="00D16AD4" w:rsidRPr="00144FD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450DDD" w:rsidRPr="008F7539">
      <w:rPr>
        <w:lang w:val="en-GB"/>
      </w:rPr>
      <w:tab/>
    </w:r>
    <w:r w:rsidR="00450DDD" w:rsidRPr="00144FDF">
      <w:fldChar w:fldCharType="begin"/>
    </w:r>
    <w:r w:rsidR="00450DDD" w:rsidRPr="008F7539">
      <w:rPr>
        <w:lang w:val="en-GB"/>
      </w:rPr>
      <w:instrText xml:space="preserve"> PAGE </w:instrText>
    </w:r>
    <w:r w:rsidR="00450DDD" w:rsidRPr="00144FDF">
      <w:fldChar w:fldCharType="separate"/>
    </w:r>
    <w:r w:rsidR="00D16AD4">
      <w:rPr>
        <w:noProof/>
        <w:lang w:val="en-GB"/>
      </w:rPr>
      <w:t>5</w:t>
    </w:r>
    <w:r w:rsidR="00450DDD" w:rsidRPr="00144FDF">
      <w:fldChar w:fldCharType="end"/>
    </w:r>
    <w:r w:rsidR="00450DDD" w:rsidRPr="008F7539">
      <w:rPr>
        <w:lang w:val="en-GB"/>
      </w:rPr>
      <w:t>/</w:t>
    </w:r>
    <w:r>
      <w:rPr>
        <w:noProof/>
      </w:rPr>
      <w:fldChar w:fldCharType="begin"/>
    </w:r>
    <w:r w:rsidRPr="008F7539">
      <w:rPr>
        <w:noProof/>
        <w:lang w:val="en-GB"/>
      </w:rPr>
      <w:instrText xml:space="preserve"> NUMPAGES </w:instrText>
    </w:r>
    <w:r>
      <w:rPr>
        <w:noProof/>
      </w:rPr>
      <w:fldChar w:fldCharType="separate"/>
    </w:r>
    <w:r w:rsidR="00D16AD4">
      <w:rPr>
        <w:noProof/>
        <w:lang w:val="en-GB"/>
      </w:rPr>
      <w:t>5</w:t>
    </w:r>
    <w:r>
      <w:rPr>
        <w:noProof/>
      </w:rPr>
      <w:fldChar w:fldCharType="end"/>
    </w:r>
    <w:r w:rsidR="00450DDD" w:rsidRPr="008F7539">
      <w:rPr>
        <w:lang w:val="en-GB"/>
      </w:rPr>
      <w:tab/>
    </w:r>
    <w:r>
      <w:fldChar w:fldCharType="begin"/>
    </w:r>
    <w:r w:rsidRPr="008F7539">
      <w:rPr>
        <w:lang w:val="en-GB"/>
      </w:rPr>
      <w:instrText xml:space="preserve"> REF OutsideFooter </w:instrText>
    </w:r>
    <w:r>
      <w:fldChar w:fldCharType="separate"/>
    </w:r>
    <w:r w:rsidR="00D16AD4" w:rsidRPr="00144FDF">
      <w:t>PE</w:t>
    </w:r>
    <w:r w:rsidR="00D16AD4" w:rsidRPr="00144FDF">
      <w:rPr>
        <w:rStyle w:val="HideTWBExt"/>
        <w:noProof w:val="0"/>
      </w:rPr>
      <w:t>&lt;NoPE&gt;</w:t>
    </w:r>
    <w:r w:rsidR="00D16AD4">
      <w:t>624.177</w:t>
    </w:r>
    <w:r w:rsidR="00D16AD4" w:rsidRPr="00144FDF">
      <w:rPr>
        <w:rStyle w:val="HideTWBExt"/>
        <w:noProof w:val="0"/>
      </w:rPr>
      <w:t>&lt;/NoPE&gt;&lt;Version&gt;</w:t>
    </w:r>
    <w:r w:rsidR="00D16AD4" w:rsidRPr="00144FDF">
      <w:t>v</w:t>
    </w:r>
    <w:r w:rsidR="00D16AD4">
      <w:t>01-00</w:t>
    </w:r>
    <w:r w:rsidR="00D16AD4" w:rsidRPr="00144FDF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450DDD" w:rsidRPr="008F7539" w:rsidRDefault="00450DDD">
    <w:pPr>
      <w:pStyle w:val="Footer2"/>
      <w:rPr>
        <w:lang w:val="en-GB"/>
      </w:rPr>
    </w:pPr>
    <w:r w:rsidRPr="008F7539">
      <w:rPr>
        <w:lang w:val="en-GB"/>
      </w:rPr>
      <w:tab/>
    </w:r>
    <w:r w:rsidR="007D2BD3">
      <w:fldChar w:fldCharType="begin"/>
    </w:r>
    <w:r w:rsidR="007D2BD3" w:rsidRPr="008F7539">
      <w:rPr>
        <w:lang w:val="en-GB"/>
      </w:rPr>
      <w:instrText xml:space="preserve"> DOCPROPERTY "&lt;Extension&gt;" </w:instrText>
    </w:r>
    <w:r w:rsidR="007D2BD3">
      <w:fldChar w:fldCharType="separate"/>
    </w:r>
    <w:r w:rsidR="00D16AD4">
      <w:rPr>
        <w:lang w:val="en-GB"/>
      </w:rPr>
      <w:t>IT</w:t>
    </w:r>
    <w:r w:rsidR="007D2B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D" w:rsidRPr="00144FDF" w:rsidRDefault="00450DDD">
    <w:pPr>
      <w:pStyle w:val="Footer"/>
    </w:pPr>
    <w:bookmarkStart w:id="1" w:name="InsideFooter"/>
    <w:r w:rsidRPr="00144FDF">
      <w:rPr>
        <w:rStyle w:val="HideTWBExt"/>
        <w:noProof w:val="0"/>
      </w:rPr>
      <w:t>&lt;PathFdR&gt;</w:t>
    </w:r>
    <w:r w:rsidR="00A90FC2" w:rsidRPr="00A90FC2">
      <w:t>RE\1166295IT.docx</w:t>
    </w:r>
    <w:r w:rsidRPr="00144FDF">
      <w:rPr>
        <w:rStyle w:val="HideTWBExt"/>
        <w:noProof w:val="0"/>
      </w:rPr>
      <w:t>&lt;/PathFdR&gt;</w:t>
    </w:r>
    <w:bookmarkEnd w:id="1"/>
    <w:r w:rsidRPr="00144FDF">
      <w:tab/>
    </w:r>
    <w:r w:rsidRPr="00144FDF">
      <w:tab/>
    </w:r>
    <w:bookmarkStart w:id="2" w:name="OutsideFooter"/>
    <w:r w:rsidRPr="00144FDF">
      <w:t>PE</w:t>
    </w:r>
    <w:r w:rsidRPr="00144FDF">
      <w:rPr>
        <w:rStyle w:val="HideTWBExt"/>
        <w:noProof w:val="0"/>
      </w:rPr>
      <w:t>&lt;NoPE&gt;</w:t>
    </w:r>
    <w:r w:rsidR="00A90FC2">
      <w:t>624.177</w:t>
    </w:r>
    <w:r w:rsidRPr="00144FDF">
      <w:rPr>
        <w:rStyle w:val="HideTWBExt"/>
        <w:noProof w:val="0"/>
      </w:rPr>
      <w:t>&lt;/NoPE&gt;&lt;Version&gt;</w:t>
    </w:r>
    <w:r w:rsidR="00144FDF" w:rsidRPr="00144FDF">
      <w:t>v</w:t>
    </w:r>
    <w:r w:rsidR="00A90FC2">
      <w:t>01-00</w:t>
    </w:r>
    <w:r w:rsidRPr="00144FDF">
      <w:rPr>
        <w:rStyle w:val="HideTWBExt"/>
        <w:noProof w:val="0"/>
      </w:rPr>
      <w:t>&lt;/Version&gt;</w:t>
    </w:r>
    <w:bookmarkEnd w:id="2"/>
  </w:p>
  <w:p w:rsidR="00450DDD" w:rsidRPr="00144FDF" w:rsidRDefault="007D2BD3" w:rsidP="0089074B">
    <w:pPr>
      <w:pStyle w:val="Footer2"/>
      <w:tabs>
        <w:tab w:val="center" w:pos="4536"/>
      </w:tabs>
    </w:pPr>
    <w:fldSimple w:instr=" DOCPROPERTY &quot;&lt;Extension&gt;&quot; ">
      <w:r w:rsidR="00D16AD4">
        <w:t>IT</w:t>
      </w:r>
    </w:fldSimple>
    <w:r w:rsidR="00450DDD" w:rsidRPr="00144FDF">
      <w:rPr>
        <w:color w:val="C0C0C0"/>
      </w:rPr>
      <w:tab/>
    </w:r>
    <w:r w:rsidR="00A90FC2">
      <w:rPr>
        <w:b w:val="0"/>
        <w:i/>
        <w:color w:val="C0C0C0"/>
        <w:sz w:val="22"/>
        <w:szCs w:val="22"/>
      </w:rPr>
      <w:t>Unita nella diversità</w:t>
    </w:r>
    <w:r w:rsidR="00450DDD" w:rsidRPr="00144FDF">
      <w:rPr>
        <w:color w:val="C0C0C0"/>
      </w:rPr>
      <w:tab/>
    </w:r>
    <w:fldSimple w:instr=" DOCPROPERTY &quot;&lt;Extension&gt;&quot; ">
      <w:r w:rsidR="00D16AD4">
        <w:t>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DF" w:rsidRPr="00144FDF" w:rsidRDefault="00144FDF">
      <w:r w:rsidRPr="00144FDF">
        <w:separator/>
      </w:r>
    </w:p>
  </w:footnote>
  <w:footnote w:type="continuationSeparator" w:id="0">
    <w:p w:rsidR="00144FDF" w:rsidRPr="00144FDF" w:rsidRDefault="00144FDF">
      <w:r w:rsidRPr="00144FDF">
        <w:continuationSeparator/>
      </w:r>
    </w:p>
  </w:footnote>
  <w:footnote w:id="1">
    <w:p w:rsidR="00A90FC2" w:rsidRPr="00D37876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84 del 31.3.2016, pag. 1.</w:t>
      </w:r>
    </w:p>
  </w:footnote>
  <w:footnote w:id="2">
    <w:p w:rsidR="00A90FC2" w:rsidRPr="00D37876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95 del 7.4.2017, pag. 1.</w:t>
      </w:r>
    </w:p>
  </w:footnote>
  <w:footnote w:id="3">
    <w:p w:rsidR="00A90FC2" w:rsidRPr="00D37876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139 del 30.4.2004, pag. 1.</w:t>
      </w:r>
    </w:p>
  </w:footnote>
  <w:footnote w:id="4">
    <w:p w:rsidR="00A90FC2" w:rsidRPr="00D37876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139 del 30.4.2004, pag. 55.</w:t>
      </w:r>
    </w:p>
  </w:footnote>
  <w:footnote w:id="5">
    <w:p w:rsidR="00A90FC2" w:rsidRPr="00D37876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139 del 30.4.2004, pag. 206.</w:t>
      </w:r>
    </w:p>
  </w:footnote>
  <w:footnote w:id="6">
    <w:p w:rsidR="00A90FC2" w:rsidRPr="008F7539" w:rsidRDefault="00A90FC2" w:rsidP="00A90F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F7539">
        <w:rPr>
          <w:lang w:val="en-GB"/>
        </w:rPr>
        <w:t xml:space="preserve"> GU L 182 del 12.7.2007, pag. 19.</w:t>
      </w:r>
    </w:p>
  </w:footnote>
  <w:footnote w:id="7">
    <w:p w:rsidR="00A90FC2" w:rsidRPr="008F7539" w:rsidRDefault="00A90FC2" w:rsidP="00A90F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F7539">
        <w:rPr>
          <w:lang w:val="en-GB"/>
        </w:rPr>
        <w:t xml:space="preserve"> GU L 43 del 21.2.2017, pag. 231.</w:t>
      </w:r>
    </w:p>
  </w:footnote>
  <w:footnote w:id="8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 w:rsidRPr="008F7539">
        <w:rPr>
          <w:lang w:val="en-GB"/>
        </w:rPr>
        <w:t xml:space="preserve"> </w:t>
      </w:r>
      <w:r w:rsidRPr="008F7539">
        <w:rPr>
          <w:sz w:val="18"/>
          <w:szCs w:val="18"/>
          <w:lang w:val="en-GB"/>
        </w:rPr>
        <w:t xml:space="preserve">Marangoni F. et al., </w:t>
      </w:r>
      <w:r w:rsidRPr="008F7539">
        <w:rPr>
          <w:i/>
          <w:sz w:val="18"/>
          <w:szCs w:val="18"/>
          <w:lang w:val="en-GB"/>
        </w:rPr>
        <w:t>Role of poultry meat in a balanced diet aimed at maintaining health and wellbeing: an Italian consensus document</w:t>
      </w:r>
      <w:r w:rsidRPr="008F7539">
        <w:rPr>
          <w:sz w:val="18"/>
          <w:szCs w:val="18"/>
          <w:lang w:val="en-GB"/>
        </w:rPr>
        <w:t xml:space="preserve">, Food and Nutrition Research. </w:t>
      </w:r>
      <w:r>
        <w:rPr>
          <w:sz w:val="18"/>
          <w:szCs w:val="18"/>
        </w:rPr>
        <w:t>2015; 59: 10.3402/fnr.v59.27606.</w:t>
      </w:r>
      <w:r>
        <w:rPr>
          <w:rStyle w:val="Hyperlink"/>
          <w:sz w:val="18"/>
          <w:szCs w:val="18"/>
        </w:rPr>
        <w:t xml:space="preserve"> </w:t>
      </w:r>
    </w:p>
  </w:footnote>
  <w:footnote w:id="9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Note sintetiche del Parlamento europeo sulla sicurezza degli alimenti.</w:t>
      </w:r>
    </w:p>
  </w:footnote>
  <w:footnote w:id="10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Broom, D. M, </w:t>
      </w:r>
      <w:r>
        <w:rPr>
          <w:i/>
          <w:sz w:val="18"/>
          <w:szCs w:val="18"/>
        </w:rPr>
        <w:t>Animal Welfare in the European Union</w:t>
      </w:r>
      <w:r>
        <w:rPr>
          <w:sz w:val="18"/>
          <w:szCs w:val="18"/>
        </w:rPr>
        <w:t>, Studio per la commissione delle petizioni del Parlamento europeo, Unione europea, 2017.</w:t>
      </w:r>
    </w:p>
  </w:footnote>
  <w:footnote w:id="11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GU L 43 del 21.2.2017, pag. 231 – cfr. tabella 3.2.</w:t>
      </w:r>
      <w:r>
        <w:rPr>
          <w:rStyle w:val="Hyperlink"/>
        </w:rPr>
        <w:t xml:space="preserve"> </w:t>
      </w:r>
    </w:p>
  </w:footnote>
  <w:footnote w:id="12">
    <w:p w:rsidR="00A90FC2" w:rsidRPr="008F7539" w:rsidRDefault="00A90FC2" w:rsidP="00A90F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F7539">
        <w:rPr>
          <w:lang w:val="en-GB"/>
        </w:rPr>
        <w:t xml:space="preserve"> Willems, O.W. et al., </w:t>
      </w:r>
      <w:r w:rsidRPr="008F7539">
        <w:rPr>
          <w:i/>
          <w:lang w:val="en-GB"/>
        </w:rPr>
        <w:t>Aspects of selection for feed efficiency in meat producing poultry</w:t>
      </w:r>
      <w:r w:rsidRPr="008F7539">
        <w:rPr>
          <w:lang w:val="en-GB"/>
        </w:rPr>
        <w:t>, World's Poultry Science Journal 69:77-88, marzo 2013.</w:t>
      </w:r>
    </w:p>
  </w:footnote>
  <w:footnote w:id="13">
    <w:p w:rsidR="00A90FC2" w:rsidRPr="008F7539" w:rsidRDefault="00A90FC2" w:rsidP="00A90F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F7539">
        <w:rPr>
          <w:lang w:val="en-GB"/>
        </w:rPr>
        <w:t xml:space="preserve"> Relazione di audit della Commissione europea sul Brasile, </w:t>
      </w:r>
      <w:r w:rsidRPr="008F7539">
        <w:rPr>
          <w:i/>
          <w:lang w:val="en-GB"/>
        </w:rPr>
        <w:t>Beef, horse and poultry meat - follow up of recommendations of audit report DG SANTE/2017-626</w:t>
      </w:r>
      <w:r w:rsidRPr="008F7539">
        <w:rPr>
          <w:lang w:val="en-GB"/>
        </w:rPr>
        <w:t>, 25 giugno 2018.</w:t>
      </w:r>
    </w:p>
  </w:footnote>
  <w:footnote w:id="14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Relazione di audit della Commissione europea sull'Ucraina, </w:t>
      </w:r>
      <w:r>
        <w:rPr>
          <w:i/>
        </w:rPr>
        <w:t>Poultry meat and products derived therefrom</w:t>
      </w:r>
      <w:r>
        <w:t>, 20 luglio 2018</w:t>
      </w:r>
      <w:hyperlink r:id="rId1" w:history="1">
        <w:r>
          <w:rPr>
            <w:rStyle w:val="Hyperlink"/>
          </w:rPr>
          <w:t xml:space="preserve">. </w:t>
        </w:r>
      </w:hyperlink>
    </w:p>
  </w:footnote>
  <w:footnote w:id="15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Relazione di audit della Commissione europea sulla Thailandia, </w:t>
      </w:r>
      <w:r>
        <w:rPr>
          <w:i/>
        </w:rPr>
        <w:t>Poultry meat and products derived therefrom</w:t>
      </w:r>
      <w:r>
        <w:t>, 23 agosto 2018.</w:t>
      </w:r>
    </w:p>
  </w:footnote>
  <w:footnote w:id="16">
    <w:p w:rsidR="00A90FC2" w:rsidRPr="009E4A1D" w:rsidRDefault="00A90FC2" w:rsidP="00A90FC2">
      <w:pPr>
        <w:pStyle w:val="FootnoteText"/>
      </w:pPr>
      <w:r>
        <w:rPr>
          <w:rStyle w:val="FootnoteReference"/>
        </w:rPr>
        <w:footnoteRef/>
      </w:r>
      <w:r>
        <w:t xml:space="preserve"> Von Witzke, H. et al., </w:t>
      </w:r>
      <w:r>
        <w:rPr>
          <w:i/>
        </w:rPr>
        <w:t>Societal benefits of modern poultry meat production in Germany and the EU</w:t>
      </w:r>
      <w:r>
        <w:t>, HFFA Research GmbH, Germania, 2017.</w:t>
      </w:r>
    </w:p>
  </w:footnote>
  <w:footnote w:id="17">
    <w:p w:rsidR="00A90FC2" w:rsidRPr="008F7539" w:rsidRDefault="00A90FC2" w:rsidP="00A90FC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F7539">
        <w:rPr>
          <w:lang w:val="fr-FR"/>
        </w:rPr>
        <w:t xml:space="preserve"> Francia: Comunicato stampa Anses del 5 ottobre 2017, </w:t>
      </w:r>
      <w:r w:rsidRPr="008F7539">
        <w:rPr>
          <w:i/>
          <w:lang w:val="fr-FR"/>
        </w:rPr>
        <w:t>Antibiorésistance en santé animale:</w:t>
      </w:r>
      <w:r w:rsidRPr="008F7539">
        <w:rPr>
          <w:lang w:val="fr-FR"/>
        </w:rPr>
        <w:t xml:space="preserve"> </w:t>
      </w:r>
      <w:r w:rsidRPr="008F7539">
        <w:rPr>
          <w:i/>
          <w:lang w:val="fr-FR"/>
        </w:rPr>
        <w:t>l'exposition des animaux aux antibiotiques continue de diminuer en 2016</w:t>
      </w:r>
      <w:r w:rsidRPr="008F7539">
        <w:rPr>
          <w:lang w:val="fr-FR"/>
        </w:rPr>
        <w:t xml:space="preserve">. </w:t>
      </w:r>
    </w:p>
    <w:p w:rsidR="00A90FC2" w:rsidRPr="008F7539" w:rsidRDefault="00A90FC2" w:rsidP="00A90FC2">
      <w:pPr>
        <w:pStyle w:val="FootnoteText"/>
        <w:rPr>
          <w:lang w:val="en-GB"/>
        </w:rPr>
      </w:pPr>
      <w:r w:rsidRPr="008F7539">
        <w:rPr>
          <w:lang w:val="en-GB"/>
        </w:rPr>
        <w:t xml:space="preserve">Regno Unito: Post del British Poultry Council del 4 giugno 2018, </w:t>
      </w:r>
      <w:r w:rsidRPr="008F7539">
        <w:rPr>
          <w:i/>
          <w:lang w:val="en-GB"/>
        </w:rPr>
        <w:t>British poultry meat sector's drive for excellence in bird health delivers again on antibiotic stewardship</w:t>
      </w:r>
      <w:r w:rsidRPr="008F7539">
        <w:rPr>
          <w:rStyle w:val="Hyperlink"/>
          <w:lang w:val="en-GB"/>
        </w:rPr>
        <w:t>.</w:t>
      </w:r>
      <w:r w:rsidRPr="008F7539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C2" w:rsidRDefault="00A9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C2" w:rsidRDefault="00A90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C2" w:rsidRDefault="00A90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QOMNU" w:val=" 1"/>
    <w:docVar w:name="strDocTypeID" w:val="RE_QO"/>
    <w:docVar w:name="strSubDir" w:val="1166"/>
    <w:docVar w:name="TXTLANGUE" w:val="IT"/>
    <w:docVar w:name="TXTLANGUEMIN" w:val="it"/>
    <w:docVar w:name="TXTNRB" w:val="0485/2018"/>
    <w:docVar w:name="TXTNRPE" w:val="624.177"/>
    <w:docVar w:name="TXTNRRSP" w:val="2018/2858"/>
    <w:docVar w:name="TXTPEorAP" w:val="PE"/>
    <w:docVar w:name="TXTQ1NRB" w:val="0410/2018"/>
    <w:docVar w:name="TXTROUTE" w:val="RE\1166295IT.docx"/>
    <w:docVar w:name="TXTVERSION" w:val="01-00"/>
  </w:docVars>
  <w:rsids>
    <w:rsidRoot w:val="00144FDF"/>
    <w:rsid w:val="000D155E"/>
    <w:rsid w:val="000F0DBA"/>
    <w:rsid w:val="000F2499"/>
    <w:rsid w:val="00144FDF"/>
    <w:rsid w:val="002C0ACF"/>
    <w:rsid w:val="00450DDD"/>
    <w:rsid w:val="004655D0"/>
    <w:rsid w:val="004D339E"/>
    <w:rsid w:val="00507541"/>
    <w:rsid w:val="00554283"/>
    <w:rsid w:val="00593C6A"/>
    <w:rsid w:val="0061349A"/>
    <w:rsid w:val="00643C0C"/>
    <w:rsid w:val="007C013C"/>
    <w:rsid w:val="007D2BD3"/>
    <w:rsid w:val="007E0BCD"/>
    <w:rsid w:val="00826218"/>
    <w:rsid w:val="00844D93"/>
    <w:rsid w:val="0089074B"/>
    <w:rsid w:val="008F7539"/>
    <w:rsid w:val="009105E3"/>
    <w:rsid w:val="00A40163"/>
    <w:rsid w:val="00A474FF"/>
    <w:rsid w:val="00A90FC2"/>
    <w:rsid w:val="00BA7C7D"/>
    <w:rsid w:val="00BE5C95"/>
    <w:rsid w:val="00C11C70"/>
    <w:rsid w:val="00C20AD7"/>
    <w:rsid w:val="00C22D82"/>
    <w:rsid w:val="00C868A4"/>
    <w:rsid w:val="00CB63DD"/>
    <w:rsid w:val="00D16AD4"/>
    <w:rsid w:val="00D3279B"/>
    <w:rsid w:val="00D54D35"/>
    <w:rsid w:val="00D954CF"/>
    <w:rsid w:val="00DE744E"/>
    <w:rsid w:val="00DE756D"/>
    <w:rsid w:val="00E054D5"/>
    <w:rsid w:val="00EB24A9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F84BF5-2CC1-460C-9BA9-BDF0BB5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it-IT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FootnoteText">
    <w:name w:val="footnote text"/>
    <w:basedOn w:val="Normal"/>
    <w:link w:val="FootnoteTextChar"/>
    <w:uiPriority w:val="99"/>
    <w:rsid w:val="00A90F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0FC2"/>
  </w:style>
  <w:style w:type="character" w:styleId="FootnoteReference">
    <w:name w:val="footnote reference"/>
    <w:uiPriority w:val="99"/>
    <w:rsid w:val="00A90FC2"/>
    <w:rPr>
      <w:vertAlign w:val="superscript"/>
    </w:rPr>
  </w:style>
  <w:style w:type="character" w:styleId="Hyperlink">
    <w:name w:val="Hyperlink"/>
    <w:uiPriority w:val="99"/>
    <w:unhideWhenUsed/>
    <w:rsid w:val="00A90F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food/audits-analysis/audit_reports/details.cfm?rep_id=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GRIFFINI Ivana</dc:creator>
  <cp:keywords/>
  <dc:description/>
  <cp:lastModifiedBy>SARTIRANA Anna Paola</cp:lastModifiedBy>
  <cp:revision>2</cp:revision>
  <cp:lastPrinted>2003-08-20T07:58:00Z</cp:lastPrinted>
  <dcterms:created xsi:type="dcterms:W3CDTF">2018-10-22T08:37:00Z</dcterms:created>
  <dcterms:modified xsi:type="dcterms:W3CDTF">2018-10-22T08:37:00Z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1166295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\\eiciLUXpr1\pdocep$\DocEP\DOCS\General\RE\RE_QO.dot(13/10/2017 11:48:29)</vt:lpwstr>
  </property>
  <property fmtid="{D5CDD505-2E9C-101B-9397-08002B2CF9AE}" pid="7" name="&lt;ModelTra&gt;">
    <vt:lpwstr>\\eiciLUXpr1\pdocep$\DocEP\TRANSFIL\IT\RE_QO.IT(13/10/2017 11:46:10)</vt:lpwstr>
  </property>
  <property fmtid="{D5CDD505-2E9C-101B-9397-08002B2CF9AE}" pid="8" name="&lt;Model&gt;">
    <vt:lpwstr>RE_QO</vt:lpwstr>
  </property>
  <property fmtid="{D5CDD505-2E9C-101B-9397-08002B2CF9AE}" pid="9" name="FooterPath">
    <vt:lpwstr>RE\1166295IT.docx</vt:lpwstr>
  </property>
  <property fmtid="{D5CDD505-2E9C-101B-9397-08002B2CF9AE}" pid="10" name="PE number">
    <vt:lpwstr>624.177</vt:lpwstr>
  </property>
  <property fmtid="{D5CDD505-2E9C-101B-9397-08002B2CF9AE}" pid="11" name="Bookout">
    <vt:lpwstr>OK - 2018/10/22 10:37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  <property fmtid="{D5CDD505-2E9C-101B-9397-08002B2CF9AE}" pid="14" name="SubscribeElise">
    <vt:lpwstr/>
  </property>
</Properties>
</file>