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B405B" w:rsidRPr="00605C3B" w:rsidTr="0071095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B405B" w:rsidRPr="00605C3B" w:rsidRDefault="00605C3B" w:rsidP="0071095F">
            <w:pPr>
              <w:pStyle w:val="EPName"/>
            </w:pPr>
            <w:bookmarkStart w:id="0" w:name="_GoBack"/>
            <w:bookmarkEnd w:id="0"/>
            <w:r>
              <w:t>Európai Parlament</w:t>
            </w:r>
          </w:p>
          <w:p w:rsidR="00CB405B" w:rsidRPr="005B1B6C" w:rsidRDefault="005B1B6C" w:rsidP="005B1B6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CB405B" w:rsidRPr="00605C3B" w:rsidRDefault="009476DC" w:rsidP="0071095F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.75pt">
                  <v:imagedata r:id="rId7" o:title="EP logo RGB_Mute"/>
                </v:shape>
              </w:pict>
            </w:r>
          </w:p>
        </w:tc>
      </w:tr>
    </w:tbl>
    <w:p w:rsidR="000C7B89" w:rsidRPr="00605C3B" w:rsidRDefault="000C7B89" w:rsidP="000C7B89">
      <w:pPr>
        <w:pStyle w:val="LineTop"/>
      </w:pPr>
    </w:p>
    <w:p w:rsidR="000C7B89" w:rsidRPr="00605C3B" w:rsidRDefault="005B1B6C" w:rsidP="000C7B89">
      <w:pPr>
        <w:pStyle w:val="ZSessionDoc"/>
      </w:pPr>
      <w:r>
        <w:t>Plenárisülés-dokumentum</w:t>
      </w:r>
    </w:p>
    <w:p w:rsidR="005C0AD2" w:rsidRPr="00605C3B" w:rsidRDefault="005C0AD2" w:rsidP="005C0AD2">
      <w:pPr>
        <w:pStyle w:val="LineBottom"/>
      </w:pPr>
    </w:p>
    <w:p w:rsidR="005B1B6C" w:rsidRPr="008F7B38" w:rsidRDefault="005B1B6C" w:rsidP="005B1B6C">
      <w:pPr>
        <w:pStyle w:val="RefProc"/>
      </w:pPr>
      <w:r>
        <w:rPr>
          <w:rStyle w:val="HideTWBExt"/>
          <w:b w:val="0"/>
        </w:rPr>
        <w:t>&lt;NoDocSe&gt;</w:t>
      </w:r>
      <w:r>
        <w:t>B8-0143/2019</w:t>
      </w:r>
      <w:r>
        <w:rPr>
          <w:rStyle w:val="HideTWBExt"/>
          <w:b w:val="0"/>
        </w:rPr>
        <w:t>&lt;/NoDocSe&gt;</w:t>
      </w:r>
    </w:p>
    <w:p w:rsidR="005B1B6C" w:rsidRPr="008F7B38" w:rsidRDefault="005B1B6C" w:rsidP="005B1B6C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{22/02/2019}</w:t>
      </w:r>
      <w:r>
        <w:t>22.2.2019</w:t>
      </w:r>
      <w:r>
        <w:rPr>
          <w:rStyle w:val="HideTWBExt"/>
        </w:rPr>
        <w:t>&lt;/Date&gt;</w:t>
      </w:r>
    </w:p>
    <w:p w:rsidR="00A93F71" w:rsidRPr="00605C3B" w:rsidRDefault="00A93F71" w:rsidP="00A93F71">
      <w:pPr>
        <w:pStyle w:val="TypeDoc"/>
      </w:pPr>
      <w:r>
        <w:rPr>
          <w:rStyle w:val="HideTWBExt"/>
          <w:b w:val="0"/>
        </w:rPr>
        <w:t>&lt;TitreType&gt;</w:t>
      </w:r>
      <w:r>
        <w:t>HATÁROZATRA IRÁNYULÓ AJÁNLÁS</w:t>
      </w:r>
      <w:r>
        <w:rPr>
          <w:rStyle w:val="HideTWBExt"/>
          <w:b w:val="0"/>
        </w:rPr>
        <w:t>&lt;/TitreType&gt;</w:t>
      </w:r>
    </w:p>
    <w:p w:rsidR="00A93F71" w:rsidRPr="00605C3B" w:rsidRDefault="00A93F71" w:rsidP="00A93F71">
      <w:pPr>
        <w:pStyle w:val="Cover12"/>
      </w:pPr>
      <w:r>
        <w:rPr>
          <w:rStyle w:val="HideTWBExt"/>
        </w:rPr>
        <w:t>&lt;TitreRecueil&gt;</w:t>
      </w:r>
      <w:r>
        <w:t>az eljárási szabályzat 105. cikkének (6) bekezdésével összhangban benyújtva</w:t>
      </w:r>
      <w:r>
        <w:rPr>
          <w:rStyle w:val="HideTWBExt"/>
        </w:rPr>
        <w:t>&lt;/TitreRecueil&gt;</w:t>
      </w:r>
    </w:p>
    <w:p w:rsidR="005B1B6C" w:rsidRPr="008F7B38" w:rsidRDefault="005B1B6C" w:rsidP="005B1B6C">
      <w:pPr>
        <w:pStyle w:val="CoverNormal"/>
      </w:pPr>
      <w:r>
        <w:rPr>
          <w:rStyle w:val="HideTWBExt"/>
        </w:rPr>
        <w:t>&lt;Titre&gt;</w:t>
      </w:r>
      <w:r>
        <w:t>az (EU) 2017/1799 felhatalmazáson alapuló rendeletnek a Bank of England 600/2014/EU rendelet szerinti kereskedés előtti és utáni átláthatósági követelmények alóli mentessége tekintetében történő módosításáról szóló, 2019. január 30-i felhatalmazáson alapuló bizottsági rendelettel szembeni kifogás mellőzésére</w:t>
      </w:r>
      <w:r>
        <w:rPr>
          <w:rStyle w:val="HideTWBExt"/>
        </w:rPr>
        <w:t>&lt;/Titre&gt;</w:t>
      </w:r>
    </w:p>
    <w:p w:rsidR="005B1B6C" w:rsidRPr="008F7B38" w:rsidRDefault="005B1B6C" w:rsidP="005B1B6C">
      <w:pPr>
        <w:pStyle w:val="CoverNormal"/>
      </w:pPr>
      <w:r>
        <w:rPr>
          <w:rStyle w:val="HideTWBExt"/>
        </w:rPr>
        <w:t>&lt;DocRef&gt;</w:t>
      </w:r>
      <w:r>
        <w:t>(C(2019)00793 – 2019/2546(DEA))</w:t>
      </w:r>
      <w:r>
        <w:rPr>
          <w:rStyle w:val="HideTWBExt"/>
        </w:rPr>
        <w:t>&lt;/DocRef&gt;</w:t>
      </w:r>
    </w:p>
    <w:p w:rsidR="00A66299" w:rsidRPr="00605C3B" w:rsidRDefault="00A66299" w:rsidP="00A66299">
      <w:pPr>
        <w:pStyle w:val="Cover12"/>
      </w:pPr>
    </w:p>
    <w:p w:rsidR="005B1B6C" w:rsidRPr="008F7B38" w:rsidRDefault="005B1B6C" w:rsidP="005B1B6C">
      <w:pPr>
        <w:pStyle w:val="CoverBold24"/>
      </w:pPr>
      <w:r>
        <w:rPr>
          <w:rStyle w:val="HideTWBExt"/>
          <w:b w:val="0"/>
        </w:rPr>
        <w:t>&lt;Commission&gt;</w:t>
      </w:r>
      <w:r>
        <w:rPr>
          <w:rStyle w:val="HideTWBInt"/>
        </w:rPr>
        <w:t>{ECON}</w:t>
      </w:r>
      <w:r>
        <w:t>Gazdasági és Monetáris Bizottság</w:t>
      </w:r>
      <w:r>
        <w:rPr>
          <w:rStyle w:val="HideTWBExt"/>
          <w:b w:val="0"/>
        </w:rPr>
        <w:t>&lt;/Commission&gt;</w:t>
      </w:r>
    </w:p>
    <w:p w:rsidR="005B1B6C" w:rsidRPr="008F7B38" w:rsidRDefault="005B1B6C" w:rsidP="005B1B6C">
      <w:pPr>
        <w:pStyle w:val="Cover24"/>
      </w:pPr>
      <w:r>
        <w:t xml:space="preserve">Illetékes képviselő: </w:t>
      </w:r>
      <w:r>
        <w:rPr>
          <w:rStyle w:val="HideTWBExt"/>
        </w:rPr>
        <w:t>&lt;Depute&gt;</w:t>
      </w:r>
      <w:r>
        <w:t>Roberto Gualtieri</w:t>
      </w:r>
      <w:r>
        <w:rPr>
          <w:rStyle w:val="HideTWBExt"/>
        </w:rPr>
        <w:t>&lt;/Depute&gt;</w:t>
      </w:r>
    </w:p>
    <w:p w:rsidR="005B1B6C" w:rsidRPr="008F7B38" w:rsidRDefault="00A93F71" w:rsidP="005B1B6C">
      <w:pPr>
        <w:pStyle w:val="Normal12Bold"/>
      </w:pPr>
      <w:r>
        <w:br w:type="page"/>
      </w:r>
      <w:r>
        <w:lastRenderedPageBreak/>
        <w:t>B8-0143/2019</w:t>
      </w:r>
    </w:p>
    <w:p w:rsidR="005B1B6C" w:rsidRPr="008F7B38" w:rsidRDefault="005B1B6C" w:rsidP="005B1B6C">
      <w:pPr>
        <w:pStyle w:val="NormalBold"/>
      </w:pPr>
      <w:r>
        <w:t>Az Európai Parlament határozattervezete az (EU) 2017/1799 felhatalmazáson alapuló rendeletnek a Bank of England 600/2014/EU rendelet szerinti kereskedés előtti és utáni átláthatósági követelmények alóli mentessége tekintetében történő módosításáról szóló, 2019. január 30-i felhatalmazáson alapuló bizottsági rendelettel szembeni kifogás mellőzéséről</w:t>
      </w:r>
    </w:p>
    <w:p w:rsidR="000E26D5" w:rsidRPr="00605C3B" w:rsidRDefault="005B1B6C" w:rsidP="005B1B6C">
      <w:pPr>
        <w:pStyle w:val="Normal12Bold"/>
      </w:pPr>
      <w:r>
        <w:t>(C(2019)00793 – 2019/2546(DEA))</w:t>
      </w:r>
    </w:p>
    <w:p w:rsidR="000E26D5" w:rsidRPr="00605C3B" w:rsidRDefault="000E26D5" w:rsidP="000E26D5">
      <w:pPr>
        <w:pStyle w:val="Normal12"/>
      </w:pPr>
    </w:p>
    <w:p w:rsidR="00A93F71" w:rsidRPr="00605C3B" w:rsidRDefault="00605C3B" w:rsidP="00A93F71">
      <w:pPr>
        <w:pStyle w:val="Normal12"/>
      </w:pPr>
      <w:r>
        <w:rPr>
          <w:i/>
        </w:rPr>
        <w:t>Az Európai Parlament</w:t>
      </w:r>
      <w:r>
        <w:t>,</w:t>
      </w:r>
    </w:p>
    <w:p w:rsidR="005B1B6C" w:rsidRPr="008F7B38" w:rsidRDefault="005B1B6C" w:rsidP="005B1B6C">
      <w:pPr>
        <w:pStyle w:val="Normal12Hanging"/>
      </w:pPr>
      <w:r>
        <w:t>–</w:t>
      </w:r>
      <w:r>
        <w:tab/>
        <w:t>tekintettel a felhatalmazáson alapuló bizottsági rendeletre (C(2019)00793),</w:t>
      </w:r>
    </w:p>
    <w:p w:rsidR="005B1B6C" w:rsidRPr="008F7B38" w:rsidRDefault="005B1B6C" w:rsidP="005B1B6C">
      <w:pPr>
        <w:pStyle w:val="Normal12Hanging"/>
      </w:pPr>
      <w:r>
        <w:t>–</w:t>
      </w:r>
      <w:r>
        <w:tab/>
        <w:t>tekintettel a Bizottság 2019. január 30-i levelére, amelyben kéri az Európai Parlamenttől annak kinyilvánítását, hogy nem emel kifogást a felhatalmazáson alapuló bizottsági rendelettel szemben,</w:t>
      </w:r>
    </w:p>
    <w:p w:rsidR="005B1B6C" w:rsidRPr="008F7B38" w:rsidRDefault="005B1B6C" w:rsidP="005B1B6C">
      <w:pPr>
        <w:pStyle w:val="Normal12Hanging"/>
      </w:pPr>
      <w:r>
        <w:t>–</w:t>
      </w:r>
      <w:r>
        <w:tab/>
        <w:t>tekintettel a Gazdasági és Monetáris Bizottság által a Bizottsági Elnökök Értekezletének elnökéhez intézett 2019. február 21-i levélre,</w:t>
      </w:r>
    </w:p>
    <w:p w:rsidR="00A93F71" w:rsidRPr="00605C3B" w:rsidRDefault="00A93F71" w:rsidP="00A93F71">
      <w:pPr>
        <w:pStyle w:val="Normal12Hanging"/>
      </w:pPr>
      <w:r>
        <w:t>–</w:t>
      </w:r>
      <w:r>
        <w:tab/>
        <w:t>tekintettel az Európai Unió működéséről szóló szerződés 290. cikkére,</w:t>
      </w:r>
    </w:p>
    <w:p w:rsidR="005B1B6C" w:rsidRPr="008F7B38" w:rsidRDefault="005B1B6C" w:rsidP="005B1B6C">
      <w:pPr>
        <w:pStyle w:val="Normal12Hanging"/>
      </w:pPr>
      <w:r>
        <w:t>–</w:t>
      </w:r>
      <w:r>
        <w:tab/>
        <w:t>tekintettel a pénzügyi eszközök piacairól és a 648/2012/EU rendelet módosításáról szóló, 2014. május 15-i 600/2014/EU európai parlamenti és tanácsi rendeletre</w:t>
      </w:r>
      <w:r w:rsidRPr="008F7B38">
        <w:rPr>
          <w:rStyle w:val="FootnoteReference"/>
        </w:rPr>
        <w:footnoteReference w:id="1"/>
      </w:r>
      <w:r>
        <w:t>, és különösen annak 1. cikke (9) bekezdésére és 50. cikke (5) bekezdésére,</w:t>
      </w:r>
    </w:p>
    <w:p w:rsidR="008E662B" w:rsidRPr="00605C3B" w:rsidRDefault="008E662B" w:rsidP="008E662B">
      <w:pPr>
        <w:pStyle w:val="Normal12Hanging"/>
      </w:pPr>
      <w:r>
        <w:t>–</w:t>
      </w:r>
      <w:r>
        <w:tab/>
        <w:t>tekintettel a Gazdasági és Monetáris Bizottság határozatra vonatkozó ajánlására,</w:t>
      </w:r>
    </w:p>
    <w:p w:rsidR="00A93F71" w:rsidRPr="00605C3B" w:rsidRDefault="00A93F71" w:rsidP="00A93F71">
      <w:pPr>
        <w:pStyle w:val="Normal12Hanging"/>
      </w:pPr>
      <w:r>
        <w:t>–</w:t>
      </w:r>
      <w:r>
        <w:tab/>
        <w:t>tekintettel eljárási szabályzata 105. cikkének (6) bekezdésére,</w:t>
      </w:r>
    </w:p>
    <w:p w:rsidR="005B1B6C" w:rsidRPr="008F7B38" w:rsidRDefault="005B1B6C" w:rsidP="005B1B6C">
      <w:pPr>
        <w:pStyle w:val="Normal12Hanging"/>
      </w:pPr>
      <w:r>
        <w:t>A.</w:t>
      </w:r>
      <w:r>
        <w:tab/>
        <w:t>mivel a felhatalmazáson alapuló módosító jogi aktus fontos módosításokat tartalmaz annak biztosítása érdekében, hogy a Bank of England az Egyesült Királyság jogállásának harmadik országra való minősítését követően továbbra is részesüljön a 600/2014/EU rendelet 1. cikkének (9) bekezdése szerinti mentességből;</w:t>
      </w:r>
    </w:p>
    <w:p w:rsidR="005B1B6C" w:rsidRPr="008F7B38" w:rsidRDefault="005B1B6C" w:rsidP="005B1B6C">
      <w:pPr>
        <w:pStyle w:val="Normal12Hanging"/>
      </w:pPr>
      <w:r>
        <w:t>B.</w:t>
      </w:r>
      <w:r>
        <w:tab/>
        <w:t>mivel a Parlament elismeri e jogi aktus gyors elfogadásának fontosságát annak érdekében, hogy biztosítsa az Európai Unió felkészültségét az Egyesült Királyságnak az Unióból kilépési megállapodás nélküli kilépése esetén;</w:t>
      </w:r>
    </w:p>
    <w:p w:rsidR="005B1B6C" w:rsidRPr="008F7B38" w:rsidRDefault="005B1B6C" w:rsidP="005B1B6C">
      <w:pPr>
        <w:pStyle w:val="Normal12Hanging"/>
      </w:pPr>
      <w:r>
        <w:t>1.</w:t>
      </w:r>
      <w:r>
        <w:tab/>
        <w:t>kijelenti, hogy a felhatalmazáson alapuló bizottsági rendelettel szemben nem emel kifogást;</w:t>
      </w:r>
    </w:p>
    <w:p w:rsidR="00F9151F" w:rsidRPr="00605C3B" w:rsidRDefault="00A93F71" w:rsidP="00744B66">
      <w:pPr>
        <w:pStyle w:val="Normal12Hanging"/>
      </w:pPr>
      <w:r>
        <w:t>2.</w:t>
      </w:r>
      <w:r>
        <w:tab/>
        <w:t>utasítja elnökét, hogy továbbítsa ezt a határozatot a Tanácsnak és a Bizottságnak.</w:t>
      </w:r>
    </w:p>
    <w:sectPr w:rsidR="00F9151F" w:rsidRPr="00605C3B" w:rsidSect="00CB4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3B" w:rsidRPr="00605C3B" w:rsidRDefault="00605C3B">
      <w:r w:rsidRPr="00605C3B">
        <w:separator/>
      </w:r>
    </w:p>
  </w:endnote>
  <w:endnote w:type="continuationSeparator" w:id="0">
    <w:p w:rsidR="00605C3B" w:rsidRPr="00605C3B" w:rsidRDefault="00605C3B">
      <w:r w:rsidRPr="00605C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89" w:rsidRPr="00605C3B" w:rsidRDefault="009476DC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605C3B">
      <w:t>PE</w:t>
    </w:r>
    <w:r w:rsidRPr="00605C3B">
      <w:rPr>
        <w:rStyle w:val="HideTWBExt"/>
        <w:noProof w:val="0"/>
      </w:rPr>
      <w:t>&lt;NoPE&gt;</w:t>
    </w:r>
    <w:r>
      <w:t>635.368</w:t>
    </w:r>
    <w:r w:rsidRPr="00605C3B">
      <w:rPr>
        <w:rStyle w:val="HideTWBExt"/>
        <w:noProof w:val="0"/>
      </w:rPr>
      <w:t>&lt;/NoPE&gt;&lt;Version&gt;</w:t>
    </w:r>
    <w:r w:rsidRPr="00605C3B">
      <w:t>v</w:t>
    </w:r>
    <w:r>
      <w:t>01-00</w:t>
    </w:r>
    <w:r w:rsidRPr="00605C3B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0C7B89" w:rsidRPr="00605C3B">
      <w:tab/>
    </w:r>
    <w:r w:rsidR="000C7B89" w:rsidRPr="00605C3B">
      <w:fldChar w:fldCharType="begin"/>
    </w:r>
    <w:r w:rsidR="000C7B89" w:rsidRPr="00605C3B">
      <w:instrText xml:space="preserve"> PAGE </w:instrText>
    </w:r>
    <w:r w:rsidR="000C7B89" w:rsidRPr="00605C3B">
      <w:fldChar w:fldCharType="separate"/>
    </w:r>
    <w:r>
      <w:rPr>
        <w:noProof/>
      </w:rPr>
      <w:t>2</w:t>
    </w:r>
    <w:r w:rsidR="000C7B89" w:rsidRPr="00605C3B">
      <w:fldChar w:fldCharType="end"/>
    </w:r>
    <w:r w:rsidR="000C7B89" w:rsidRPr="00605C3B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 w:rsidR="000C7B89" w:rsidRPr="00605C3B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Pr="00605C3B">
      <w:rPr>
        <w:rStyle w:val="HideTWBExt"/>
        <w:noProof w:val="0"/>
      </w:rPr>
      <w:t>&lt;PathFdR&gt;</w:t>
    </w:r>
    <w:r w:rsidRPr="005B1B6C">
      <w:t>RE\1177811HU.docx</w:t>
    </w:r>
    <w:r w:rsidRPr="00605C3B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0C7B89" w:rsidRPr="00605C3B" w:rsidRDefault="009476DC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89" w:rsidRPr="00605C3B" w:rsidRDefault="009476DC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Pr="00605C3B">
      <w:rPr>
        <w:rStyle w:val="HideTWBExt"/>
        <w:noProof w:val="0"/>
      </w:rPr>
      <w:t>&lt;PathFdR&gt;</w:t>
    </w:r>
    <w:r w:rsidRPr="005B1B6C">
      <w:t>RE\1177811HU.docx</w:t>
    </w:r>
    <w:r w:rsidRPr="00605C3B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0C7B89" w:rsidRPr="00605C3B">
      <w:tab/>
    </w:r>
    <w:r w:rsidR="000C7B89" w:rsidRPr="00605C3B">
      <w:fldChar w:fldCharType="begin"/>
    </w:r>
    <w:r w:rsidR="000C7B89" w:rsidRPr="00605C3B">
      <w:instrText xml:space="preserve"> PAGE </w:instrText>
    </w:r>
    <w:r w:rsidR="000C7B89" w:rsidRPr="00605C3B">
      <w:fldChar w:fldCharType="separate"/>
    </w:r>
    <w:r>
      <w:rPr>
        <w:noProof/>
      </w:rPr>
      <w:t>2</w:t>
    </w:r>
    <w:r w:rsidR="000C7B89" w:rsidRPr="00605C3B">
      <w:fldChar w:fldCharType="end"/>
    </w:r>
    <w:r w:rsidR="000C7B89" w:rsidRPr="00605C3B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 w:rsidR="000C7B89" w:rsidRPr="00605C3B">
      <w:tab/>
    </w:r>
    <w:r>
      <w:fldChar w:fldCharType="begin"/>
    </w:r>
    <w:r>
      <w:instrText xml:space="preserve"> REF OutsideFooter </w:instrText>
    </w:r>
    <w:r>
      <w:fldChar w:fldCharType="separate"/>
    </w:r>
    <w:r w:rsidRPr="00605C3B">
      <w:t>PE</w:t>
    </w:r>
    <w:r w:rsidRPr="00605C3B">
      <w:rPr>
        <w:rStyle w:val="HideTWBExt"/>
        <w:noProof w:val="0"/>
      </w:rPr>
      <w:t>&lt;NoPE&gt;</w:t>
    </w:r>
    <w:r>
      <w:t>635.368</w:t>
    </w:r>
    <w:r w:rsidRPr="00605C3B">
      <w:rPr>
        <w:rStyle w:val="HideTWBExt"/>
        <w:noProof w:val="0"/>
      </w:rPr>
      <w:t>&lt;/NoPE&gt;&lt;Version&gt;</w:t>
    </w:r>
    <w:r w:rsidRPr="00605C3B">
      <w:t>v</w:t>
    </w:r>
    <w:r>
      <w:t>01-00</w:t>
    </w:r>
    <w:r w:rsidRPr="00605C3B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0C7B89" w:rsidRPr="00605C3B" w:rsidRDefault="000C7B89">
    <w:pPr>
      <w:pStyle w:val="Footer2"/>
    </w:pPr>
    <w:r w:rsidRPr="00605C3B">
      <w:tab/>
    </w:r>
    <w:r w:rsidR="009476DC">
      <w:fldChar w:fldCharType="begin"/>
    </w:r>
    <w:r w:rsidR="009476DC">
      <w:instrText xml:space="preserve"> DOCPROPERTY "&lt;Extension&gt;" </w:instrText>
    </w:r>
    <w:r w:rsidR="009476DC">
      <w:fldChar w:fldCharType="separate"/>
    </w:r>
    <w:r w:rsidR="009476DC">
      <w:t>HU</w:t>
    </w:r>
    <w:r w:rsidR="009476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89" w:rsidRPr="00605C3B" w:rsidRDefault="000C7B89">
    <w:pPr>
      <w:pStyle w:val="Footer"/>
    </w:pPr>
    <w:bookmarkStart w:id="1" w:name="InsideFooter"/>
    <w:r w:rsidRPr="00605C3B">
      <w:rPr>
        <w:rStyle w:val="HideTWBExt"/>
        <w:noProof w:val="0"/>
      </w:rPr>
      <w:t>&lt;PathFdR&gt;</w:t>
    </w:r>
    <w:r w:rsidR="005B1B6C" w:rsidRPr="005B1B6C">
      <w:t>RE\1177811HU.docx</w:t>
    </w:r>
    <w:r w:rsidRPr="00605C3B">
      <w:rPr>
        <w:rStyle w:val="HideTWBExt"/>
        <w:noProof w:val="0"/>
      </w:rPr>
      <w:t>&lt;/PathFdR&gt;</w:t>
    </w:r>
    <w:bookmarkEnd w:id="1"/>
    <w:r w:rsidRPr="00605C3B">
      <w:tab/>
    </w:r>
    <w:r w:rsidRPr="00605C3B">
      <w:tab/>
    </w:r>
    <w:bookmarkStart w:id="2" w:name="OutsideFooter"/>
    <w:r w:rsidRPr="00605C3B">
      <w:t>PE</w:t>
    </w:r>
    <w:r w:rsidRPr="00605C3B">
      <w:rPr>
        <w:rStyle w:val="HideTWBExt"/>
        <w:noProof w:val="0"/>
      </w:rPr>
      <w:t>&lt;NoPE&gt;</w:t>
    </w:r>
    <w:r w:rsidR="005B1B6C">
      <w:t>635.368</w:t>
    </w:r>
    <w:r w:rsidRPr="00605C3B">
      <w:rPr>
        <w:rStyle w:val="HideTWBExt"/>
        <w:noProof w:val="0"/>
      </w:rPr>
      <w:t>&lt;/NoPE&gt;&lt;Version&gt;</w:t>
    </w:r>
    <w:r w:rsidR="00605C3B" w:rsidRPr="00605C3B">
      <w:t>v</w:t>
    </w:r>
    <w:r w:rsidR="005B1B6C">
      <w:t>01-00</w:t>
    </w:r>
    <w:r w:rsidRPr="00605C3B">
      <w:rPr>
        <w:rStyle w:val="HideTWBExt"/>
        <w:noProof w:val="0"/>
      </w:rPr>
      <w:t>&lt;/Version&gt;</w:t>
    </w:r>
    <w:bookmarkEnd w:id="2"/>
  </w:p>
  <w:p w:rsidR="000C7B89" w:rsidRPr="00605C3B" w:rsidRDefault="009476DC" w:rsidP="000C7B89">
    <w:pPr>
      <w:pStyle w:val="Footer2"/>
      <w:tabs>
        <w:tab w:val="center" w:pos="4536"/>
      </w:tabs>
    </w:pPr>
    <w:r>
      <w:fldChar w:fldCharType="begin"/>
    </w:r>
    <w:r>
      <w:instrText xml:space="preserve"> </w:instrText>
    </w:r>
    <w:r>
      <w:instrText xml:space="preserve">DOCPROPERTY "&lt;Extension&gt;" </w:instrText>
    </w:r>
    <w:r>
      <w:fldChar w:fldCharType="separate"/>
    </w:r>
    <w:r>
      <w:t>HU</w:t>
    </w:r>
    <w:r>
      <w:fldChar w:fldCharType="end"/>
    </w:r>
    <w:r w:rsidR="000C7B89" w:rsidRPr="00605C3B">
      <w:rPr>
        <w:color w:val="C0C0C0"/>
      </w:rPr>
      <w:tab/>
    </w:r>
    <w:r w:rsidR="005B1B6C">
      <w:rPr>
        <w:b w:val="0"/>
        <w:i/>
        <w:color w:val="C0C0C0"/>
        <w:sz w:val="22"/>
        <w:szCs w:val="22"/>
      </w:rPr>
      <w:t>Egyesülve a sokféleségben</w:t>
    </w:r>
    <w:r w:rsidR="000C7B89" w:rsidRPr="00605C3B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HU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3B" w:rsidRPr="00605C3B" w:rsidRDefault="00605C3B">
      <w:r w:rsidRPr="00605C3B">
        <w:separator/>
      </w:r>
    </w:p>
  </w:footnote>
  <w:footnote w:type="continuationSeparator" w:id="0">
    <w:p w:rsidR="00605C3B" w:rsidRPr="00605C3B" w:rsidRDefault="00605C3B">
      <w:r w:rsidRPr="00605C3B">
        <w:continuationSeparator/>
      </w:r>
    </w:p>
  </w:footnote>
  <w:footnote w:id="1">
    <w:p w:rsidR="005B1B6C" w:rsidRPr="008F7B38" w:rsidRDefault="005B1B6C" w:rsidP="005B1B6C">
      <w:pPr>
        <w:pStyle w:val="FootnoteText"/>
      </w:pPr>
      <w:r>
        <w:rPr>
          <w:rStyle w:val="FootnoteReference"/>
        </w:rPr>
        <w:footnoteRef/>
      </w:r>
      <w:r>
        <w:t xml:space="preserve"> HL L 173., 2014.6.12., 84.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1F" w:rsidRDefault="005F4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1F" w:rsidRDefault="005F4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1F" w:rsidRDefault="005F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3"/>
    <w:docVar w:name="COMKEY" w:val="ECON"/>
    <w:docVar w:name="DOCTYPEMNU" w:val=" 2"/>
    <w:docVar w:name="LastEditedSection" w:val=" 1"/>
    <w:docVar w:name="strDocTypeID" w:val="RE_DelAct_NoObjections"/>
    <w:docVar w:name="strSubDir" w:val="1177"/>
    <w:docVar w:name="TXTLANGUE" w:val="HU"/>
    <w:docVar w:name="TXTLANGUEMIN" w:val="hu"/>
    <w:docVar w:name="TXTNRPE" w:val="635.368"/>
    <w:docVar w:name="TXTPEorAP" w:val="PE"/>
    <w:docVar w:name="TXTROUTE" w:val="RE\1177811HU.docx"/>
    <w:docVar w:name="TXTVERSION" w:val="01-00"/>
  </w:docVars>
  <w:rsids>
    <w:rsidRoot w:val="00605C3B"/>
    <w:rsid w:val="000C7B89"/>
    <w:rsid w:val="000D2165"/>
    <w:rsid w:val="000E26D5"/>
    <w:rsid w:val="00105F8B"/>
    <w:rsid w:val="00152F37"/>
    <w:rsid w:val="0019441C"/>
    <w:rsid w:val="001E693A"/>
    <w:rsid w:val="003A2B8A"/>
    <w:rsid w:val="003E59AA"/>
    <w:rsid w:val="00457FEA"/>
    <w:rsid w:val="004616E8"/>
    <w:rsid w:val="004F331E"/>
    <w:rsid w:val="00560E87"/>
    <w:rsid w:val="00564BEF"/>
    <w:rsid w:val="0056715C"/>
    <w:rsid w:val="005874B7"/>
    <w:rsid w:val="005B1B6C"/>
    <w:rsid w:val="005C0AD2"/>
    <w:rsid w:val="005E0BC3"/>
    <w:rsid w:val="005F461F"/>
    <w:rsid w:val="006008EF"/>
    <w:rsid w:val="00605C3B"/>
    <w:rsid w:val="00661750"/>
    <w:rsid w:val="006B77EC"/>
    <w:rsid w:val="0071095F"/>
    <w:rsid w:val="00744B66"/>
    <w:rsid w:val="007471B2"/>
    <w:rsid w:val="00765B61"/>
    <w:rsid w:val="007974DD"/>
    <w:rsid w:val="007B50DB"/>
    <w:rsid w:val="007D6B34"/>
    <w:rsid w:val="00824B90"/>
    <w:rsid w:val="00844BD4"/>
    <w:rsid w:val="0087374F"/>
    <w:rsid w:val="00875FFF"/>
    <w:rsid w:val="008835B3"/>
    <w:rsid w:val="008C458A"/>
    <w:rsid w:val="008E662B"/>
    <w:rsid w:val="009476DC"/>
    <w:rsid w:val="00981D9B"/>
    <w:rsid w:val="00A66299"/>
    <w:rsid w:val="00A93F71"/>
    <w:rsid w:val="00B812C1"/>
    <w:rsid w:val="00BB7B04"/>
    <w:rsid w:val="00BC77BD"/>
    <w:rsid w:val="00C03AB9"/>
    <w:rsid w:val="00C872E2"/>
    <w:rsid w:val="00CB405B"/>
    <w:rsid w:val="00D378DE"/>
    <w:rsid w:val="00D462E2"/>
    <w:rsid w:val="00D55D97"/>
    <w:rsid w:val="00D60FF7"/>
    <w:rsid w:val="00E323D6"/>
    <w:rsid w:val="00E57EE0"/>
    <w:rsid w:val="00E60D8A"/>
    <w:rsid w:val="00ED3C1E"/>
    <w:rsid w:val="00F40068"/>
    <w:rsid w:val="00F75D46"/>
    <w:rsid w:val="00F9151F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BEA6BD-418E-47DC-880B-053B60B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0E26D5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12a12b"/>
    <w:next w:val="Normal12"/>
    <w:pPr>
      <w:keepNext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8835B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C0AD2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CB405B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B405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B405B"/>
    <w:pPr>
      <w:jc w:val="right"/>
    </w:pPr>
  </w:style>
  <w:style w:type="paragraph" w:customStyle="1" w:styleId="RefProc">
    <w:name w:val="RefProc"/>
    <w:basedOn w:val="Normal"/>
    <w:rsid w:val="005C0AD2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5C0AD2"/>
    <w:pPr>
      <w:spacing w:after="1200"/>
    </w:pPr>
  </w:style>
  <w:style w:type="paragraph" w:styleId="FootnoteText">
    <w:name w:val="footnote text"/>
    <w:basedOn w:val="Normal"/>
    <w:link w:val="FootnoteTextChar"/>
    <w:rsid w:val="005B1B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1B6C"/>
  </w:style>
  <w:style w:type="character" w:styleId="FootnoteReference">
    <w:name w:val="footnote reference"/>
    <w:basedOn w:val="DefaultParagraphFont"/>
    <w:rsid w:val="005B1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3029AB17.dotm</Template>
  <TotalTime>0</TotalTime>
  <Pages>2</Pages>
  <Words>308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RE_DelAct_NoObjections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RE_DelAct_NoObjections</dc:title>
  <dc:subject/>
  <dc:creator>KERTESZ Maria Eva</dc:creator>
  <cp:keywords/>
  <dc:description>FJ</dc:description>
  <cp:lastModifiedBy>FARKAS Judit</cp:lastModifiedBy>
  <cp:revision>2</cp:revision>
  <cp:lastPrinted>2004-11-19T15:29:00Z</cp:lastPrinted>
  <dcterms:created xsi:type="dcterms:W3CDTF">2019-03-07T09:57:00Z</dcterms:created>
  <dcterms:modified xsi:type="dcterms:W3CDTF">2019-03-07T09:57:00Z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1177811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\\eiciLUXpr1\pdocep$\DocEP\DOCS\General\RE\RE_DelAct\RE_DelAct_NoObjections.dot(06/02/2019 07:45:11)</vt:lpwstr>
  </property>
  <property fmtid="{D5CDD505-2E9C-101B-9397-08002B2CF9AE}" pid="7" name="&lt;ModelTra&gt;">
    <vt:lpwstr>\\eiciLUXpr1\pdocep$\DocEP\TRANSFIL\HU\RE_DelAct_NoObjections.HU(13/10/2017 10:45:52)</vt:lpwstr>
  </property>
  <property fmtid="{D5CDD505-2E9C-101B-9397-08002B2CF9AE}" pid="8" name="&lt;Model&gt;">
    <vt:lpwstr>RE_DelAct_NoObjections</vt:lpwstr>
  </property>
  <property fmtid="{D5CDD505-2E9C-101B-9397-08002B2CF9AE}" pid="9" name="FooterPath">
    <vt:lpwstr>RE\1177811HU.docx</vt:lpwstr>
  </property>
  <property fmtid="{D5CDD505-2E9C-101B-9397-08002B2CF9AE}" pid="10" name="PE number">
    <vt:lpwstr>635.368</vt:lpwstr>
  </property>
  <property fmtid="{D5CDD505-2E9C-101B-9397-08002B2CF9AE}" pid="11" name="Bookout">
    <vt:lpwstr>OK - 2019/03/07 10:57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</Properties>
</file>