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B405B" w:rsidRPr="00A94FD4" w:rsidTr="0071095F">
        <w:trPr>
          <w:trHeight w:hRule="exact" w:val="1418"/>
        </w:trPr>
        <w:tc>
          <w:tcPr>
            <w:tcW w:w="6804" w:type="dxa"/>
            <w:shd w:val="clear" w:color="auto" w:fill="auto"/>
            <w:vAlign w:val="center"/>
          </w:tcPr>
          <w:p w:rsidR="00CB405B" w:rsidRPr="00A94FD4" w:rsidRDefault="004837F1" w:rsidP="0071095F">
            <w:pPr>
              <w:pStyle w:val="EPName"/>
            </w:pPr>
            <w:bookmarkStart w:id="0" w:name="_GoBack"/>
            <w:bookmarkEnd w:id="0"/>
            <w:r w:rsidRPr="00A94FD4">
              <w:t>Eiropas Parlaments</w:t>
            </w:r>
          </w:p>
          <w:p w:rsidR="00CB405B" w:rsidRPr="00A94FD4" w:rsidRDefault="00984CC1" w:rsidP="00984CC1">
            <w:pPr>
              <w:pStyle w:val="EPTerm"/>
              <w:rPr>
                <w:rStyle w:val="HideTWBExt"/>
                <w:noProof w:val="0"/>
                <w:vanish w:val="0"/>
                <w:color w:val="auto"/>
              </w:rPr>
            </w:pPr>
            <w:r w:rsidRPr="00A94FD4">
              <w:t>2014-2019</w:t>
            </w:r>
          </w:p>
        </w:tc>
        <w:tc>
          <w:tcPr>
            <w:tcW w:w="2268" w:type="dxa"/>
            <w:shd w:val="clear" w:color="auto" w:fill="auto"/>
          </w:tcPr>
          <w:p w:rsidR="00CB405B" w:rsidRPr="00A94FD4" w:rsidRDefault="00A94FD4" w:rsidP="0071095F">
            <w:pPr>
              <w:pStyle w:val="EPLogo"/>
            </w:pPr>
            <w:r w:rsidRPr="00A94F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C7B89" w:rsidRPr="00A94FD4" w:rsidRDefault="000C7B89" w:rsidP="000C7B89">
      <w:pPr>
        <w:pStyle w:val="LineTop"/>
      </w:pPr>
    </w:p>
    <w:p w:rsidR="000C7B89" w:rsidRPr="00A94FD4" w:rsidRDefault="00984CC1" w:rsidP="000C7B89">
      <w:pPr>
        <w:pStyle w:val="ZSessionDoc"/>
      </w:pPr>
      <w:r w:rsidRPr="00A94FD4">
        <w:t>Sesijas dokuments</w:t>
      </w:r>
    </w:p>
    <w:p w:rsidR="005C0AD2" w:rsidRPr="00A94FD4" w:rsidRDefault="005C0AD2" w:rsidP="005C0AD2">
      <w:pPr>
        <w:pStyle w:val="LineBottom"/>
      </w:pPr>
    </w:p>
    <w:p w:rsidR="005C0AD2" w:rsidRPr="00A94FD4" w:rsidRDefault="005C0AD2" w:rsidP="005C0AD2">
      <w:pPr>
        <w:pStyle w:val="RefProc"/>
      </w:pPr>
      <w:r w:rsidRPr="00A94FD4">
        <w:rPr>
          <w:rStyle w:val="HideTWBExt"/>
          <w:b w:val="0"/>
          <w:noProof w:val="0"/>
        </w:rPr>
        <w:t>&lt;NoDocSe&gt;</w:t>
      </w:r>
      <w:r w:rsidRPr="00A94FD4">
        <w:t>B8-0145/2019</w:t>
      </w:r>
      <w:r w:rsidRPr="00A94FD4">
        <w:rPr>
          <w:rStyle w:val="HideTWBExt"/>
          <w:b w:val="0"/>
          <w:noProof w:val="0"/>
        </w:rPr>
        <w:t>&lt;/NoDocSe&gt;</w:t>
      </w:r>
    </w:p>
    <w:p w:rsidR="005C0AD2" w:rsidRPr="00A94FD4" w:rsidRDefault="005C0AD2" w:rsidP="005C0AD2">
      <w:pPr>
        <w:pStyle w:val="ZDate"/>
      </w:pPr>
      <w:r w:rsidRPr="00A94FD4">
        <w:rPr>
          <w:rStyle w:val="HideTWBExt"/>
          <w:noProof w:val="0"/>
        </w:rPr>
        <w:t>&lt;Date&gt;</w:t>
      </w:r>
      <w:r w:rsidRPr="00A94FD4">
        <w:rPr>
          <w:rStyle w:val="HideTWBInt"/>
        </w:rPr>
        <w:t>{22/02/2019}</w:t>
      </w:r>
      <w:r w:rsidRPr="00A94FD4">
        <w:t>22.2.2019</w:t>
      </w:r>
      <w:r w:rsidRPr="00A94FD4">
        <w:rPr>
          <w:rStyle w:val="HideTWBExt"/>
          <w:noProof w:val="0"/>
        </w:rPr>
        <w:t>&lt;/Date&gt;</w:t>
      </w:r>
    </w:p>
    <w:p w:rsidR="00A93F71" w:rsidRPr="00A94FD4" w:rsidRDefault="00A93F71" w:rsidP="00A93F71">
      <w:pPr>
        <w:pStyle w:val="TypeDoc"/>
      </w:pPr>
      <w:r w:rsidRPr="00A94FD4">
        <w:rPr>
          <w:rStyle w:val="HideTWBExt"/>
          <w:b w:val="0"/>
          <w:noProof w:val="0"/>
        </w:rPr>
        <w:t>&lt;TitreType&gt;</w:t>
      </w:r>
      <w:r w:rsidRPr="00A94FD4">
        <w:t>IETEIKUMS LĒMUMAM</w:t>
      </w:r>
      <w:r w:rsidRPr="00A94FD4">
        <w:rPr>
          <w:rStyle w:val="HideTWBExt"/>
          <w:b w:val="0"/>
          <w:noProof w:val="0"/>
        </w:rPr>
        <w:t>&lt;/TitreType&gt;</w:t>
      </w:r>
    </w:p>
    <w:p w:rsidR="00A93F71" w:rsidRPr="00A94FD4" w:rsidRDefault="00A93F71" w:rsidP="00A93F71">
      <w:pPr>
        <w:pStyle w:val="Cover12"/>
      </w:pPr>
      <w:r w:rsidRPr="00A94FD4">
        <w:rPr>
          <w:rStyle w:val="HideTWBExt"/>
          <w:noProof w:val="0"/>
        </w:rPr>
        <w:t>&lt;TitreRecueil&gt;</w:t>
      </w:r>
      <w:r w:rsidRPr="00A94FD4">
        <w:t>iesniegts saskaņā ar Reglamenta 105. panta 6. punktu</w:t>
      </w:r>
      <w:r w:rsidRPr="00A94FD4">
        <w:rPr>
          <w:rStyle w:val="HideTWBExt"/>
          <w:noProof w:val="0"/>
        </w:rPr>
        <w:t>&lt;/TitreRecueil&gt;</w:t>
      </w:r>
    </w:p>
    <w:p w:rsidR="00984CC1" w:rsidRPr="00A94FD4" w:rsidRDefault="00984CC1" w:rsidP="00984CC1">
      <w:pPr>
        <w:pStyle w:val="CoverNormal"/>
      </w:pPr>
      <w:r w:rsidRPr="00A94FD4">
        <w:rPr>
          <w:rStyle w:val="HideTWBExt"/>
          <w:noProof w:val="0"/>
        </w:rPr>
        <w:t>&lt;Titre&gt;</w:t>
      </w:r>
      <w:r w:rsidRPr="00A94FD4">
        <w:t>par iebildumu neizteikšanu pret Komisijas 2019. gada 30. janvāra deleģēto regulu, ar ko groza Eiropas Parlamenta un Padomes Regulu (ES) 648/2012 attiecībā uz to struktūru sarakstu, kurām piemēro atbrīvojumu</w:t>
      </w:r>
      <w:r w:rsidRPr="00A94FD4">
        <w:rPr>
          <w:rStyle w:val="HideTWBExt"/>
          <w:noProof w:val="0"/>
        </w:rPr>
        <w:t>&lt;/Titre&gt;</w:t>
      </w:r>
    </w:p>
    <w:p w:rsidR="00984CC1" w:rsidRPr="00A94FD4" w:rsidRDefault="00984CC1" w:rsidP="00984CC1">
      <w:pPr>
        <w:pStyle w:val="CoverNormal"/>
      </w:pPr>
      <w:r w:rsidRPr="00A94FD4">
        <w:rPr>
          <w:rStyle w:val="HideTWBExt"/>
          <w:noProof w:val="0"/>
        </w:rPr>
        <w:t>&lt;DocRef&gt;</w:t>
      </w:r>
      <w:r w:rsidRPr="00A94FD4">
        <w:t>(C(2019)00791 – 2019/2549(DEA))</w:t>
      </w:r>
      <w:r w:rsidRPr="00A94FD4">
        <w:rPr>
          <w:rStyle w:val="HideTWBExt"/>
          <w:noProof w:val="0"/>
        </w:rPr>
        <w:t>&lt;/DocRef&gt;</w:t>
      </w:r>
    </w:p>
    <w:p w:rsidR="00A66299" w:rsidRPr="00A94FD4" w:rsidRDefault="00A66299" w:rsidP="00A66299">
      <w:pPr>
        <w:pStyle w:val="Cover12"/>
      </w:pPr>
    </w:p>
    <w:p w:rsidR="0019441C" w:rsidRPr="00A94FD4" w:rsidRDefault="0019441C" w:rsidP="0019441C">
      <w:pPr>
        <w:pStyle w:val="CoverBold24"/>
      </w:pPr>
      <w:r w:rsidRPr="00A94FD4">
        <w:rPr>
          <w:rStyle w:val="HideTWBExt"/>
          <w:b w:val="0"/>
          <w:noProof w:val="0"/>
        </w:rPr>
        <w:t>&lt;Commission&gt;</w:t>
      </w:r>
      <w:r w:rsidRPr="00A94FD4">
        <w:rPr>
          <w:rStyle w:val="HideTWBInt"/>
        </w:rPr>
        <w:t>{ECON}</w:t>
      </w:r>
      <w:r w:rsidRPr="00A94FD4">
        <w:t>Ekonomikas un monetārā komiteja</w:t>
      </w:r>
      <w:r w:rsidRPr="00A94FD4">
        <w:rPr>
          <w:rStyle w:val="HideTWBExt"/>
          <w:b w:val="0"/>
          <w:noProof w:val="0"/>
        </w:rPr>
        <w:t>&lt;/Commission&gt;</w:t>
      </w:r>
    </w:p>
    <w:p w:rsidR="0019441C" w:rsidRPr="00A94FD4" w:rsidRDefault="00984CC1" w:rsidP="0019441C">
      <w:pPr>
        <w:pStyle w:val="Cover24"/>
      </w:pPr>
      <w:r w:rsidRPr="00A94FD4">
        <w:t xml:space="preserve">Atbildīgais deputāts: </w:t>
      </w:r>
      <w:r w:rsidRPr="00A94FD4">
        <w:rPr>
          <w:rStyle w:val="HideTWBExt"/>
          <w:noProof w:val="0"/>
        </w:rPr>
        <w:t>&lt;Depute&gt;</w:t>
      </w:r>
      <w:r w:rsidRPr="00A94FD4">
        <w:rPr>
          <w:i/>
        </w:rPr>
        <w:t>Roberto Gualtieri</w:t>
      </w:r>
      <w:r w:rsidRPr="00A94FD4">
        <w:rPr>
          <w:rStyle w:val="HideTWBExt"/>
          <w:noProof w:val="0"/>
        </w:rPr>
        <w:t>&lt;/Depute&gt;</w:t>
      </w:r>
    </w:p>
    <w:p w:rsidR="00A93F71" w:rsidRPr="00A94FD4" w:rsidRDefault="00A93F71" w:rsidP="00A93F71">
      <w:pPr>
        <w:pStyle w:val="Normal12Bold"/>
      </w:pPr>
      <w:r w:rsidRPr="00A94FD4">
        <w:br w:type="page"/>
      </w:r>
      <w:r w:rsidRPr="00A94FD4">
        <w:lastRenderedPageBreak/>
        <w:t>B8-0145/2019</w:t>
      </w:r>
    </w:p>
    <w:p w:rsidR="00984CC1" w:rsidRPr="00A94FD4" w:rsidRDefault="00984CC1" w:rsidP="00984CC1">
      <w:pPr>
        <w:pStyle w:val="NormalBold"/>
      </w:pPr>
      <w:r w:rsidRPr="00A94FD4">
        <w:t>Projekts Eiropas Parlamenta lēmumam par iebildumu neizteikšanu pret Komisijas 2019. gada 30. janvāra deleģēto regulu, ar ko groza Eiropas Parlamenta un Padomes Regulu (ES) Nr. 648/2012 attiecībā uz to struktūru sarakstu, kurām piemēro atbrīvojumu</w:t>
      </w:r>
    </w:p>
    <w:p w:rsidR="00984CC1" w:rsidRPr="00A94FD4" w:rsidRDefault="00984CC1" w:rsidP="00984CC1">
      <w:pPr>
        <w:pStyle w:val="NormalBold"/>
      </w:pPr>
      <w:r w:rsidRPr="00A94FD4">
        <w:t>(C(2019)00791 – 2019/2549(DEA))</w:t>
      </w:r>
    </w:p>
    <w:p w:rsidR="000E26D5" w:rsidRPr="00A94FD4" w:rsidRDefault="000E26D5" w:rsidP="000E26D5">
      <w:pPr>
        <w:pStyle w:val="Normal12"/>
      </w:pPr>
    </w:p>
    <w:p w:rsidR="00A93F71" w:rsidRPr="00A94FD4" w:rsidRDefault="004837F1" w:rsidP="00A93F71">
      <w:pPr>
        <w:pStyle w:val="Normal12"/>
      </w:pPr>
      <w:r w:rsidRPr="00A94FD4">
        <w:rPr>
          <w:i/>
        </w:rPr>
        <w:t>Eiropas Parlaments</w:t>
      </w:r>
      <w:r w:rsidRPr="00A94FD4">
        <w:t>,</w:t>
      </w:r>
    </w:p>
    <w:p w:rsidR="00984CC1" w:rsidRPr="00A94FD4" w:rsidRDefault="00984CC1" w:rsidP="00984CC1">
      <w:pPr>
        <w:pStyle w:val="Normal12Hanging"/>
      </w:pPr>
      <w:r w:rsidRPr="00A94FD4">
        <w:t>–</w:t>
      </w:r>
      <w:r w:rsidRPr="00A94FD4">
        <w:tab/>
        <w:t>ņemot vērā Komisijas deleģēto regulu (C(2019)00791),</w:t>
      </w:r>
    </w:p>
    <w:p w:rsidR="00984CC1" w:rsidRPr="00A94FD4" w:rsidRDefault="00984CC1" w:rsidP="00984CC1">
      <w:pPr>
        <w:pStyle w:val="Normal12Hanging"/>
      </w:pPr>
      <w:r w:rsidRPr="00A94FD4">
        <w:t>–</w:t>
      </w:r>
      <w:r w:rsidRPr="00A94FD4">
        <w:tab/>
        <w:t>ņemot vērā Komisijas 2019. gada 30. janvāra vēstuli, kurā tā lūdz paziņot, ka Parlaments neizteiks iebildumus pret deleģēto regulu,</w:t>
      </w:r>
    </w:p>
    <w:p w:rsidR="00984CC1" w:rsidRPr="00A94FD4" w:rsidRDefault="00984CC1" w:rsidP="00984CC1">
      <w:pPr>
        <w:pStyle w:val="Normal12Hanging"/>
      </w:pPr>
      <w:r w:rsidRPr="00A94FD4">
        <w:t>–</w:t>
      </w:r>
      <w:r w:rsidRPr="00A94FD4">
        <w:tab/>
        <w:t>ņemot vērā Ekonomikas un monetārās komitejas 2019. gada 21. februāra vēstuli Komiteju priekšsēdētāju konferences priekšsēdētājam,</w:t>
      </w:r>
    </w:p>
    <w:p w:rsidR="00984CC1" w:rsidRPr="00A94FD4" w:rsidRDefault="00984CC1" w:rsidP="00984CC1">
      <w:pPr>
        <w:pStyle w:val="Normal12Hanging"/>
      </w:pPr>
      <w:r w:rsidRPr="00A94FD4">
        <w:t>–</w:t>
      </w:r>
      <w:r w:rsidRPr="00A94FD4">
        <w:tab/>
        <w:t>ņemot vērā Līguma par Eiropas Savienības darbību 290. pantu,</w:t>
      </w:r>
    </w:p>
    <w:p w:rsidR="00984CC1" w:rsidRPr="00A94FD4" w:rsidRDefault="00984CC1" w:rsidP="00984CC1">
      <w:pPr>
        <w:pStyle w:val="Normal12Hanging"/>
      </w:pPr>
      <w:r w:rsidRPr="00A94FD4">
        <w:t>–</w:t>
      </w:r>
      <w:r w:rsidRPr="00A94FD4">
        <w:tab/>
        <w:t>ņemot vērā Eiropas Parlamenta un Padomes 2012. gada 4. jūlija Regulu (ES) Nr. 648/2012 par ārpusbiržas atvasinātajiem instrumentiem, centrālajiem darījumu partneriem un darījumu reģistriem</w:t>
      </w:r>
      <w:r w:rsidRPr="00A94FD4">
        <w:rPr>
          <w:rStyle w:val="FootnoteReference"/>
          <w:color w:val="000000"/>
        </w:rPr>
        <w:footnoteReference w:id="1"/>
      </w:r>
      <w:r w:rsidRPr="00A94FD4">
        <w:t>, un jo īpaši tās 1. panta 6. punktu un 82. panta 6. punktu,</w:t>
      </w:r>
    </w:p>
    <w:p w:rsidR="00984CC1" w:rsidRPr="00A94FD4" w:rsidRDefault="00984CC1" w:rsidP="00984CC1">
      <w:pPr>
        <w:pStyle w:val="Normal12Hanging"/>
      </w:pPr>
      <w:r w:rsidRPr="00A94FD4">
        <w:t>–</w:t>
      </w:r>
      <w:r w:rsidRPr="00A94FD4">
        <w:tab/>
        <w:t>ņemot vērā Ekonomikas un monetārās komitejas ieteikumu lēmumam,</w:t>
      </w:r>
    </w:p>
    <w:p w:rsidR="00984CC1" w:rsidRPr="00A94FD4" w:rsidRDefault="00984CC1" w:rsidP="00984CC1">
      <w:pPr>
        <w:pStyle w:val="Normal12Hanging"/>
      </w:pPr>
      <w:r w:rsidRPr="00A94FD4">
        <w:t>–</w:t>
      </w:r>
      <w:r w:rsidRPr="00A94FD4">
        <w:tab/>
        <w:t>ņemot vērā Reglamenta 105. panta 6. punktu,</w:t>
      </w:r>
    </w:p>
    <w:p w:rsidR="00984CC1" w:rsidRPr="00A94FD4" w:rsidRDefault="00984CC1" w:rsidP="00984CC1">
      <w:pPr>
        <w:pStyle w:val="Normal12Hanging"/>
      </w:pPr>
      <w:r w:rsidRPr="00A94FD4">
        <w:t>A.</w:t>
      </w:r>
      <w:r w:rsidRPr="00A94FD4">
        <w:tab/>
        <w:t>tā kā deleģētajā aktā ir iekļauti svarīgi grozījumi, lai nodrošinātu, ka Apvienotās Karalistes centrālā banka un publiskās struktūras, kuru pienākumos ir valsts parāda pārvaldība vai kuras tajā iesaistās, tiks atbrīvotas no Regulā (ES) Nr. 648/2012 noteiktajām tīrvērtes un ziņošanas prasībām, kā arī no prasības piemērot riska mazināšanas metodes darījumiem, kuriem neveic tīrvērti;</w:t>
      </w:r>
    </w:p>
    <w:p w:rsidR="00984CC1" w:rsidRPr="00A94FD4" w:rsidRDefault="00984CC1" w:rsidP="00984CC1">
      <w:pPr>
        <w:pStyle w:val="Normal12Hanging"/>
      </w:pPr>
      <w:r w:rsidRPr="00A94FD4">
        <w:t>B.</w:t>
      </w:r>
      <w:r w:rsidRPr="00A94FD4">
        <w:tab/>
        <w:t>tā kā Parlaments atzīst šā akta ātras pieņemšanas nozīmi, lai nodrošinātu Eiropas Savienības gatavību gadījumā, ja Apvienotā Karaliste izstājas no Savienības bez izstāšanās līguma,</w:t>
      </w:r>
    </w:p>
    <w:p w:rsidR="00984CC1" w:rsidRPr="00A94FD4" w:rsidRDefault="00984CC1" w:rsidP="00984CC1">
      <w:pPr>
        <w:pStyle w:val="Normal12Hanging"/>
      </w:pPr>
      <w:r w:rsidRPr="00A94FD4">
        <w:t>1.</w:t>
      </w:r>
      <w:r w:rsidRPr="00A94FD4">
        <w:tab/>
        <w:t>paziņo, ka neizsaka iebildumus pret deleģēto regulu;</w:t>
      </w:r>
    </w:p>
    <w:p w:rsidR="00984CC1" w:rsidRPr="00A94FD4" w:rsidRDefault="00984CC1" w:rsidP="00984CC1">
      <w:pPr>
        <w:pStyle w:val="Normal12Hanging"/>
      </w:pPr>
      <w:r w:rsidRPr="00A94FD4">
        <w:t>2.</w:t>
      </w:r>
      <w:r w:rsidRPr="00A94FD4">
        <w:tab/>
        <w:t>uzdod priekšsēdētājam šo lēmumu nosūtīt Padomei un Komisijai.</w:t>
      </w:r>
    </w:p>
    <w:p w:rsidR="00984CC1" w:rsidRPr="00A94FD4" w:rsidRDefault="00984CC1" w:rsidP="00984CC1">
      <w:pPr>
        <w:pStyle w:val="Normal12Hanging"/>
      </w:pPr>
    </w:p>
    <w:p w:rsidR="00F9151F" w:rsidRPr="00A94FD4" w:rsidRDefault="00F9151F" w:rsidP="00984CC1">
      <w:pPr>
        <w:pStyle w:val="Normal12Hanging"/>
      </w:pPr>
    </w:p>
    <w:sectPr w:rsidR="00F9151F" w:rsidRPr="00A94FD4" w:rsidSect="0031317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F1" w:rsidRPr="00A94FD4" w:rsidRDefault="004837F1">
      <w:r w:rsidRPr="00A94FD4">
        <w:separator/>
      </w:r>
    </w:p>
  </w:endnote>
  <w:endnote w:type="continuationSeparator" w:id="0">
    <w:p w:rsidR="004837F1" w:rsidRPr="00A94FD4" w:rsidRDefault="004837F1">
      <w:r w:rsidRPr="00A94F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79" w:rsidRPr="00A94FD4" w:rsidRDefault="00313179" w:rsidP="00313179">
    <w:pPr>
      <w:pStyle w:val="Footer"/>
    </w:pPr>
    <w:r w:rsidRPr="00A94FD4">
      <w:t>PE</w:t>
    </w:r>
    <w:r w:rsidRPr="00A94FD4">
      <w:rPr>
        <w:rStyle w:val="HideTWBExt"/>
        <w:noProof w:val="0"/>
      </w:rPr>
      <w:t>&lt;NoPE&gt;</w:t>
    </w:r>
    <w:r w:rsidRPr="00A94FD4">
      <w:t>635.370</w:t>
    </w:r>
    <w:r w:rsidRPr="00A94FD4">
      <w:rPr>
        <w:rStyle w:val="HideTWBExt"/>
        <w:noProof w:val="0"/>
      </w:rPr>
      <w:t>&lt;/NoPE&gt;&lt;Version&gt;</w:t>
    </w:r>
    <w:r w:rsidRPr="00A94FD4">
      <w:t>v01-00</w:t>
    </w:r>
    <w:r w:rsidRPr="00A94FD4">
      <w:rPr>
        <w:rStyle w:val="HideTWBExt"/>
        <w:noProof w:val="0"/>
      </w:rPr>
      <w:t>&lt;/Version&gt;</w:t>
    </w:r>
    <w:r w:rsidRPr="00A94FD4">
      <w:tab/>
    </w:r>
    <w:r w:rsidRPr="00A94FD4">
      <w:fldChar w:fldCharType="begin"/>
    </w:r>
    <w:r w:rsidRPr="00A94FD4">
      <w:instrText xml:space="preserve"> PAGE  \* MERGEFORMAT </w:instrText>
    </w:r>
    <w:r w:rsidRPr="00A94FD4">
      <w:fldChar w:fldCharType="separate"/>
    </w:r>
    <w:r w:rsidR="00DE4154">
      <w:rPr>
        <w:noProof/>
      </w:rPr>
      <w:t>2</w:t>
    </w:r>
    <w:r w:rsidRPr="00A94FD4">
      <w:fldChar w:fldCharType="end"/>
    </w:r>
    <w:r w:rsidRPr="00A94FD4">
      <w:t>/</w:t>
    </w:r>
    <w:r w:rsidR="00DE4154" w:rsidRPr="00A94FD4">
      <w:fldChar w:fldCharType="begin"/>
    </w:r>
    <w:r w:rsidR="00DE4154" w:rsidRPr="00A94FD4">
      <w:instrText xml:space="preserve"> NUMPAGES  \* MERGEFORMAT </w:instrText>
    </w:r>
    <w:r w:rsidR="00DE4154" w:rsidRPr="00A94FD4">
      <w:fldChar w:fldCharType="separate"/>
    </w:r>
    <w:r w:rsidR="00DE4154">
      <w:rPr>
        <w:noProof/>
      </w:rPr>
      <w:t>2</w:t>
    </w:r>
    <w:r w:rsidR="00DE4154" w:rsidRPr="00A94FD4">
      <w:fldChar w:fldCharType="end"/>
    </w:r>
    <w:r w:rsidRPr="00A94FD4">
      <w:tab/>
    </w:r>
    <w:r w:rsidRPr="00A94FD4">
      <w:rPr>
        <w:rStyle w:val="HideTWBExt"/>
        <w:noProof w:val="0"/>
      </w:rPr>
      <w:t>&lt;PathFdR&gt;</w:t>
    </w:r>
    <w:r w:rsidR="00A94FD4" w:rsidRPr="00A94FD4">
      <w:t>RE\1177813LV.docx</w:t>
    </w:r>
    <w:r w:rsidRPr="00A94FD4">
      <w:rPr>
        <w:rStyle w:val="HideTWBExt"/>
        <w:noProof w:val="0"/>
      </w:rPr>
      <w:t>&lt;/PathFdR&gt;</w:t>
    </w:r>
  </w:p>
  <w:p w:rsidR="000C7B89" w:rsidRPr="00A94FD4" w:rsidRDefault="00313179" w:rsidP="00313179">
    <w:pPr>
      <w:pStyle w:val="Footer2"/>
    </w:pPr>
    <w:r w:rsidRPr="00A94FD4">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79" w:rsidRPr="00A94FD4" w:rsidRDefault="00313179" w:rsidP="00313179">
    <w:pPr>
      <w:pStyle w:val="Footer"/>
    </w:pPr>
    <w:r w:rsidRPr="00A94FD4">
      <w:rPr>
        <w:rStyle w:val="HideTWBExt"/>
        <w:noProof w:val="0"/>
      </w:rPr>
      <w:t>&lt;PathFdR&gt;</w:t>
    </w:r>
    <w:r w:rsidR="00A94FD4" w:rsidRPr="00A94FD4">
      <w:t>RE\1177813LV.docx</w:t>
    </w:r>
    <w:r w:rsidRPr="00A94FD4">
      <w:rPr>
        <w:rStyle w:val="HideTWBExt"/>
        <w:noProof w:val="0"/>
      </w:rPr>
      <w:t>&lt;/PathFdR&gt;</w:t>
    </w:r>
    <w:r w:rsidRPr="00A94FD4">
      <w:tab/>
    </w:r>
    <w:r w:rsidRPr="00A94FD4">
      <w:fldChar w:fldCharType="begin"/>
    </w:r>
    <w:r w:rsidRPr="00A94FD4">
      <w:instrText xml:space="preserve"> PAGE  \* MERGEFORMAT </w:instrText>
    </w:r>
    <w:r w:rsidRPr="00A94FD4">
      <w:fldChar w:fldCharType="separate"/>
    </w:r>
    <w:r w:rsidR="00DE4154">
      <w:rPr>
        <w:noProof/>
      </w:rPr>
      <w:t>2</w:t>
    </w:r>
    <w:r w:rsidRPr="00A94FD4">
      <w:fldChar w:fldCharType="end"/>
    </w:r>
    <w:r w:rsidRPr="00A94FD4">
      <w:t>/</w:t>
    </w:r>
    <w:r w:rsidR="00DE4154" w:rsidRPr="00A94FD4">
      <w:fldChar w:fldCharType="begin"/>
    </w:r>
    <w:r w:rsidR="00DE4154" w:rsidRPr="00A94FD4">
      <w:instrText xml:space="preserve"> NUMPAGES  \* MERGEFORMAT </w:instrText>
    </w:r>
    <w:r w:rsidR="00DE4154" w:rsidRPr="00A94FD4">
      <w:fldChar w:fldCharType="separate"/>
    </w:r>
    <w:r w:rsidR="00DE4154">
      <w:rPr>
        <w:noProof/>
      </w:rPr>
      <w:t>2</w:t>
    </w:r>
    <w:r w:rsidR="00DE4154" w:rsidRPr="00A94FD4">
      <w:fldChar w:fldCharType="end"/>
    </w:r>
    <w:r w:rsidRPr="00A94FD4">
      <w:tab/>
      <w:t>PE</w:t>
    </w:r>
    <w:r w:rsidRPr="00A94FD4">
      <w:rPr>
        <w:rStyle w:val="HideTWBExt"/>
        <w:noProof w:val="0"/>
      </w:rPr>
      <w:t>&lt;NoPE&gt;</w:t>
    </w:r>
    <w:r w:rsidRPr="00A94FD4">
      <w:t>635.370</w:t>
    </w:r>
    <w:r w:rsidRPr="00A94FD4">
      <w:rPr>
        <w:rStyle w:val="HideTWBExt"/>
        <w:noProof w:val="0"/>
      </w:rPr>
      <w:t>&lt;/NoPE&gt;&lt;Version&gt;</w:t>
    </w:r>
    <w:r w:rsidRPr="00A94FD4">
      <w:t>v01-00</w:t>
    </w:r>
    <w:r w:rsidRPr="00A94FD4">
      <w:rPr>
        <w:rStyle w:val="HideTWBExt"/>
        <w:noProof w:val="0"/>
      </w:rPr>
      <w:t>&lt;/Version&gt;</w:t>
    </w:r>
  </w:p>
  <w:p w:rsidR="000C7B89" w:rsidRPr="00A94FD4" w:rsidRDefault="00313179" w:rsidP="00313179">
    <w:pPr>
      <w:pStyle w:val="Footer2"/>
    </w:pPr>
    <w:r w:rsidRPr="00A94FD4">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79" w:rsidRPr="00A94FD4" w:rsidRDefault="00313179" w:rsidP="00313179">
    <w:pPr>
      <w:pStyle w:val="Footer"/>
    </w:pPr>
    <w:r w:rsidRPr="00A94FD4">
      <w:rPr>
        <w:rStyle w:val="HideTWBExt"/>
        <w:noProof w:val="0"/>
      </w:rPr>
      <w:t>&lt;PathFdR&gt;</w:t>
    </w:r>
    <w:r w:rsidR="00A94FD4" w:rsidRPr="00A94FD4">
      <w:t>RE\1177813LV.docx</w:t>
    </w:r>
    <w:r w:rsidRPr="00A94FD4">
      <w:rPr>
        <w:rStyle w:val="HideTWBExt"/>
        <w:noProof w:val="0"/>
      </w:rPr>
      <w:t>&lt;/PathFdR&gt;</w:t>
    </w:r>
    <w:r w:rsidRPr="00A94FD4">
      <w:tab/>
    </w:r>
    <w:r w:rsidRPr="00A94FD4">
      <w:tab/>
      <w:t>PE</w:t>
    </w:r>
    <w:r w:rsidRPr="00A94FD4">
      <w:rPr>
        <w:rStyle w:val="HideTWBExt"/>
        <w:noProof w:val="0"/>
      </w:rPr>
      <w:t>&lt;NoPE&gt;</w:t>
    </w:r>
    <w:r w:rsidRPr="00A94FD4">
      <w:t>635.370</w:t>
    </w:r>
    <w:r w:rsidRPr="00A94FD4">
      <w:rPr>
        <w:rStyle w:val="HideTWBExt"/>
        <w:noProof w:val="0"/>
      </w:rPr>
      <w:t>&lt;/NoPE&gt;&lt;Version&gt;</w:t>
    </w:r>
    <w:r w:rsidRPr="00A94FD4">
      <w:t>v01-00</w:t>
    </w:r>
    <w:r w:rsidRPr="00A94FD4">
      <w:rPr>
        <w:rStyle w:val="HideTWBExt"/>
        <w:noProof w:val="0"/>
      </w:rPr>
      <w:t>&lt;/Version&gt;</w:t>
    </w:r>
  </w:p>
  <w:p w:rsidR="000C7B89" w:rsidRPr="00A94FD4" w:rsidRDefault="00313179" w:rsidP="00313179">
    <w:pPr>
      <w:pStyle w:val="Footer2"/>
      <w:tabs>
        <w:tab w:val="center" w:pos="4535"/>
      </w:tabs>
    </w:pPr>
    <w:r w:rsidRPr="00A94FD4">
      <w:t>LV</w:t>
    </w:r>
    <w:r w:rsidRPr="00A94FD4">
      <w:tab/>
    </w:r>
    <w:r w:rsidRPr="00A94FD4">
      <w:rPr>
        <w:b w:val="0"/>
        <w:i/>
        <w:color w:val="C0C0C0"/>
        <w:sz w:val="22"/>
      </w:rPr>
      <w:t>Vienoti daudzveidībā</w:t>
    </w:r>
    <w:r w:rsidRPr="00A94FD4">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F1" w:rsidRPr="00A94FD4" w:rsidRDefault="004837F1">
      <w:r w:rsidRPr="00A94FD4">
        <w:separator/>
      </w:r>
    </w:p>
  </w:footnote>
  <w:footnote w:type="continuationSeparator" w:id="0">
    <w:p w:rsidR="004837F1" w:rsidRPr="00A94FD4" w:rsidRDefault="004837F1">
      <w:r w:rsidRPr="00A94FD4">
        <w:continuationSeparator/>
      </w:r>
    </w:p>
  </w:footnote>
  <w:footnote w:id="1">
    <w:p w:rsidR="00984CC1" w:rsidRPr="00A94FD4" w:rsidRDefault="00984CC1" w:rsidP="00984CC1">
      <w:pPr>
        <w:pStyle w:val="FootnoteText"/>
      </w:pPr>
      <w:r w:rsidRPr="00A94FD4">
        <w:rPr>
          <w:rStyle w:val="FootnoteReference"/>
        </w:rPr>
        <w:footnoteRef/>
      </w:r>
      <w:r w:rsidRPr="00A94FD4">
        <w:rPr>
          <w:rStyle w:val="FootnoteReference"/>
        </w:rPr>
        <w:t xml:space="preserve"> </w:t>
      </w:r>
      <w:r w:rsidRPr="00A94FD4">
        <w:t>OV L 201, 27.7.2012.,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54" w:rsidRDefault="00DE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54" w:rsidRDefault="00DE4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54" w:rsidRDefault="00DE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CON"/>
    <w:docVar w:name="DOCMNU" w:val=" 1"/>
    <w:docVar w:name="DOCTYPEMNU" w:val=" 2"/>
    <w:docVar w:name="LastEditedSection" w:val=" 1"/>
    <w:docVar w:name="SERIALNRMNU" w:val=" 1"/>
    <w:docVar w:name="STOREDTGEN" w:val="30/01/2019"/>
    <w:docVar w:name="strSubDir" w:val="1177"/>
    <w:docVar w:name="TXTLANGUE" w:val="LV"/>
    <w:docVar w:name="TXTLANGUEMIN" w:val="lv"/>
    <w:docVar w:name="TXTNRB" w:val="0145/2019"/>
    <w:docVar w:name="TXTNRPE" w:val="635.370"/>
    <w:docVar w:name="TXTPEorAP" w:val="PE"/>
    <w:docVar w:name="TXTROUTE" w:val="RE\1177813LV.docx"/>
    <w:docVar w:name="TXTVERSION" w:val="01-00"/>
  </w:docVars>
  <w:rsids>
    <w:rsidRoot w:val="004837F1"/>
    <w:rsid w:val="000C7B89"/>
    <w:rsid w:val="000D2165"/>
    <w:rsid w:val="000E26D5"/>
    <w:rsid w:val="00105F8B"/>
    <w:rsid w:val="00152F37"/>
    <w:rsid w:val="0019441C"/>
    <w:rsid w:val="001E693A"/>
    <w:rsid w:val="00313179"/>
    <w:rsid w:val="003B33FD"/>
    <w:rsid w:val="003E59AA"/>
    <w:rsid w:val="00457FEA"/>
    <w:rsid w:val="004616E8"/>
    <w:rsid w:val="004837F1"/>
    <w:rsid w:val="004F331E"/>
    <w:rsid w:val="00560E87"/>
    <w:rsid w:val="00564BEF"/>
    <w:rsid w:val="005874B7"/>
    <w:rsid w:val="005C0AD2"/>
    <w:rsid w:val="005D74FC"/>
    <w:rsid w:val="005E0BC3"/>
    <w:rsid w:val="006008EF"/>
    <w:rsid w:val="00661750"/>
    <w:rsid w:val="0071095F"/>
    <w:rsid w:val="00744B66"/>
    <w:rsid w:val="007471B2"/>
    <w:rsid w:val="00765B61"/>
    <w:rsid w:val="007974DD"/>
    <w:rsid w:val="007B50DB"/>
    <w:rsid w:val="007D6B34"/>
    <w:rsid w:val="00824B90"/>
    <w:rsid w:val="00844BD4"/>
    <w:rsid w:val="0087374F"/>
    <w:rsid w:val="00875FFF"/>
    <w:rsid w:val="008835B3"/>
    <w:rsid w:val="008C458A"/>
    <w:rsid w:val="008E662B"/>
    <w:rsid w:val="00981D9B"/>
    <w:rsid w:val="00984CC1"/>
    <w:rsid w:val="00A66299"/>
    <w:rsid w:val="00A93F71"/>
    <w:rsid w:val="00A94FD4"/>
    <w:rsid w:val="00B812C1"/>
    <w:rsid w:val="00BB7B04"/>
    <w:rsid w:val="00BC77BD"/>
    <w:rsid w:val="00C03AB9"/>
    <w:rsid w:val="00C872E2"/>
    <w:rsid w:val="00CB405B"/>
    <w:rsid w:val="00D378DE"/>
    <w:rsid w:val="00D462E2"/>
    <w:rsid w:val="00D55D97"/>
    <w:rsid w:val="00D60FF7"/>
    <w:rsid w:val="00DE4154"/>
    <w:rsid w:val="00E323D6"/>
    <w:rsid w:val="00E60D8A"/>
    <w:rsid w:val="00ED3C1E"/>
    <w:rsid w:val="00F40068"/>
    <w:rsid w:val="00F75D46"/>
    <w:rsid w:val="00F9151F"/>
    <w:rsid w:val="00FF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CC89C4D-CC39-42EE-AA64-D34418B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0E26D5"/>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5B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5C0AD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CB405B"/>
    <w:pPr>
      <w:spacing w:before="80" w:after="80"/>
    </w:pPr>
    <w:rPr>
      <w:rFonts w:ascii="Arial Narrow" w:hAnsi="Arial Narrow" w:cs="Arial"/>
      <w:b/>
      <w:color w:val="000000"/>
      <w:sz w:val="32"/>
      <w:szCs w:val="22"/>
    </w:rPr>
  </w:style>
  <w:style w:type="paragraph" w:customStyle="1" w:styleId="EPTerm">
    <w:name w:val="EPTerm"/>
    <w:basedOn w:val="Normal"/>
    <w:next w:val="Normal"/>
    <w:rsid w:val="00CB405B"/>
    <w:pPr>
      <w:spacing w:after="80"/>
    </w:pPr>
    <w:rPr>
      <w:rFonts w:ascii="Arial" w:hAnsi="Arial" w:cs="Arial"/>
      <w:sz w:val="20"/>
      <w:szCs w:val="22"/>
    </w:rPr>
  </w:style>
  <w:style w:type="paragraph" w:customStyle="1" w:styleId="EPLogo">
    <w:name w:val="EPLogo"/>
    <w:basedOn w:val="Normal"/>
    <w:qFormat/>
    <w:rsid w:val="00CB405B"/>
    <w:pPr>
      <w:jc w:val="right"/>
    </w:pPr>
  </w:style>
  <w:style w:type="paragraph" w:customStyle="1" w:styleId="RefProc">
    <w:name w:val="RefProc"/>
    <w:basedOn w:val="Normal"/>
    <w:rsid w:val="005C0AD2"/>
    <w:pPr>
      <w:spacing w:before="240" w:after="240"/>
      <w:jc w:val="right"/>
    </w:pPr>
    <w:rPr>
      <w:rFonts w:ascii="Arial" w:hAnsi="Arial"/>
      <w:b/>
    </w:rPr>
  </w:style>
  <w:style w:type="paragraph" w:customStyle="1" w:styleId="ZDate">
    <w:name w:val="ZDate"/>
    <w:basedOn w:val="Normal"/>
    <w:rsid w:val="005C0AD2"/>
    <w:pPr>
      <w:spacing w:after="1200"/>
    </w:pPr>
  </w:style>
  <w:style w:type="paragraph" w:styleId="FootnoteText">
    <w:name w:val="footnote text"/>
    <w:basedOn w:val="Normal"/>
    <w:link w:val="FootnoteTextChar"/>
    <w:rsid w:val="00984CC1"/>
    <w:rPr>
      <w:sz w:val="20"/>
    </w:rPr>
  </w:style>
  <w:style w:type="character" w:customStyle="1" w:styleId="FootnoteTextChar">
    <w:name w:val="Footnote Text Char"/>
    <w:basedOn w:val="DefaultParagraphFont"/>
    <w:link w:val="FootnoteText"/>
    <w:rsid w:val="00984CC1"/>
  </w:style>
  <w:style w:type="character" w:styleId="FootnoteReference">
    <w:name w:val="footnote reference"/>
    <w:basedOn w:val="DefaultParagraphFont"/>
    <w:rsid w:val="00984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2098</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RE_DelAct_NoObjections</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RE_DelAct_NoObjections</dc:title>
  <dc:subject/>
  <dc:creator>SMITE Agita</dc:creator>
  <cp:keywords/>
  <dc:description/>
  <cp:lastModifiedBy>GRUNDIZS Andis</cp:lastModifiedBy>
  <cp:revision>2</cp:revision>
  <cp:lastPrinted>2004-11-19T15:29:00Z</cp:lastPrinted>
  <dcterms:created xsi:type="dcterms:W3CDTF">2019-03-08T10:14:00Z</dcterms:created>
  <dcterms:modified xsi:type="dcterms:W3CDTF">2019-03-08T10:14:00Z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1177813</vt:lpwstr>
  </property>
  <property fmtid="{D5CDD505-2E9C-101B-9397-08002B2CF9AE}" pid="6" name="&lt;Type&gt;">
    <vt:lpwstr>RE</vt:lpwstr>
  </property>
  <property fmtid="{D5CDD505-2E9C-101B-9397-08002B2CF9AE}" pid="7" name="&lt;ModelCod&gt;">
    <vt:lpwstr>\\eiciLUXpr1\pdocep$\DocEP\DOCS\General\RE\RE_DelAct\RE_DelAct_NoObjections.dot(06/02/2019 07:45:11)</vt:lpwstr>
  </property>
  <property fmtid="{D5CDD505-2E9C-101B-9397-08002B2CF9AE}" pid="8" name="&lt;ModelTra&gt;">
    <vt:lpwstr>\\eiciLUXpr1\pdocep$\DocEP\TRANSFIL\LV\RE_DelAct_NoObjections.LV(13/10/2017 10:46:32)</vt:lpwstr>
  </property>
  <property fmtid="{D5CDD505-2E9C-101B-9397-08002B2CF9AE}" pid="9" name="&lt;Model&gt;">
    <vt:lpwstr>RE_DelAct_NoObjections</vt:lpwstr>
  </property>
  <property fmtid="{D5CDD505-2E9C-101B-9397-08002B2CF9AE}" pid="10" name="FooterPath">
    <vt:lpwstr>RE\1177813LV.docx</vt:lpwstr>
  </property>
  <property fmtid="{D5CDD505-2E9C-101B-9397-08002B2CF9AE}" pid="11" name="PE number">
    <vt:lpwstr>635.370</vt:lpwstr>
  </property>
  <property fmtid="{D5CDD505-2E9C-101B-9397-08002B2CF9AE}" pid="12" name="Bookout">
    <vt:lpwstr>OK - 2019/03/08 11:14</vt:lpwstr>
  </property>
</Properties>
</file>