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752474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752474" w:rsidRDefault="004772DA" w:rsidP="00F26DE8">
            <w:pPr>
              <w:pStyle w:val="EPName"/>
            </w:pPr>
            <w:bookmarkStart w:id="0" w:name="_GoBack"/>
            <w:bookmarkEnd w:id="0"/>
            <w:r w:rsidRPr="00752474">
              <w:t>Parlament Europejski</w:t>
            </w:r>
          </w:p>
          <w:p w:rsidR="00706BC0" w:rsidRPr="00752474" w:rsidRDefault="00383BB1" w:rsidP="00383BB1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752474">
              <w:t>2014-2019</w:t>
            </w:r>
          </w:p>
        </w:tc>
        <w:tc>
          <w:tcPr>
            <w:tcW w:w="2268" w:type="dxa"/>
            <w:shd w:val="clear" w:color="auto" w:fill="auto"/>
          </w:tcPr>
          <w:p w:rsidR="00706BC0" w:rsidRPr="00752474" w:rsidRDefault="00752474" w:rsidP="00F26DE8">
            <w:pPr>
              <w:pStyle w:val="EPLogo"/>
            </w:pPr>
            <w:r w:rsidRPr="0075247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E53167" w:rsidRPr="00752474" w:rsidRDefault="00E53167" w:rsidP="00E53167">
      <w:pPr>
        <w:pStyle w:val="LineTop"/>
      </w:pPr>
    </w:p>
    <w:p w:rsidR="00E53167" w:rsidRPr="00752474" w:rsidRDefault="00383BB1" w:rsidP="00E53167">
      <w:pPr>
        <w:pStyle w:val="ZSessionDoc"/>
      </w:pPr>
      <w:r w:rsidRPr="00752474">
        <w:t>Dokument z posiedzenia</w:t>
      </w:r>
    </w:p>
    <w:p w:rsidR="00094DDA" w:rsidRPr="00752474" w:rsidRDefault="00094DDA" w:rsidP="00094DDA">
      <w:pPr>
        <w:pStyle w:val="LineBottom"/>
      </w:pPr>
    </w:p>
    <w:p w:rsidR="00094DDA" w:rsidRPr="00752474" w:rsidRDefault="00094DDA" w:rsidP="00094DDA">
      <w:pPr>
        <w:pStyle w:val="RefProc"/>
      </w:pPr>
      <w:r w:rsidRPr="00752474">
        <w:rPr>
          <w:rStyle w:val="HideTWBExt"/>
          <w:b w:val="0"/>
          <w:noProof w:val="0"/>
        </w:rPr>
        <w:t>&lt;NoDocSe&gt;</w:t>
      </w:r>
      <w:r w:rsidRPr="00752474">
        <w:t>B8</w:t>
      </w:r>
      <w:r w:rsidRPr="00752474">
        <w:noBreakHyphen/>
        <w:t>0160/2019</w:t>
      </w:r>
      <w:r w:rsidRPr="00752474">
        <w:rPr>
          <w:rStyle w:val="HideTWBExt"/>
          <w:b w:val="0"/>
          <w:noProof w:val="0"/>
        </w:rPr>
        <w:t>&lt;/NoDocSe&gt;</w:t>
      </w:r>
    </w:p>
    <w:p w:rsidR="00094DDA" w:rsidRPr="00752474" w:rsidRDefault="00094DDA" w:rsidP="00094DDA">
      <w:pPr>
        <w:pStyle w:val="ZDate"/>
      </w:pPr>
      <w:r w:rsidRPr="00752474">
        <w:rPr>
          <w:rStyle w:val="HideTWBExt"/>
          <w:noProof w:val="0"/>
        </w:rPr>
        <w:t>&lt;Date&gt;</w:t>
      </w:r>
      <w:r w:rsidRPr="00752474">
        <w:rPr>
          <w:rStyle w:val="HideTWBInt"/>
        </w:rPr>
        <w:t>{06/03/2019}</w:t>
      </w:r>
      <w:r w:rsidRPr="00752474">
        <w:t>6.3.2019</w:t>
      </w:r>
      <w:r w:rsidRPr="00752474">
        <w:rPr>
          <w:rStyle w:val="HideTWBExt"/>
          <w:noProof w:val="0"/>
        </w:rPr>
        <w:t>&lt;/Date&gt;</w:t>
      </w:r>
    </w:p>
    <w:p w:rsidR="00814BC6" w:rsidRPr="00752474" w:rsidRDefault="00814BC6">
      <w:pPr>
        <w:pStyle w:val="TypeDoc"/>
      </w:pPr>
      <w:r w:rsidRPr="00752474">
        <w:rPr>
          <w:rStyle w:val="HideTWBExt"/>
          <w:b w:val="0"/>
          <w:noProof w:val="0"/>
        </w:rPr>
        <w:t>&lt;TitreType&gt;</w:t>
      </w:r>
      <w:r w:rsidRPr="00752474">
        <w:t>PROJEKT REZOLUCJI</w:t>
      </w:r>
      <w:r w:rsidRPr="00752474">
        <w:rPr>
          <w:rStyle w:val="HideTWBExt"/>
          <w:b w:val="0"/>
          <w:noProof w:val="0"/>
        </w:rPr>
        <w:t>&lt;/TitreType&gt;</w:t>
      </w:r>
    </w:p>
    <w:p w:rsidR="00814BC6" w:rsidRPr="00752474" w:rsidRDefault="00814BC6">
      <w:pPr>
        <w:pStyle w:val="Cover12"/>
      </w:pPr>
      <w:r w:rsidRPr="00752474">
        <w:rPr>
          <w:rStyle w:val="HideTWBExt"/>
          <w:noProof w:val="0"/>
        </w:rPr>
        <w:t>&lt;TitreSuite&gt;</w:t>
      </w:r>
      <w:r w:rsidRPr="00752474">
        <w:t>złożony w następstwie oświadczeń Rady i Komisji</w:t>
      </w:r>
      <w:r w:rsidRPr="00752474">
        <w:rPr>
          <w:rStyle w:val="HideTWBExt"/>
          <w:noProof w:val="0"/>
        </w:rPr>
        <w:t>&lt;/TitreSuite&gt;</w:t>
      </w:r>
    </w:p>
    <w:p w:rsidR="00814BC6" w:rsidRPr="00752474" w:rsidRDefault="00814BC6">
      <w:pPr>
        <w:pStyle w:val="Cover12"/>
      </w:pPr>
      <w:r w:rsidRPr="00752474">
        <w:rPr>
          <w:rStyle w:val="HideTWBExt"/>
          <w:noProof w:val="0"/>
        </w:rPr>
        <w:t>&lt;TitreRecueil&gt;</w:t>
      </w:r>
      <w:r w:rsidRPr="00752474">
        <w:t>zgodnie z art. 123 ust. 2 Regulaminu</w:t>
      </w:r>
      <w:r w:rsidRPr="00752474">
        <w:rPr>
          <w:rStyle w:val="HideTWBExt"/>
          <w:noProof w:val="0"/>
        </w:rPr>
        <w:t>&lt;/TitreRecueil&gt;</w:t>
      </w:r>
    </w:p>
    <w:p w:rsidR="00C23264" w:rsidRPr="00752474" w:rsidRDefault="00C23264" w:rsidP="00C23264">
      <w:pPr>
        <w:pStyle w:val="CoverNormal"/>
      </w:pPr>
      <w:r w:rsidRPr="00752474">
        <w:rPr>
          <w:rStyle w:val="HideTWBExt"/>
          <w:noProof w:val="0"/>
        </w:rPr>
        <w:t>&lt;Titre&gt;</w:t>
      </w:r>
      <w:r w:rsidRPr="00752474">
        <w:t>w sprawie zagrożeń dla bezpieczeństwa wynikających z rosnącej obecności technologicznej Chin w UE oraz możliwości podjęcia na szczeblu UE działań mających zmniejszyć te zagrożenia</w:t>
      </w:r>
      <w:r w:rsidRPr="00752474">
        <w:rPr>
          <w:rStyle w:val="HideTWBExt"/>
          <w:noProof w:val="0"/>
        </w:rPr>
        <w:t>&lt;/Titre&gt;</w:t>
      </w:r>
    </w:p>
    <w:p w:rsidR="00C23264" w:rsidRPr="00752474" w:rsidRDefault="00C23264" w:rsidP="00C23264">
      <w:pPr>
        <w:pStyle w:val="Cover24"/>
      </w:pPr>
      <w:r w:rsidRPr="00752474">
        <w:rPr>
          <w:rStyle w:val="HideTWBExt"/>
          <w:noProof w:val="0"/>
        </w:rPr>
        <w:t>&lt;DocRef&gt;</w:t>
      </w:r>
      <w:r w:rsidRPr="00752474">
        <w:t>(2019/2575(RSP))</w:t>
      </w:r>
      <w:r w:rsidRPr="00752474">
        <w:rPr>
          <w:rStyle w:val="HideTWBExt"/>
          <w:noProof w:val="0"/>
        </w:rPr>
        <w:t>&lt;/DocRef&gt;</w:t>
      </w:r>
    </w:p>
    <w:p w:rsidR="002574AA" w:rsidRPr="00752474" w:rsidRDefault="002574AA" w:rsidP="002574AA">
      <w:pPr>
        <w:pStyle w:val="CoverBold"/>
      </w:pPr>
      <w:r w:rsidRPr="00752474">
        <w:rPr>
          <w:rStyle w:val="HideTWBExt"/>
          <w:b w:val="0"/>
          <w:noProof w:val="0"/>
        </w:rPr>
        <w:t>&lt;RepeatBlock-By&gt;&lt;Depute&gt;</w:t>
      </w:r>
      <w:r w:rsidRPr="00752474">
        <w:t>Reinhard Bütikofer</w:t>
      </w:r>
      <w:r w:rsidRPr="00752474">
        <w:rPr>
          <w:rStyle w:val="HideTWBExt"/>
          <w:b w:val="0"/>
          <w:noProof w:val="0"/>
        </w:rPr>
        <w:t>&lt;/Depute&gt;</w:t>
      </w:r>
    </w:p>
    <w:p w:rsidR="002574AA" w:rsidRPr="00752474" w:rsidRDefault="002574AA" w:rsidP="002574AA">
      <w:pPr>
        <w:pStyle w:val="CoverNormal"/>
      </w:pPr>
      <w:r w:rsidRPr="00752474">
        <w:rPr>
          <w:rStyle w:val="HideTWBExt"/>
          <w:noProof w:val="0"/>
        </w:rPr>
        <w:t>&lt;Commission&gt;</w:t>
      </w:r>
      <w:r w:rsidRPr="00752474">
        <w:rPr>
          <w:rStyle w:val="HideTWBInt"/>
        </w:rPr>
        <w:t>{Verts/ALE}</w:t>
      </w:r>
      <w:r w:rsidRPr="00752474">
        <w:t>w imieniu grupy Verts/ALE</w:t>
      </w:r>
      <w:r w:rsidRPr="00752474">
        <w:rPr>
          <w:rStyle w:val="HideTWBExt"/>
          <w:noProof w:val="0"/>
        </w:rPr>
        <w:t>&lt;/Commission&gt;</w:t>
      </w:r>
    </w:p>
    <w:p w:rsidR="002574AA" w:rsidRPr="00752474" w:rsidRDefault="002574AA" w:rsidP="002574AA">
      <w:pPr>
        <w:pStyle w:val="CoverNormal"/>
      </w:pPr>
      <w:r w:rsidRPr="00752474">
        <w:rPr>
          <w:rStyle w:val="HideTWBExt"/>
          <w:noProof w:val="0"/>
        </w:rPr>
        <w:t>&lt;/RepeatBlock-By&gt;</w:t>
      </w:r>
    </w:p>
    <w:p w:rsidR="00814BC6" w:rsidRPr="00752474" w:rsidRDefault="00814BC6">
      <w:pPr>
        <w:pStyle w:val="Normal12Bold"/>
      </w:pPr>
      <w:r w:rsidRPr="00752474">
        <w:br w:type="page"/>
      </w:r>
      <w:r w:rsidRPr="00752474">
        <w:lastRenderedPageBreak/>
        <w:t>B8</w:t>
      </w:r>
      <w:r w:rsidRPr="00752474">
        <w:noBreakHyphen/>
        <w:t>0160/2019</w:t>
      </w:r>
    </w:p>
    <w:p w:rsidR="00C23264" w:rsidRPr="00752474" w:rsidRDefault="004772DA" w:rsidP="00C23264">
      <w:pPr>
        <w:pStyle w:val="NormalBold"/>
      </w:pPr>
      <w:r w:rsidRPr="00752474">
        <w:t>Rezolucja Parlamentu Europejskiego w sprawie zagrożeń dla bezpieczeństwa wynikających z rosnącej obecności technologicznej Chin w UE oraz możliwości podjęcia na szczeblu UE działań mających zmniejszyć te zagrożenia</w:t>
      </w:r>
    </w:p>
    <w:p w:rsidR="00C23264" w:rsidRPr="00752474" w:rsidRDefault="004772DA" w:rsidP="00C23264">
      <w:pPr>
        <w:pStyle w:val="Normal24Bold"/>
      </w:pPr>
      <w:r w:rsidRPr="00752474">
        <w:t>(2019/2575(RSP))</w:t>
      </w:r>
    </w:p>
    <w:p w:rsidR="00814BC6" w:rsidRPr="00752474" w:rsidRDefault="004772DA">
      <w:pPr>
        <w:pStyle w:val="Normal12"/>
      </w:pPr>
      <w:r w:rsidRPr="00752474">
        <w:rPr>
          <w:i/>
        </w:rPr>
        <w:t>Parlament Europejski</w:t>
      </w:r>
      <w:r w:rsidRPr="00752474">
        <w:t>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dyrektywę Parlamentu Europejskiego i Rady (UE) 2018/1972 z dnia 11 grudnia 2018 r. ustanawiającą Europejski kodeks łączności elektronicznej</w:t>
      </w:r>
      <w:r w:rsidRPr="00752474">
        <w:rPr>
          <w:vertAlign w:val="superscript"/>
        </w:rPr>
        <w:footnoteReference w:id="2"/>
      </w:r>
      <w:r w:rsidRPr="00752474">
        <w:t>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dyrektywę Parlamentu Europejskiego i Rady (UE) 2016/1148 z dnia 6 lipca 2016 r. w sprawie środków na rzecz wysokiego wspólnego poziomu bezpieczeństwa sieci i systemów informatycznych na terytorium Unii</w:t>
      </w:r>
      <w:r w:rsidRPr="00752474">
        <w:rPr>
          <w:vertAlign w:val="superscript"/>
        </w:rPr>
        <w:footnoteReference w:id="3"/>
      </w:r>
      <w:r w:rsidRPr="00752474">
        <w:t>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dyrektywę Parlamentu Europejskiego i Rady 2013/40/UE z dnia 12 sierpnia 2013 r. dotyczącą ataków na systemy informatyczne i zastępującą decyzję ramową Rady 2005/222/WSiSW</w:t>
      </w:r>
      <w:r w:rsidR="0020783D" w:rsidRPr="00752474">
        <w:rPr>
          <w:rStyle w:val="FootnoteReference"/>
        </w:rPr>
        <w:footnoteReference w:id="4"/>
      </w:r>
      <w:r w:rsidRPr="00752474">
        <w:t>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wniosek Komisji z dnia 13 września 2017 r. dotyczący rozporządzenia Parlamentu Europejskiego i Rady w sprawie „Agencji UE ds. cyberbezpieczeństwa” ENISA, uchylenia rozporządzenia (UE) nr 526/2013 oraz certyfikacji cyberbezpieczeństwa w zakresie technologii informacyjno-komunikacyjnych („akt ws. cyberbezpieczeństwa”) (COM(2017)0477),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wniosek Komisji z dnia 12 września 2018 r. dotyczący rozporządzenia Parlamentu Europejskiego i Rady ustanawiającego Europejskie Centrum Kompetencji w dziedzinie Cyberbezpieczeństwa w kwestiach Przemysłu, Technologii i Badań Naukowych oraz sieć krajowych ośrodków koordynacji (COM(2018)0630),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przyjętą w Chinach ustawę o wywiadzie narodowym z dnia 28 czerwca 2017 r. oraz ustawę dotyczącą bezpieczeństwa państwowego z dnia 1 lipca 2015 r.,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oświadczenia Rady i Komisji z dnia 13 lutego 2019 r. w sprawie zagrożeń dla bezpieczeństwa wynikających z rosnącej obecności technologicznej Chin w UE oraz możliwości podjęcia na szczeblu UE działań mających zmniejszyć te zagrożenia,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przyjęcie przez rząd Australii rządowych reform dotyczących bezpieczeństwa sektora telekomunikacji, które weszły w życie z dniem 18 września 2018 r.,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 xml:space="preserve">uwzględniając swoje stanowisko przyjęte w pierwszym czytaniu w dniu 14 lutego 2019 r. w sprawie wniosku dotyczącego rozporządzenia Parlamentu Europejskiego i Rady </w:t>
      </w:r>
      <w:r w:rsidRPr="00752474">
        <w:lastRenderedPageBreak/>
        <w:t>ustanawiającego ramy monitorowania bezpośrednich inwestycji zagranicznych w Unii Europejskiej</w:t>
      </w:r>
      <w:r w:rsidRPr="00752474">
        <w:rPr>
          <w:vertAlign w:val="superscript"/>
        </w:rPr>
        <w:footnoteReference w:id="5"/>
      </w:r>
      <w:r w:rsidRPr="00752474">
        <w:t>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swoje rezolucje w sprawie stosunków między UE a Chinami, w szczególności rezolucję z dnia 12 września 2018 r. w sprawie stanu stosunków między UE a Chinami</w:t>
      </w:r>
      <w:r w:rsidR="0020783D" w:rsidRPr="00752474">
        <w:rPr>
          <w:rStyle w:val="FootnoteReference"/>
        </w:rPr>
        <w:footnoteReference w:id="6"/>
      </w:r>
      <w:r w:rsidRPr="00752474">
        <w:t>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komunikat Komisji z dnia 14 września 2016 r. zatytułowany „Sieć 5G dla Europy: plan działania” (COM(2016)0588),</w:t>
      </w:r>
    </w:p>
    <w:p w:rsidR="00383BB1" w:rsidRPr="00752474" w:rsidRDefault="00383BB1" w:rsidP="00383BB1">
      <w:pPr>
        <w:pStyle w:val="Normal12Hanging"/>
      </w:pPr>
      <w:r w:rsidRPr="00752474">
        <w:t>–</w:t>
      </w:r>
      <w:r w:rsidRPr="00752474">
        <w:tab/>
        <w:t>uwzględniając swoją rezolucję z dnia 1 czerwca 2017 r. w sprawie łączności internetowej na rzecz wzrostu gospodarczego, konkurencyjności i spójności: europejskie społeczeństwo gigabitowe i 5G</w:t>
      </w:r>
      <w:r w:rsidR="0020783D" w:rsidRPr="00752474">
        <w:rPr>
          <w:rStyle w:val="FootnoteReference"/>
        </w:rPr>
        <w:footnoteReference w:id="7"/>
      </w:r>
      <w:r w:rsidRPr="00752474">
        <w:t>,</w:t>
      </w:r>
    </w:p>
    <w:p w:rsidR="00383BB1" w:rsidRPr="00752474" w:rsidRDefault="00383BB1" w:rsidP="00383BB1">
      <w:pPr>
        <w:pStyle w:val="Normal12Hanging"/>
        <w:rPr>
          <w:bCs/>
        </w:rPr>
      </w:pPr>
      <w:r w:rsidRPr="00752474">
        <w:t>–</w:t>
      </w:r>
      <w:r w:rsidRPr="00752474">
        <w:tab/>
        <w:t>uwzględniając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0783D" w:rsidRPr="00752474">
        <w:rPr>
          <w:rStyle w:val="FootnoteReference"/>
        </w:rPr>
        <w:footnoteReference w:id="8"/>
      </w:r>
      <w:r w:rsidRPr="00752474">
        <w:t>,</w:t>
      </w:r>
    </w:p>
    <w:p w:rsidR="00383BB1" w:rsidRPr="00752474" w:rsidRDefault="00383BB1" w:rsidP="00383BB1">
      <w:pPr>
        <w:pStyle w:val="Normal12Hanging"/>
        <w:rPr>
          <w:bCs/>
        </w:rPr>
      </w:pPr>
      <w:r w:rsidRPr="00752474">
        <w:t>–</w:t>
      </w:r>
      <w:r w:rsidRPr="00752474">
        <w:tab/>
        <w:t>uwzględniając rozporządzenie Parlamentu Europejskiego i Rady (UE) nr 1316/2013/UE z dnia 11 grudnia 2013 r. ustanawiające instrument „Łącząc Europę”, zmieniające rozporządzenie (UE) nr 913/2010 oraz uchylające rozporządzenia (WE) nr 680/2007 i (WE) nr 67/2010</w:t>
      </w:r>
      <w:r w:rsidR="0020783D" w:rsidRPr="00752474">
        <w:rPr>
          <w:rStyle w:val="FootnoteReference"/>
        </w:rPr>
        <w:footnoteReference w:id="9"/>
      </w:r>
      <w:r w:rsidRPr="00752474">
        <w:t>,</w:t>
      </w:r>
    </w:p>
    <w:p w:rsidR="00383BB1" w:rsidRPr="00752474" w:rsidRDefault="00383BB1" w:rsidP="00383BB1">
      <w:pPr>
        <w:pStyle w:val="Normal12Hanging"/>
        <w:rPr>
          <w:bCs/>
          <w:szCs w:val="27"/>
        </w:rPr>
      </w:pPr>
      <w:r w:rsidRPr="00752474">
        <w:t>–</w:t>
      </w:r>
      <w:r w:rsidRPr="00752474">
        <w:tab/>
        <w:t>uwzględniając program „Cyfrowa Europa”,</w:t>
      </w:r>
    </w:p>
    <w:p w:rsidR="00383BB1" w:rsidRPr="00752474" w:rsidRDefault="00814BC6" w:rsidP="00383BB1">
      <w:pPr>
        <w:pStyle w:val="Normal12Hanging"/>
      </w:pPr>
      <w:r w:rsidRPr="00752474">
        <w:t>–</w:t>
      </w:r>
      <w:r w:rsidRPr="00752474">
        <w:tab/>
        <w:t>uwzględniając art. 123 ust. 2 Regulaminu,</w:t>
      </w:r>
    </w:p>
    <w:p w:rsidR="00383BB1" w:rsidRPr="00752474" w:rsidRDefault="00383BB1" w:rsidP="00383BB1">
      <w:pPr>
        <w:pStyle w:val="Normal12Hanging"/>
        <w:rPr>
          <w:rFonts w:eastAsia="Calibri"/>
          <w:bCs/>
        </w:rPr>
      </w:pPr>
      <w:r w:rsidRPr="00752474">
        <w:t>A.</w:t>
      </w:r>
      <w:r w:rsidRPr="00752474">
        <w:tab/>
        <w:t>mając na uwadze, że UE wspiera cyfryzację swojego przemysłu oraz wykorzystywanie sieci i urządzeń nowej generacji, a także podjęła szereg działań, aby wyznaczać standardy dla sieci 5G;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B.</w:t>
      </w:r>
      <w:r w:rsidRPr="00752474">
        <w:tab/>
        <w:t>mając na uwadze możliwość wykorzystywania luk w zabezpieczeniach sieci 5G, aby zagrozić bezpieczeństwu systemów informatycznych, co potencjalnie mogłoby prowadzić do bardzo poważnych szkód dla gospodarek na szczeblu europejskim i krajowym; mając na uwadze, że w celu minimalizacji zagrożeń niezbędne jest przyjęcie podejścia opartego na analizie ryzyka w całym łańcuchu wartości;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C.</w:t>
      </w:r>
      <w:r w:rsidRPr="00752474">
        <w:tab/>
        <w:t>mając na uwadze, że sieć 5G będzie stanowiła trzon europejskiej infrastruktury cyfrowej, zwiększając możliwości połączenia różnych urządzeń z sieciami (internet rzeczy itp.), oraz zapewni społeczeństwu i przedsiębiorstwom nowe korzyści i możliwości w wielu dziedzinach, w tym w kluczowych sektorach gospodarki, takich jak transport, energetyka, ochrona zdrowia, finanse, telekomunikacja, obrona, przestrzeń kosmiczna i bezpieczeństwo;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D.</w:t>
      </w:r>
      <w:r w:rsidRPr="00752474">
        <w:tab/>
        <w:t>mając na uwadze wielokrotne apele Parlamentu o opracowanie europejskiej strategii na rzecz większej niezależności w dziedzinie IT i prywatności w internecie, która stałaby się bodźcem dla sektora informatycznego w UE;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E.</w:t>
      </w:r>
      <w:r w:rsidRPr="00752474">
        <w:tab/>
        <w:t>mając na uwadze, że podniesione zostały obawy dotyczące sprzedawców sprzętu z państw trzecich mogących zagrażać bezpieczeństwu UE z powodu przepisów obowiązujących w ich państwach pochodzenia, w szczególności w następstwie przyjęcia chińskiej ustawy dotyczącej bezpieczeństwa państwowego, która zawiera bardzo szeroką definicję bezpieczeństwa narodowego i zobowiązuje wszystkich obywateli, przedsiębiorstwa i inne podmioty do współpracy z państwem w celu ochrony bezpieczeństwa państwa; mając na uwadze, że nie ma gwarancji, że obowiązki te nie mają zastosowania eksterytorialnego; mając na uwadze, że przepisy przyjęte w Chinach spotkały się z różnymi reakcjami państw, w tym Stanów Zjednoczonych, Australii i Nowej Zelandii, począwszy od ocen stanu bezpieczeństwa po ustanowienie całkowitego zakazu;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F.</w:t>
      </w:r>
      <w:r w:rsidRPr="00752474">
        <w:tab/>
        <w:t>mając na uwadze, że dostęp do rynku jest już uwarunkowany przestrzeganiem europejskich przepisów w przypadku znacznej liczby produktów, lecz cyberbezpieczeństwo nie stanowi jeszcze wymogu, a systemy certyfikacji zgodnie z aktem ws. cyberbezpieczeństwa nie zapewniają odpowiedniej odpowiedzi na pilny charakter sytuacji, w szczególności w odniesieniu do powszechnej łączności konsumentów i urządzeń podłączonych do sieci;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G.</w:t>
      </w:r>
      <w:r w:rsidRPr="00752474">
        <w:tab/>
        <w:t>mając na uwadze, że zdarzały się już incydenty związane z bezpieczeństwem w UE ze względu na luki w zabezpieczeniach sieci komunikacyjnych, w tym miał miejsce nieuprawniony dostęp do belgijskiego operatora telekomunikacyjnego świadczącego usługi na rzecz instytucji UE;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H.</w:t>
      </w:r>
      <w:r w:rsidRPr="00752474">
        <w:tab/>
        <w:t>mając na uwadze, że potrzebna jest wnikliwa analiza w celu wyjaśnienia, czy urządzenia biorące udział w tych incydentach lub wszelkie inne urządzenia lub dostawcy stwarzają zagrożenie dla bezpieczeństwa ze względu na cechy takie jak luki w zabezpieczeniach typu backdoor;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I.</w:t>
      </w:r>
      <w:r w:rsidRPr="00752474">
        <w:tab/>
        <w:t>mając na uwadze konieczność koordynacji i rozpatrywania rozwiązań na szczeblu UE w celu uniknięcia różnic w poziomie bezpieczeństwa i potencjalnych luk w dziedzinie cyberbezpieczeństwa; mając na uwadze, że koordynacja jest również konieczna na szczeblu światowym w celu zagwarantowania zdecydowanej reakcji;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J.</w:t>
      </w:r>
      <w:r w:rsidRPr="00752474">
        <w:tab/>
        <w:t>mając na uwadze, że korzyści płynące z jednolitego rynku wiążą się z obowiązkiem przestrzegania unijnych norm i ram prawnych; mając na uwadze, że dostawcy nie powinni spotykać się z różnym traktowaniem w zależności od państwa pochodzenia;</w:t>
      </w:r>
    </w:p>
    <w:p w:rsidR="00383BB1" w:rsidRPr="00752474" w:rsidRDefault="00383BB1" w:rsidP="00383BB1">
      <w:pPr>
        <w:pStyle w:val="Normal12Hanging"/>
      </w:pPr>
      <w:r w:rsidRPr="00752474">
        <w:t>K.</w:t>
      </w:r>
      <w:r w:rsidRPr="00752474">
        <w:tab/>
        <w:t>mając na uwadze, że w przyszłym rozporządzeniu UE ustanawiającym ramy monitorowania bezpośrednich inwestycji zagranicznych w Unii Europejskiej przewidziano wykaz czynników uznawanych za związane z bezpieczeństwem i porządkiem publicznym, które obejmują infrastrukturę krytyczną, w tym infrastrukturę komunikacyjną, technologie krytyczne, cyberbezpieczeństwo, dostęp do szczególnie chronionych informacji oraz swobodę kontrolowania tych informacji; mając na uwadze, że czynniki takie jak fakt, czy inwestor zagraniczny jest pośrednio kontrolowany przez rząd państwa pochodzenia, powinny być uznawane za istotne dla bezpieczeństwa i porządku publicznego; mając na uwadze, że w rozporządzeniu uwzględniono również projekty i programy leżące w interesie Unii, takie jak transeuropejskie sieci telekomunikacyjne i program „Horyzont 2020”; mając na uwadze, że w rozporządzeniu ustanowiono mechanizm umożliwiający Komisji i państwom członkowskim współpracę w dziedzinie oceny zagrożeń dla bezpieczeństwa związanych z bezpośrednimi inwestycjami zagranicznymi;</w:t>
      </w:r>
    </w:p>
    <w:p w:rsidR="00383BB1" w:rsidRPr="00752474" w:rsidRDefault="00383BB1" w:rsidP="00383BB1">
      <w:pPr>
        <w:pStyle w:val="Normal12Hanging"/>
      </w:pPr>
      <w:r w:rsidRPr="00752474">
        <w:t>1.</w:t>
      </w:r>
      <w:r w:rsidRPr="00752474">
        <w:tab/>
        <w:t>uważa, że Unia powinna objąć wiodącą rolę w dziedzinie cyberbezpieczeństwa za pośrednictwem wspólnego podejścia w oparciu o skuteczne i wydajne wykorzystywanie specjalistycznej wiedzy na poziomie UE, państw członkowskich i przemysłu, ponieważ mozaika rozbieżnych decyzji na szczeblu krajowym miałaby szkodliwy wpływ na jednolity rynek cyfrowy;</w:t>
      </w:r>
    </w:p>
    <w:p w:rsidR="00383BB1" w:rsidRPr="00752474" w:rsidRDefault="00383BB1" w:rsidP="00383BB1">
      <w:pPr>
        <w:pStyle w:val="Normal12Hanging"/>
      </w:pPr>
      <w:r w:rsidRPr="00752474">
        <w:t>2.</w:t>
      </w:r>
      <w:r w:rsidRPr="00752474">
        <w:tab/>
        <w:t>podkreśla znaczenie szybkiego przyjęcia unijnego podejścia do bezpieczeństwa infrastruktury w perspektywie wdrażania technologii 5G przy uwzględnieniu zagrożeń dla bezpieczeństwa i porządku publicznego na skutek ingerencji i wpływu państw trzecich; podkreśla, że jest to kwestia własnego bezpieczeństwa i podstawowych interesów UE;</w:t>
      </w:r>
    </w:p>
    <w:p w:rsidR="00383BB1" w:rsidRPr="00752474" w:rsidRDefault="00383BB1" w:rsidP="00383BB1">
      <w:pPr>
        <w:pStyle w:val="Normal12Hanging"/>
      </w:pPr>
      <w:r w:rsidRPr="00752474">
        <w:t>3.</w:t>
      </w:r>
      <w:r w:rsidRPr="00752474">
        <w:tab/>
        <w:t>z zadowoleniem przyjmuje zbliżające się wejście w życie rozporządzenia ustanawiającego ramy monitorowania bezpośrednich inwestycji zagranicznych ze względów bezpieczeństwa i porządku publicznego oraz podkreśla, że rozporządzenie to po raz pierwszy ustanawia wykaz obszarów i czynników mających znaczenie dla bezpieczeństwa i porządku publicznego na szczeblu UE;</w:t>
      </w:r>
    </w:p>
    <w:p w:rsidR="00383BB1" w:rsidRPr="00752474" w:rsidRDefault="00383BB1" w:rsidP="00383BB1">
      <w:pPr>
        <w:pStyle w:val="Normal12Hanging"/>
      </w:pPr>
      <w:r w:rsidRPr="00752474">
        <w:t>4.</w:t>
      </w:r>
      <w:r w:rsidRPr="00752474">
        <w:tab/>
        <w:t>wyraża głębokie zaniepokojenie z powodu niedawnych doniesień dotyczących możliwego wyposażenia urządzeń 5G opracowanych przez chińskie przedsiębiorstwa w luki w zabezpieczeniach (backdoor) zapewniające producentom i organom nieuprawniony dostęp do danych i połączeń telekomunikacyjnych obywateli i przedsiębiorstw UE; jest równie zaniepokojony możliwą obecnością istotnych luki w zabezpieczeniach w urządzeniach 5G opracowanych przez tych producentów w przypadku ich montażu w ramach wdrażania sieci 5G w nadchodzących latach; apeluje do Komisji i państw członkowskich, aby rozważyły zakaz korzystania ze sprzętu 5G producentów niezdolnych do zapewnienia odpowiednich gwarancji w dziedzinie bezpieczeństwa;</w:t>
      </w:r>
    </w:p>
    <w:p w:rsidR="00383BB1" w:rsidRPr="00752474" w:rsidRDefault="00383BB1" w:rsidP="00383BB1">
      <w:pPr>
        <w:pStyle w:val="Normal12Hanging"/>
      </w:pPr>
      <w:r w:rsidRPr="00752474">
        <w:t>5.</w:t>
      </w:r>
      <w:r w:rsidRPr="00752474">
        <w:tab/>
        <w:t>podkreśla, że skutki dla bezpieczeństwa sieci i sprzętu są podobne na całym świecie i wzywa UE do wyciągnięcia wniosków z dostępnych doświadczeń, aby móc zapewnić najwyższe normy w zakresie cyberbezpieczeństwa; jest zdania, że w przypadku braku możliwości zagwarantowania zgodności z wymogami w dziedzinie bezpieczeństwa należy zastosować odpowiednie środki; zauważa, że w ramach oceny adekwatności pod względem bezpieczeństwa UE powinna wymagać znaczących i wiarygodnych gwarancji, w szczególności w przypadku gdy akcje danego przedsiębiorstwa nie są przedmiotem publicznego obrotu, przedsiębiorstwo ma niejasne struktury organizacyjne i nie zapewnia przejrzystości w odniesieniu do źródeł finansowania i podejmowania decyzji;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6.</w:t>
      </w:r>
      <w:r w:rsidRPr="00752474">
        <w:tab/>
        <w:t>wzywa państwa członkowskie, aby informowały Komisję o wszelkich istotnych środkach krajowych, jakie zamierzają podjąć, aby zapewnić skoordynowaną reakcję Unii w celu zagwarantowania najwyższych norm cyberbezpieczeństwa w całej Unii;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7.</w:t>
      </w:r>
      <w:r w:rsidRPr="00752474">
        <w:tab/>
        <w:t>ponownie podkreśla, że wszelkie podmioty dostarczające sprzęt lub usługi w UE, niezależnie od ich państwa pochodzenia, muszą spełniać zobowiązania w zakresie praw podstawowych oraz zapewniać zgodność z prawem obowiązującym w UE i państwach członkowskich, w tym ramami prawnymi w dziedzinie ochrony prywatności, ochrony danych i cyberbezpieczeństwa;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8.</w:t>
      </w:r>
      <w:r w:rsidRPr="00752474">
        <w:tab/>
        <w:t xml:space="preserve">wzywa Komisję do dokonania oceny solidności ram prawnych Unii, aby rozwiać obawy dotyczące obecności urządzeń zawierających luki w zabezpieczeniach w sektorach strategicznych i infrastrukturze szkieletowej; wzywa Komisję do przedstawienia inicjatyw, w tym – w stosownych przypadkach – wniosków ustawodawczych, aby w odpowiednim czasie usunąć wszelkie braki stwierdzone od początku trwającego unijnego procesu identyfikacji i eliminowania problemów w zakresie cyberbezpieczeństwa i zwiększania odporności UE pod względem cyberbezpieczeństwa; </w:t>
      </w:r>
    </w:p>
    <w:p w:rsidR="00383BB1" w:rsidRPr="00752474" w:rsidRDefault="00383BB1" w:rsidP="00383BB1">
      <w:pPr>
        <w:pStyle w:val="Normal12Hanging"/>
      </w:pPr>
      <w:r w:rsidRPr="00752474">
        <w:t>9.</w:t>
      </w:r>
      <w:r w:rsidRPr="00752474">
        <w:tab/>
        <w:t>wzywa państwa członkowskie, które nie transponowały jeszcze w pełni dyrektywy w sprawie bezpieczeństwa sieci i informacji, aby dokonały tego niezwłocznie; wzywa Komisję do ścisłego monitorowania procesu transpozycji, aby zapewnić właściwe stosowanie i egzekwowanie przepisów dyrektywy oraz lepszą ochronę europejskich obywateli przed zewnętrznymi i wewnętrznymi zagrożeniami dla bezpieczeństwa;</w:t>
      </w:r>
    </w:p>
    <w:p w:rsidR="00383BB1" w:rsidRPr="00752474" w:rsidRDefault="00383BB1" w:rsidP="00383BB1">
      <w:pPr>
        <w:pStyle w:val="Normal12Hanging"/>
      </w:pPr>
      <w:r w:rsidRPr="00752474">
        <w:t>10.</w:t>
      </w:r>
      <w:r w:rsidRPr="00752474">
        <w:tab/>
        <w:t>z zadowoleniem przyjmuje i popiera porozumienie dotyczące aktu ws. cyberbezpieczeństwa i wzmocnienia mandatu Agencji UE ds. Bezpieczeństwa Sieci i Informacji (ENISA) w celu lepszego wspierania państw członkowskich w walce z zagrożeniami i atakami w dziedzinie cyberbezpieczeństwa;</w:t>
      </w:r>
    </w:p>
    <w:p w:rsidR="00383BB1" w:rsidRPr="00752474" w:rsidRDefault="00383BB1" w:rsidP="00383BB1">
      <w:pPr>
        <w:pStyle w:val="Normal12Hanging"/>
      </w:pPr>
      <w:r w:rsidRPr="00752474">
        <w:t>11.</w:t>
      </w:r>
      <w:r w:rsidRPr="00752474">
        <w:tab/>
        <w:t>przypomina, że cyberbezpieczeństwo wymaga stawiania wysokich wymogów w dziedzinie bezpieczeństwa; apeluje o zapewnianie bezpieczeństwa sieci i produktów już w fazie projektowania i o domyślne zapewnianie ich bezpieczeństwa; wzywa Komisję, aby zobowiązała agencję ENISA do priorytetowego traktowania prac dotyczących systemu certyfikacji sprzętu 5G w celu zapewnienia, aby wdrożenie sieci 5G w Unii spełniało najwyższe normy bezpieczeństwa i gwarantowało odporność na luki w zabezpieczeniach typu backdoor i inne luki mogące zagrażać bezpieczeństwu sieci telekomunikacyjnych UE i usług zależnych; zaleca zwrócenie szczególnej uwagi na powszechnie stosowane procesy, produkty i oprogramowanie, które ze względu na samą skalę zastosowania mają istotny wpływ na codzienne życie obywateli i gospodarkę;</w:t>
      </w:r>
    </w:p>
    <w:p w:rsidR="00383BB1" w:rsidRPr="00752474" w:rsidRDefault="00383BB1" w:rsidP="00383BB1">
      <w:pPr>
        <w:pStyle w:val="Normal12Hanging"/>
      </w:pPr>
      <w:r w:rsidRPr="00752474">
        <w:t>12.</w:t>
      </w:r>
      <w:r w:rsidRPr="00752474">
        <w:tab/>
        <w:t>z dużym zadowoleniem przyjmuje wnioski dotyczące centrów kompetencji w dziedzinie cyberbezpieczeństwa i sieci krajowych ośrodków koordynacji mającej wspierać UE w utrzymaniu i rozwoju zdolności technologicznych i przemysłowych w dziedzinie cyberbezpieczeństwa, niezbędnych do zabezpieczenia jednolitego rynku cyfrowego UE;</w:t>
      </w:r>
    </w:p>
    <w:p w:rsidR="00383BB1" w:rsidRPr="00752474" w:rsidRDefault="00383BB1" w:rsidP="00383BB1">
      <w:pPr>
        <w:pStyle w:val="Normal12Hanging"/>
      </w:pPr>
      <w:r w:rsidRPr="00752474">
        <w:t>13.</w:t>
      </w:r>
      <w:r w:rsidRPr="00752474">
        <w:tab/>
        <w:t>z zadowoleniem przyjmuje program „Cyfrowa Europa” nakładający szereg wymogów w dziedzinie bezpieczeństwa oraz nadzór Komisji nad podmiotami mającymi siedzibę na terenie UE, lecz kontrolowanymi z państw trzecich, zwłaszcza w odniesieniu do działań związanych z cyberbezpieczeństwem; podkreśla znaczenie wykluczenia możliwości ingerencji w kwestie bezpieczeństwa za pośrednictwem żądań organów wykonawczych państw trzecich dotyczących współpracy wywiadowczej;</w:t>
      </w:r>
    </w:p>
    <w:p w:rsidR="00383BB1" w:rsidRPr="00752474" w:rsidRDefault="00383BB1" w:rsidP="00383BB1">
      <w:pPr>
        <w:pStyle w:val="Normal12Hanging"/>
      </w:pPr>
      <w:r w:rsidRPr="00752474">
        <w:t>14.</w:t>
      </w:r>
      <w:r w:rsidRPr="00752474">
        <w:tab/>
        <w:t xml:space="preserve">wzywa państwa członkowskie do zagwarantowania, aby instytucje publiczne i prywatne przedsiębiorstwa uczestniczące w zapewnieniu właściwego funkcjonowania sieci infrastruktury krytycznej, w tym w dziedzinie telekomunikacji, energetyki, ochrony zdrowia i systemów socjalnych, dokonały stosownych ocen i analiz ryzyka z uwzględnieniem zagrożeń dla bezpieczeństwa szczególnie związanych z cechami technicznymi danego systemu lub zależności od zewnętrznych dostawców technologii w dziedzinie sprzętu i oprogramowania; </w:t>
      </w:r>
    </w:p>
    <w:p w:rsidR="00383BB1" w:rsidRPr="00752474" w:rsidRDefault="00383BB1" w:rsidP="00383BB1">
      <w:pPr>
        <w:pStyle w:val="Normal12Hanging"/>
      </w:pPr>
      <w:r w:rsidRPr="00752474">
        <w:t>15.</w:t>
      </w:r>
      <w:r w:rsidRPr="00752474">
        <w:tab/>
        <w:t>przypomina, że obecne ramy prawne dotyczące usług telekomunikacyjnych upoważniają państwa członkowskie do zapewnienia, aby operatorzy sieci telekomunikacyjnych przestrzegali wymogu integralności i dostępności publicznych sieci łączności elektronicznej oraz aby szyfrowanie, zwłaszcza pełne szyfrowanie, było jednym ze sposobów wyeliminowania niektórych problemów związanych z bezpieczeństwem; podkreśla, że zgodnie z Europejskim kodeksem łączności elektronicznej państwom członkowskim przysługują wszelkie niezbędne uprawnienia do badania i stosowania szerokiego wachlarza środków dochodzenia roszczeń w przypadku niezgodności produktów oferowanych na rynku UE;</w:t>
      </w:r>
    </w:p>
    <w:p w:rsidR="00383BB1" w:rsidRPr="00752474" w:rsidRDefault="00383BB1" w:rsidP="00383BB1">
      <w:pPr>
        <w:pStyle w:val="Normal12Hanging"/>
      </w:pPr>
      <w:r w:rsidRPr="00752474">
        <w:t>16.</w:t>
      </w:r>
      <w:r w:rsidRPr="00752474">
        <w:tab/>
        <w:t>wzywa Komisję i państwa członkowskie, aby uczyniły bezpieczeństwo aspektem obowiązkowym wszystkich procedur zamówień publicznych dotyczących odpowiedniej infrastruktury zarówno na szczeblu UE, jak i na szczeblu krajowym, w tym – w stosownych przypadkach – przy wykorzystaniu europejskich norm i wymagań technicznych mających na celu zwiększenie odporności i wyeliminowanie zagrożeń dla bezpieczeństwa;</w:t>
      </w:r>
    </w:p>
    <w:p w:rsidR="00383BB1" w:rsidRPr="00752474" w:rsidRDefault="00383BB1" w:rsidP="00383BB1">
      <w:pPr>
        <w:pStyle w:val="Normal12Hanging"/>
      </w:pPr>
      <w:r w:rsidRPr="00752474">
        <w:t>17.</w:t>
      </w:r>
      <w:r w:rsidRPr="00752474">
        <w:tab/>
        <w:t>oczekuje od krajowych organów ochrony danych i Europejskiego Inspektora Ochrony Danych przeprowadzenia dogłębnej analizy przesłanek wskazujących na naruszenie ochrony danych przez zewnętrznych sprzedawców oraz do nałożenia odpowiednich kar i sankcji zgodnie z europejskim prawem w dziedzinie ochrony danych;</w:t>
      </w:r>
    </w:p>
    <w:p w:rsidR="00383BB1" w:rsidRPr="00752474" w:rsidRDefault="00383BB1" w:rsidP="00383BB1">
      <w:pPr>
        <w:pStyle w:val="Normal12Hanging"/>
        <w:rPr>
          <w:rFonts w:eastAsia="Calibri"/>
        </w:rPr>
      </w:pPr>
      <w:r w:rsidRPr="00752474">
        <w:t>18.</w:t>
      </w:r>
      <w:r w:rsidRPr="00752474">
        <w:tab/>
        <w:t>ponownie podkreśla, że UE musi wspierać cyberbezpieczeństwo w całym łańcuchu wartości, od badań naukowych po wdrażanie i zastosowanie kluczowych technologii, rozpowszechniać istotne informacje oraz wspierać programy kształcenia w dziedzinie cyberbezpieczeństwa; uważa m.in., że program „Cyfrowa Europa” będzie skutecznym narzędziem w tym zakresie;</w:t>
      </w:r>
    </w:p>
    <w:p w:rsidR="00383BB1" w:rsidRPr="00752474" w:rsidRDefault="00383BB1" w:rsidP="00383BB1">
      <w:pPr>
        <w:pStyle w:val="Normal12Hanging"/>
      </w:pPr>
      <w:r w:rsidRPr="00752474">
        <w:t>19.</w:t>
      </w:r>
      <w:r w:rsidRPr="00752474">
        <w:tab/>
        <w:t>wzywa Komisję i państwa członkowskie do podjęcia niezbędnych działań w celu stworzenia środowiska sprzyjającego innowacyjności w UE, które powinno być dostępne dla wszystkich przedsiębiorstw w ramach cyfrowej gospodarki UE, w tym małych i średnich przedsiębiorstw (MŚP), a także powinno umożliwiać europejskim sprzedawcom opracowywanie nowych produktów, usług i technologii, pozwalając im na odzyskanie udziału w rynku utraconego na rzecz konkurentów z państw trzecich;</w:t>
      </w:r>
    </w:p>
    <w:p w:rsidR="00383BB1" w:rsidRPr="00752474" w:rsidRDefault="00383BB1" w:rsidP="00383BB1">
      <w:pPr>
        <w:pStyle w:val="Normal12Hanging"/>
      </w:pPr>
      <w:r w:rsidRPr="00752474">
        <w:t>20.</w:t>
      </w:r>
      <w:r w:rsidRPr="00752474">
        <w:tab/>
        <w:t>wzywa Komisję do dokonania oceny nadzoru i kontroli rynku pod względem cyberbezpieczeństwa oraz do przedstawienia środków zapewniających skuteczne wyeliminowanie zagrożeń w tej dziedzinie; przypomina, że unijne podmioty z branży, zwłaszcza MŚP, są narażone na nieuczciwą konkurencję ze strony przedsiębiorstw finansowanych przez państwo, strategiczne przejęcia i nieuprawniony dostęp do posiadanych danych; stwierdza, że te podmioty z branży powinny być zaangażowane w opracowanie możliwych środków ustawodawczych;</w:t>
      </w:r>
    </w:p>
    <w:p w:rsidR="00383BB1" w:rsidRPr="00752474" w:rsidRDefault="00383BB1" w:rsidP="00383BB1">
      <w:pPr>
        <w:pStyle w:val="Normal12Hanging"/>
      </w:pPr>
      <w:r w:rsidRPr="00752474">
        <w:t>21.</w:t>
      </w:r>
      <w:r w:rsidRPr="00752474">
        <w:tab/>
        <w:t>wzywa Komisję do włączenia wymogów bezpieczeństwa systemów informatycznych do przeglądu nowych ram prawnych dotyczących bezpieczeństwa produktów;</w:t>
      </w:r>
    </w:p>
    <w:p w:rsidR="00383BB1" w:rsidRPr="00752474" w:rsidRDefault="00383BB1" w:rsidP="00383BB1">
      <w:pPr>
        <w:pStyle w:val="Normal12Hanging"/>
      </w:pPr>
      <w:r w:rsidRPr="00752474">
        <w:t>22.</w:t>
      </w:r>
      <w:r w:rsidRPr="00752474">
        <w:tab/>
        <w:t>wzywa Radę do przyspieszenia prac nad wnioskiem dotyczącym rozporządzenia w sprawie prywatności w sieci oraz do uwzględnienia obowiązkowego pełnego szyfrowania i zakazu stosowania zlecanych przez rządy luk w zabezpieczeniach zgodnie z wnioskiem Parlamentu przedstawionym w stanowisku przyjętym w pierwszym czytaniu;</w:t>
      </w:r>
    </w:p>
    <w:p w:rsidR="0020783D" w:rsidRPr="00752474" w:rsidRDefault="00383BB1" w:rsidP="00383BB1">
      <w:pPr>
        <w:pStyle w:val="Normal12Hanging"/>
      </w:pPr>
      <w:r w:rsidRPr="00752474">
        <w:t>23.</w:t>
      </w:r>
      <w:r w:rsidRPr="00752474">
        <w:tab/>
        <w:t>wzywa Radę Europejską, aby rozważyła podjęcie działań zgodnie z zaleceniami wskazanymi w niniejszej rezolucji podczas kolejnego posiedzenia w dniu 21 marca 2019 r.;</w:t>
      </w:r>
    </w:p>
    <w:p w:rsidR="00383BB1" w:rsidRPr="00752474" w:rsidRDefault="00383BB1" w:rsidP="00383BB1">
      <w:pPr>
        <w:pStyle w:val="Normal12Hanging"/>
      </w:pPr>
      <w:r w:rsidRPr="00752474">
        <w:t>24.</w:t>
      </w:r>
      <w:r w:rsidRPr="00752474">
        <w:tab/>
        <w:t>zobowiązuje swojego przewodniczącego do przekazania niniejszej rezolucji Radzie i Komisji.</w:t>
      </w:r>
    </w:p>
    <w:p w:rsidR="00814BC6" w:rsidRPr="00752474" w:rsidRDefault="00814BC6" w:rsidP="00383BB1">
      <w:pPr>
        <w:pStyle w:val="Normal12Hanging"/>
      </w:pPr>
    </w:p>
    <w:sectPr w:rsidR="00814BC6" w:rsidRPr="00752474" w:rsidSect="0075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DA" w:rsidRPr="00752474" w:rsidRDefault="004772DA">
      <w:r w:rsidRPr="00752474">
        <w:separator/>
      </w:r>
    </w:p>
  </w:endnote>
  <w:endnote w:type="continuationSeparator" w:id="0">
    <w:p w:rsidR="004772DA" w:rsidRPr="00752474" w:rsidRDefault="004772DA">
      <w:r w:rsidRPr="00752474">
        <w:continuationSeparator/>
      </w:r>
    </w:p>
  </w:endnote>
  <w:endnote w:type="continuationNotice" w:id="1">
    <w:p w:rsidR="0020783D" w:rsidRPr="00752474" w:rsidRDefault="00207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74" w:rsidRPr="00752474" w:rsidRDefault="00752474" w:rsidP="00752474">
    <w:pPr>
      <w:pStyle w:val="Footer"/>
    </w:pPr>
    <w:r w:rsidRPr="00752474">
      <w:t>PE</w:t>
    </w:r>
    <w:r w:rsidRPr="00752474">
      <w:rPr>
        <w:rStyle w:val="HideTWBExt"/>
        <w:noProof w:val="0"/>
      </w:rPr>
      <w:t>&lt;NoPE&gt;</w:t>
    </w:r>
    <w:r w:rsidRPr="00752474">
      <w:t>635.415</w:t>
    </w:r>
    <w:r w:rsidRPr="00752474">
      <w:rPr>
        <w:rStyle w:val="HideTWBExt"/>
        <w:noProof w:val="0"/>
      </w:rPr>
      <w:t>&lt;/NoPE&gt;&lt;Version&gt;</w:t>
    </w:r>
    <w:r w:rsidRPr="00752474">
      <w:t>v01-00</w:t>
    </w:r>
    <w:r w:rsidRPr="00752474">
      <w:rPr>
        <w:rStyle w:val="HideTWBExt"/>
        <w:noProof w:val="0"/>
      </w:rPr>
      <w:t>&lt;/Version&gt;</w:t>
    </w:r>
    <w:r w:rsidRPr="00752474">
      <w:tab/>
    </w:r>
    <w:r w:rsidRPr="00752474">
      <w:fldChar w:fldCharType="begin"/>
    </w:r>
    <w:r w:rsidRPr="00752474">
      <w:instrText xml:space="preserve"> PAGE  \* MERGEFORMAT </w:instrText>
    </w:r>
    <w:r w:rsidRPr="00752474">
      <w:fldChar w:fldCharType="separate"/>
    </w:r>
    <w:r w:rsidR="00335692">
      <w:rPr>
        <w:noProof/>
      </w:rPr>
      <w:t>2</w:t>
    </w:r>
    <w:r w:rsidRPr="00752474">
      <w:fldChar w:fldCharType="end"/>
    </w:r>
    <w:r w:rsidRPr="00752474">
      <w:t>/</w:t>
    </w:r>
    <w:fldSimple w:instr=" NUMPAGES  \* MERGEFORMAT ">
      <w:r w:rsidR="00335692">
        <w:rPr>
          <w:noProof/>
        </w:rPr>
        <w:t>8</w:t>
      </w:r>
    </w:fldSimple>
    <w:r w:rsidRPr="00752474">
      <w:tab/>
    </w:r>
    <w:r w:rsidRPr="00752474">
      <w:rPr>
        <w:rStyle w:val="HideTWBExt"/>
        <w:noProof w:val="0"/>
      </w:rPr>
      <w:t>&lt;PathFdR&gt;</w:t>
    </w:r>
    <w:r w:rsidRPr="00752474">
      <w:t>RE\1178933PL.docx</w:t>
    </w:r>
    <w:r w:rsidRPr="00752474">
      <w:rPr>
        <w:rStyle w:val="HideTWBExt"/>
        <w:noProof w:val="0"/>
      </w:rPr>
      <w:t>&lt;/PathFdR&gt;</w:t>
    </w:r>
  </w:p>
  <w:p w:rsidR="00A90219" w:rsidRPr="00752474" w:rsidRDefault="00752474" w:rsidP="00752474">
    <w:pPr>
      <w:pStyle w:val="Footer2"/>
    </w:pPr>
    <w:r w:rsidRPr="00752474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74" w:rsidRPr="00752474" w:rsidRDefault="00752474" w:rsidP="00752474">
    <w:pPr>
      <w:pStyle w:val="Footer"/>
    </w:pPr>
    <w:r w:rsidRPr="00752474">
      <w:rPr>
        <w:rStyle w:val="HideTWBExt"/>
        <w:noProof w:val="0"/>
      </w:rPr>
      <w:t>&lt;PathFdR&gt;</w:t>
    </w:r>
    <w:r w:rsidRPr="00752474">
      <w:t>RE\1178933PL.docx</w:t>
    </w:r>
    <w:r w:rsidRPr="00752474">
      <w:rPr>
        <w:rStyle w:val="HideTWBExt"/>
        <w:noProof w:val="0"/>
      </w:rPr>
      <w:t>&lt;/PathFdR&gt;</w:t>
    </w:r>
    <w:r w:rsidRPr="00752474">
      <w:tab/>
    </w:r>
    <w:r w:rsidRPr="00752474">
      <w:fldChar w:fldCharType="begin"/>
    </w:r>
    <w:r w:rsidRPr="00752474">
      <w:instrText xml:space="preserve"> PAGE  \* MERGEFORMAT </w:instrText>
    </w:r>
    <w:r w:rsidRPr="00752474">
      <w:fldChar w:fldCharType="separate"/>
    </w:r>
    <w:r w:rsidR="00335692">
      <w:rPr>
        <w:noProof/>
      </w:rPr>
      <w:t>8</w:t>
    </w:r>
    <w:r w:rsidRPr="00752474">
      <w:fldChar w:fldCharType="end"/>
    </w:r>
    <w:r w:rsidRPr="00752474">
      <w:t>/</w:t>
    </w:r>
    <w:fldSimple w:instr=" NUMPAGES  \* MERGEFORMAT ">
      <w:r w:rsidR="00335692">
        <w:rPr>
          <w:noProof/>
        </w:rPr>
        <w:t>8</w:t>
      </w:r>
    </w:fldSimple>
    <w:r w:rsidRPr="00752474">
      <w:tab/>
      <w:t>PE</w:t>
    </w:r>
    <w:r w:rsidRPr="00752474">
      <w:rPr>
        <w:rStyle w:val="HideTWBExt"/>
        <w:noProof w:val="0"/>
      </w:rPr>
      <w:t>&lt;NoPE&gt;</w:t>
    </w:r>
    <w:r w:rsidRPr="00752474">
      <w:t>635.415</w:t>
    </w:r>
    <w:r w:rsidRPr="00752474">
      <w:rPr>
        <w:rStyle w:val="HideTWBExt"/>
        <w:noProof w:val="0"/>
      </w:rPr>
      <w:t>&lt;/NoPE&gt;&lt;Version&gt;</w:t>
    </w:r>
    <w:r w:rsidRPr="00752474">
      <w:t>v01-00</w:t>
    </w:r>
    <w:r w:rsidRPr="00752474">
      <w:rPr>
        <w:rStyle w:val="HideTWBExt"/>
        <w:noProof w:val="0"/>
      </w:rPr>
      <w:t>&lt;/Version&gt;</w:t>
    </w:r>
  </w:p>
  <w:p w:rsidR="00A90219" w:rsidRPr="00752474" w:rsidRDefault="00752474" w:rsidP="00752474">
    <w:pPr>
      <w:pStyle w:val="Footer2"/>
    </w:pPr>
    <w:r w:rsidRPr="00752474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74" w:rsidRPr="00752474" w:rsidRDefault="00752474" w:rsidP="00752474">
    <w:pPr>
      <w:pStyle w:val="Footer"/>
    </w:pPr>
    <w:r w:rsidRPr="00752474">
      <w:rPr>
        <w:rStyle w:val="HideTWBExt"/>
        <w:noProof w:val="0"/>
      </w:rPr>
      <w:t>&lt;PathFdR&gt;</w:t>
    </w:r>
    <w:r w:rsidRPr="00752474">
      <w:t>RE\1178933PL.docx</w:t>
    </w:r>
    <w:r w:rsidRPr="00752474">
      <w:rPr>
        <w:rStyle w:val="HideTWBExt"/>
        <w:noProof w:val="0"/>
      </w:rPr>
      <w:t>&lt;/PathFdR&gt;</w:t>
    </w:r>
    <w:r w:rsidRPr="00752474">
      <w:tab/>
    </w:r>
    <w:r w:rsidRPr="00752474">
      <w:tab/>
      <w:t>PE</w:t>
    </w:r>
    <w:r w:rsidRPr="00752474">
      <w:rPr>
        <w:rStyle w:val="HideTWBExt"/>
        <w:noProof w:val="0"/>
      </w:rPr>
      <w:t>&lt;NoPE&gt;</w:t>
    </w:r>
    <w:r w:rsidRPr="00752474">
      <w:t>635.415</w:t>
    </w:r>
    <w:r w:rsidRPr="00752474">
      <w:rPr>
        <w:rStyle w:val="HideTWBExt"/>
        <w:noProof w:val="0"/>
      </w:rPr>
      <w:t>&lt;/NoPE&gt;&lt;Version&gt;</w:t>
    </w:r>
    <w:r w:rsidRPr="00752474">
      <w:t>v01-00</w:t>
    </w:r>
    <w:r w:rsidRPr="00752474">
      <w:rPr>
        <w:rStyle w:val="HideTWBExt"/>
        <w:noProof w:val="0"/>
      </w:rPr>
      <w:t>&lt;/Version&gt;</w:t>
    </w:r>
  </w:p>
  <w:p w:rsidR="00A90219" w:rsidRPr="00752474" w:rsidRDefault="00752474" w:rsidP="00752474">
    <w:pPr>
      <w:pStyle w:val="Footer2"/>
      <w:tabs>
        <w:tab w:val="center" w:pos="4535"/>
        <w:tab w:val="right" w:pos="9921"/>
      </w:tabs>
    </w:pPr>
    <w:r w:rsidRPr="00752474">
      <w:t>PL</w:t>
    </w:r>
    <w:r w:rsidRPr="00752474">
      <w:tab/>
    </w:r>
    <w:r w:rsidRPr="00752474">
      <w:rPr>
        <w:b w:val="0"/>
        <w:i/>
        <w:color w:val="C0C0C0"/>
        <w:sz w:val="22"/>
      </w:rPr>
      <w:t>Zjednoczona w różnorodności</w:t>
    </w:r>
    <w:r w:rsidRPr="00752474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DA" w:rsidRPr="00752474" w:rsidRDefault="004772DA">
      <w:r w:rsidRPr="00752474">
        <w:separator/>
      </w:r>
    </w:p>
  </w:footnote>
  <w:footnote w:type="continuationSeparator" w:id="0">
    <w:p w:rsidR="004772DA" w:rsidRPr="00752474" w:rsidRDefault="004772DA">
      <w:r w:rsidRPr="00752474">
        <w:continuationSeparator/>
      </w:r>
    </w:p>
  </w:footnote>
  <w:footnote w:type="continuationNotice" w:id="1">
    <w:p w:rsidR="0020783D" w:rsidRPr="00752474" w:rsidRDefault="0020783D"/>
  </w:footnote>
  <w:footnote w:id="2">
    <w:p w:rsidR="00383BB1" w:rsidRPr="00752474" w:rsidRDefault="00383BB1" w:rsidP="00383BB1">
      <w:pPr>
        <w:pStyle w:val="FootnoteText"/>
      </w:pPr>
      <w:r w:rsidRPr="00752474">
        <w:rPr>
          <w:rStyle w:val="FootnoteReference"/>
        </w:rPr>
        <w:footnoteRef/>
      </w:r>
      <w:r w:rsidRPr="00752474">
        <w:rPr>
          <w:rStyle w:val="FootnoteReference"/>
        </w:rPr>
        <w:t xml:space="preserve"> </w:t>
      </w:r>
      <w:r w:rsidRPr="00752474">
        <w:t>Dz.U. L 321 z 17.12.2018, s. 36.</w:t>
      </w:r>
    </w:p>
  </w:footnote>
  <w:footnote w:id="3">
    <w:p w:rsidR="00383BB1" w:rsidRPr="00752474" w:rsidRDefault="00383BB1" w:rsidP="00383BB1">
      <w:pPr>
        <w:pStyle w:val="FootnoteText"/>
      </w:pPr>
      <w:r w:rsidRPr="00752474">
        <w:rPr>
          <w:rStyle w:val="FootnoteReference"/>
        </w:rPr>
        <w:footnoteRef/>
      </w:r>
      <w:r w:rsidRPr="00752474">
        <w:rPr>
          <w:rStyle w:val="FootnoteReference"/>
        </w:rPr>
        <w:t xml:space="preserve"> </w:t>
      </w:r>
      <w:r w:rsidRPr="00752474">
        <w:t>Dz.U. L 194 z 19.7.2016, s. 1.</w:t>
      </w:r>
    </w:p>
  </w:footnote>
  <w:footnote w:id="4">
    <w:p w:rsidR="0020783D" w:rsidRPr="00752474" w:rsidRDefault="0020783D">
      <w:pPr>
        <w:pStyle w:val="FootnoteText"/>
      </w:pPr>
      <w:r w:rsidRPr="00752474">
        <w:rPr>
          <w:rStyle w:val="FootnoteReference"/>
        </w:rPr>
        <w:footnoteRef/>
      </w:r>
      <w:r w:rsidRPr="00752474">
        <w:t xml:space="preserve"> Dz.U. L 218 z 14.8.2013, s. 8.</w:t>
      </w:r>
    </w:p>
  </w:footnote>
  <w:footnote w:id="5">
    <w:p w:rsidR="00383BB1" w:rsidRPr="00752474" w:rsidRDefault="00383BB1" w:rsidP="00383BB1">
      <w:pPr>
        <w:pStyle w:val="FootnoteText"/>
      </w:pPr>
      <w:r w:rsidRPr="00752474">
        <w:rPr>
          <w:rStyle w:val="FootnoteReference"/>
        </w:rPr>
        <w:footnoteRef/>
      </w:r>
      <w:r w:rsidRPr="00752474">
        <w:rPr>
          <w:rStyle w:val="FootnoteReference"/>
        </w:rPr>
        <w:t xml:space="preserve"> </w:t>
      </w:r>
      <w:r w:rsidRPr="00752474">
        <w:t>Teksty przyjęte, P8_TA(2019)0121.</w:t>
      </w:r>
    </w:p>
  </w:footnote>
  <w:footnote w:id="6">
    <w:p w:rsidR="0020783D" w:rsidRPr="00752474" w:rsidRDefault="0020783D">
      <w:pPr>
        <w:pStyle w:val="FootnoteText"/>
      </w:pPr>
      <w:r w:rsidRPr="00752474">
        <w:rPr>
          <w:rStyle w:val="FootnoteReference"/>
        </w:rPr>
        <w:footnoteRef/>
      </w:r>
      <w:r w:rsidRPr="00752474">
        <w:t xml:space="preserve"> Teksty przyjęte, P8_TA(2018)0343.</w:t>
      </w:r>
    </w:p>
  </w:footnote>
  <w:footnote w:id="7">
    <w:p w:rsidR="0020783D" w:rsidRPr="00752474" w:rsidRDefault="0020783D">
      <w:pPr>
        <w:pStyle w:val="FootnoteText"/>
      </w:pPr>
      <w:r w:rsidRPr="00752474">
        <w:rPr>
          <w:rStyle w:val="FootnoteReference"/>
        </w:rPr>
        <w:footnoteRef/>
      </w:r>
      <w:r w:rsidRPr="00752474">
        <w:t xml:space="preserve"> Dz.U. C 307 z 30.8.2018, s. 144.</w:t>
      </w:r>
    </w:p>
  </w:footnote>
  <w:footnote w:id="8">
    <w:p w:rsidR="0020783D" w:rsidRPr="00752474" w:rsidRDefault="0020783D">
      <w:pPr>
        <w:pStyle w:val="FootnoteText"/>
      </w:pPr>
      <w:r w:rsidRPr="00752474">
        <w:rPr>
          <w:rStyle w:val="FootnoteReference"/>
        </w:rPr>
        <w:footnoteRef/>
      </w:r>
      <w:r w:rsidRPr="00752474">
        <w:t xml:space="preserve"> Dz.U. L 119 z 4.5.2016, s. 1.</w:t>
      </w:r>
    </w:p>
  </w:footnote>
  <w:footnote w:id="9">
    <w:p w:rsidR="0020783D" w:rsidRPr="00752474" w:rsidRDefault="0020783D">
      <w:pPr>
        <w:pStyle w:val="FootnoteText"/>
      </w:pPr>
      <w:r w:rsidRPr="00752474">
        <w:rPr>
          <w:rStyle w:val="FootnoteReference"/>
        </w:rPr>
        <w:footnoteRef/>
      </w:r>
      <w:r w:rsidRPr="00752474">
        <w:t xml:space="preserve"> Dz.U. L 348 z 20.12.2013, s. 129.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92" w:rsidRDefault="00335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92" w:rsidRDefault="00335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92" w:rsidRDefault="00335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C479D0"/>
    <w:multiLevelType w:val="hybridMultilevel"/>
    <w:tmpl w:val="4820462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13D8D"/>
    <w:multiLevelType w:val="hybridMultilevel"/>
    <w:tmpl w:val="F8C8B192"/>
    <w:lvl w:ilvl="0" w:tplc="C05C2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0DEA"/>
    <w:multiLevelType w:val="hybridMultilevel"/>
    <w:tmpl w:val="FD0A32E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78"/>
    <w:docVar w:name="TXTLANGUE" w:val="EN"/>
    <w:docVar w:name="TXTLANGUEMIN" w:val="en"/>
    <w:docVar w:name="TXTNRB" w:val="0160/2019"/>
    <w:docVar w:name="TXTNRPE" w:val="635.415"/>
    <w:docVar w:name="TXTNRRSP" w:val="2019/2575"/>
    <w:docVar w:name="TXTPEorAP" w:val="PE"/>
    <w:docVar w:name="TXTROUTE" w:val="RE\1178933EN.docx"/>
    <w:docVar w:name="TXTTITLE" w:val="security threats connected with the rising Chinese technological presence in the EU and possible action on the EU level to reduce them"/>
    <w:docVar w:name="TXTVERSION" w:val="01-00"/>
  </w:docVars>
  <w:rsids>
    <w:rsidRoot w:val="004772DA"/>
    <w:rsid w:val="00037F46"/>
    <w:rsid w:val="00094DDA"/>
    <w:rsid w:val="000C6D57"/>
    <w:rsid w:val="00182247"/>
    <w:rsid w:val="001B49A3"/>
    <w:rsid w:val="001C62C5"/>
    <w:rsid w:val="0020783D"/>
    <w:rsid w:val="002574AA"/>
    <w:rsid w:val="002C487E"/>
    <w:rsid w:val="002C7767"/>
    <w:rsid w:val="00303413"/>
    <w:rsid w:val="00335692"/>
    <w:rsid w:val="003772FA"/>
    <w:rsid w:val="00383BB1"/>
    <w:rsid w:val="003D379D"/>
    <w:rsid w:val="00443A48"/>
    <w:rsid w:val="004772DA"/>
    <w:rsid w:val="0058312A"/>
    <w:rsid w:val="006A7329"/>
    <w:rsid w:val="00706BC0"/>
    <w:rsid w:val="00723A0B"/>
    <w:rsid w:val="00752474"/>
    <w:rsid w:val="00780A7D"/>
    <w:rsid w:val="00814BC6"/>
    <w:rsid w:val="00841B36"/>
    <w:rsid w:val="008A4052"/>
    <w:rsid w:val="00907285"/>
    <w:rsid w:val="00982F67"/>
    <w:rsid w:val="00A90219"/>
    <w:rsid w:val="00AE5198"/>
    <w:rsid w:val="00B34A46"/>
    <w:rsid w:val="00C23264"/>
    <w:rsid w:val="00CC09D8"/>
    <w:rsid w:val="00D12F64"/>
    <w:rsid w:val="00D90A1B"/>
    <w:rsid w:val="00D90D37"/>
    <w:rsid w:val="00D975F1"/>
    <w:rsid w:val="00E53167"/>
    <w:rsid w:val="00E72520"/>
    <w:rsid w:val="00F11DA6"/>
    <w:rsid w:val="00F26DE8"/>
    <w:rsid w:val="00F4455A"/>
    <w:rsid w:val="00F525A4"/>
    <w:rsid w:val="00F52650"/>
    <w:rsid w:val="00F959BA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83E9D2-C737-47F8-80AC-A79C514E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FootnoteText">
    <w:name w:val="footnote text"/>
    <w:basedOn w:val="Normal"/>
    <w:link w:val="FootnoteTextChar"/>
    <w:rsid w:val="00383BB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3BB1"/>
  </w:style>
  <w:style w:type="character" w:styleId="FootnoteReference">
    <w:name w:val="footnote reference"/>
    <w:rsid w:val="00383B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3B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7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7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16314</Characters>
  <Application>Microsoft Office Word</Application>
  <DocSecurity>0</DocSecurity>
  <Lines>281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DE WILDE Alice</dc:creator>
  <cp:keywords/>
  <dc:description/>
  <cp:lastModifiedBy>DREYFUS-PIETRANIK Joanna</cp:lastModifiedBy>
  <cp:revision>2</cp:revision>
  <cp:lastPrinted>2019-03-07T11:22:00Z</cp:lastPrinted>
  <dcterms:created xsi:type="dcterms:W3CDTF">2019-03-08T15:17:00Z</dcterms:created>
  <dcterms:modified xsi:type="dcterms:W3CDTF">2019-03-08T15:17:00Z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1178933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\\eiciLUXpr1\pdocep$\DocEP\DOCS\General\RE\RE_Statements.dot(06/02/2019 07:45:09)</vt:lpwstr>
  </property>
  <property fmtid="{D5CDD505-2E9C-101B-9397-08002B2CF9AE}" pid="7" name="&lt;ModelTra&gt;">
    <vt:lpwstr>\\eiciLUXpr1\pdocep$\DocEP\TRANSFIL\EN\RE_Statements.EN(05/11/2018 12:05:05)</vt:lpwstr>
  </property>
  <property fmtid="{D5CDD505-2E9C-101B-9397-08002B2CF9AE}" pid="8" name="&lt;Model&gt;">
    <vt:lpwstr>RE_Statements</vt:lpwstr>
  </property>
  <property fmtid="{D5CDD505-2E9C-101B-9397-08002B2CF9AE}" pid="9" name="FooterPath">
    <vt:lpwstr>RE\1178933PL.docx</vt:lpwstr>
  </property>
  <property fmtid="{D5CDD505-2E9C-101B-9397-08002B2CF9AE}" pid="10" name="PE number">
    <vt:lpwstr>635.415</vt:lpwstr>
  </property>
  <property fmtid="{D5CDD505-2E9C-101B-9397-08002B2CF9AE}" pid="11" name="Bookout">
    <vt:lpwstr>OK - 2019/03/08 16:17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