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987D78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987D78" w:rsidRDefault="00755531" w:rsidP="004E5768">
            <w:pPr>
              <w:pStyle w:val="EPName"/>
            </w:pPr>
            <w:bookmarkStart w:id="0" w:name="_GoBack"/>
            <w:bookmarkEnd w:id="0"/>
            <w:r w:rsidRPr="00987D78">
              <w:t>Parlamento Europeo</w:t>
            </w:r>
          </w:p>
          <w:p w:rsidR="001059C3" w:rsidRPr="00987D78" w:rsidRDefault="00636FD3" w:rsidP="00636FD3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87D78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987D78" w:rsidRDefault="00987D78" w:rsidP="004E5768">
            <w:pPr>
              <w:pStyle w:val="EPLogo"/>
            </w:pPr>
            <w:r w:rsidRPr="00987D7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987D78" w:rsidRDefault="001F70F5" w:rsidP="001F70F5">
      <w:pPr>
        <w:pStyle w:val="LineTop"/>
      </w:pPr>
    </w:p>
    <w:p w:rsidR="001F70F5" w:rsidRPr="00987D78" w:rsidRDefault="00755531" w:rsidP="001F70F5">
      <w:pPr>
        <w:pStyle w:val="ZSessionDoc"/>
      </w:pPr>
      <w:r w:rsidRPr="00987D78">
        <w:t>Documento de sesión</w:t>
      </w:r>
    </w:p>
    <w:p w:rsidR="00744C9F" w:rsidRPr="00987D78" w:rsidRDefault="00744C9F" w:rsidP="00744C9F">
      <w:pPr>
        <w:pStyle w:val="LineBottom"/>
      </w:pPr>
    </w:p>
    <w:p w:rsidR="00744C9F" w:rsidRPr="00987D78" w:rsidRDefault="00744C9F" w:rsidP="00744C9F">
      <w:pPr>
        <w:pStyle w:val="RefProc"/>
      </w:pPr>
      <w:r w:rsidRPr="00987D78">
        <w:rPr>
          <w:rStyle w:val="HideTWBExt"/>
          <w:b w:val="0"/>
          <w:noProof w:val="0"/>
        </w:rPr>
        <w:t>&lt;NoDocSe&gt;</w:t>
      </w:r>
      <w:r w:rsidRPr="00987D78">
        <w:t>B8</w:t>
      </w:r>
      <w:r w:rsidRPr="00987D78">
        <w:noBreakHyphen/>
        <w:t>0211/2019</w:t>
      </w:r>
      <w:r w:rsidRPr="00987D78">
        <w:rPr>
          <w:rStyle w:val="HideTWBExt"/>
          <w:b w:val="0"/>
          <w:noProof w:val="0"/>
        </w:rPr>
        <w:t>&lt;/NoDocSe&gt;</w:t>
      </w:r>
    </w:p>
    <w:p w:rsidR="00744C9F" w:rsidRPr="00987D78" w:rsidRDefault="00744C9F" w:rsidP="00744C9F">
      <w:pPr>
        <w:pStyle w:val="ZDate"/>
      </w:pPr>
      <w:r w:rsidRPr="00987D78">
        <w:rPr>
          <w:rStyle w:val="HideTWBExt"/>
          <w:noProof w:val="0"/>
        </w:rPr>
        <w:t>&lt;Date&gt;</w:t>
      </w:r>
      <w:r w:rsidRPr="00987D78">
        <w:rPr>
          <w:rStyle w:val="HideTWBInt"/>
        </w:rPr>
        <w:t>{12/03/2019}</w:t>
      </w:r>
      <w:r w:rsidRPr="00987D78">
        <w:t>12.3.2019</w:t>
      </w:r>
      <w:r w:rsidRPr="00987D78">
        <w:rPr>
          <w:rStyle w:val="HideTWBExt"/>
          <w:noProof w:val="0"/>
        </w:rPr>
        <w:t>&lt;/Date&gt;</w:t>
      </w:r>
    </w:p>
    <w:p w:rsidR="000412B1" w:rsidRPr="00987D78" w:rsidRDefault="000412B1">
      <w:pPr>
        <w:pStyle w:val="TypeDoc"/>
      </w:pPr>
      <w:r w:rsidRPr="00987D78">
        <w:rPr>
          <w:rStyle w:val="HideTWBExt"/>
          <w:b w:val="0"/>
          <w:noProof w:val="0"/>
        </w:rPr>
        <w:t>&lt;TitreType&gt;</w:t>
      </w:r>
      <w:r w:rsidRPr="00987D78">
        <w:t>PROPUESTA DE RESOLUCIÓN</w:t>
      </w:r>
      <w:r w:rsidRPr="00987D78">
        <w:rPr>
          <w:rStyle w:val="HideTWBExt"/>
          <w:b w:val="0"/>
          <w:noProof w:val="0"/>
        </w:rPr>
        <w:t>&lt;/TitreType&gt;</w:t>
      </w:r>
    </w:p>
    <w:p w:rsidR="000412B1" w:rsidRPr="00987D78" w:rsidRDefault="000412B1">
      <w:pPr>
        <w:pStyle w:val="Cover12"/>
      </w:pPr>
      <w:r w:rsidRPr="00987D78">
        <w:rPr>
          <w:rStyle w:val="HideTWBExt"/>
          <w:noProof w:val="0"/>
        </w:rPr>
        <w:t>&lt;TitreRecueil&gt;</w:t>
      </w:r>
      <w:r w:rsidRPr="00987D78">
        <w:t>presentada de conformidad con el artículo 133 del Reglamento interno</w:t>
      </w:r>
      <w:r w:rsidRPr="00987D78">
        <w:rPr>
          <w:rStyle w:val="HideTWBExt"/>
          <w:noProof w:val="0"/>
        </w:rPr>
        <w:t>&lt;/TitreRecueil&gt;</w:t>
      </w:r>
    </w:p>
    <w:p w:rsidR="000A6B85" w:rsidRPr="00987D78" w:rsidRDefault="000A6B85" w:rsidP="00A07592">
      <w:pPr>
        <w:pStyle w:val="Cover24"/>
      </w:pPr>
      <w:r w:rsidRPr="00987D78">
        <w:rPr>
          <w:rStyle w:val="HideTWBExt"/>
          <w:noProof w:val="0"/>
        </w:rPr>
        <w:t>&lt;Titre&gt;</w:t>
      </w:r>
      <w:r w:rsidRPr="00987D78">
        <w:t>sobre el apoyo de la Unión y de los Estados miembros en la 72.ª Asamblea Mundial de la Salud de la OMS a una resolución titulada «Mejora de la transparencia de los mercados de fármacos, vacunas y otras tecnologías relacionadas con la salud»</w:t>
      </w:r>
      <w:r w:rsidRPr="00987D78">
        <w:rPr>
          <w:rStyle w:val="HideTWBExt"/>
          <w:noProof w:val="0"/>
        </w:rPr>
        <w:t>&lt;/Titre&gt;</w:t>
      </w:r>
    </w:p>
    <w:p w:rsidR="000412B1" w:rsidRPr="00987D78" w:rsidRDefault="000412B1" w:rsidP="00491B75">
      <w:pPr>
        <w:pStyle w:val="CoverBold"/>
      </w:pPr>
      <w:r w:rsidRPr="00987D78">
        <w:rPr>
          <w:rStyle w:val="HideTWBExt"/>
          <w:b w:val="0"/>
          <w:noProof w:val="0"/>
        </w:rPr>
        <w:t>&lt;Depute&gt;</w:t>
      </w:r>
      <w:r w:rsidRPr="00987D78">
        <w:t>Piernicola Pedicini</w:t>
      </w:r>
      <w:r w:rsidRPr="00987D78">
        <w:rPr>
          <w:rStyle w:val="HideTWBExt"/>
          <w:b w:val="0"/>
          <w:noProof w:val="0"/>
          <w:color w:val="auto"/>
        </w:rPr>
        <w:t>&lt;/Depute&gt;</w:t>
      </w:r>
    </w:p>
    <w:p w:rsidR="000412B1" w:rsidRPr="00987D78" w:rsidRDefault="000412B1">
      <w:pPr>
        <w:pStyle w:val="Normal12Bold"/>
      </w:pPr>
      <w:r w:rsidRPr="00987D78">
        <w:br w:type="page"/>
      </w:r>
      <w:r w:rsidRPr="00987D78">
        <w:lastRenderedPageBreak/>
        <w:t>B8</w:t>
      </w:r>
      <w:r w:rsidRPr="00987D78">
        <w:noBreakHyphen/>
        <w:t>0211/2019</w:t>
      </w:r>
    </w:p>
    <w:p w:rsidR="000A6B85" w:rsidRPr="00987D78" w:rsidRDefault="00755531" w:rsidP="00975A15">
      <w:pPr>
        <w:pStyle w:val="Normal24Bold"/>
      </w:pPr>
      <w:r w:rsidRPr="00987D78">
        <w:t>Propuesta de resolución del Parlamento Europeo sobre el apoyo de la Unión y de los Estados miembros en la 72.ª Asamblea Mundial de la Salud de la OMS a una resolución titulada «Mejora de la transparencia de los mercados de fármacos, vacunas y otras tecnologías relacionadas con la salud»</w:t>
      </w:r>
    </w:p>
    <w:p w:rsidR="000412B1" w:rsidRPr="00987D78" w:rsidRDefault="00755531">
      <w:pPr>
        <w:pStyle w:val="Normal12"/>
      </w:pPr>
      <w:r w:rsidRPr="00987D78">
        <w:rPr>
          <w:i/>
        </w:rPr>
        <w:t>El Parlamento Europeo</w:t>
      </w:r>
      <w:r w:rsidRPr="00987D78">
        <w:t>,</w:t>
      </w:r>
    </w:p>
    <w:p w:rsidR="00636FD3" w:rsidRPr="00987D78" w:rsidRDefault="000412B1" w:rsidP="00636FD3">
      <w:pPr>
        <w:pStyle w:val="Normal12Hanging"/>
      </w:pPr>
      <w:r w:rsidRPr="00987D78">
        <w:t>–</w:t>
      </w:r>
      <w:r w:rsidRPr="00987D78">
        <w:tab/>
        <w:t>Visto el artículo 133 de su Reglamento interno,</w:t>
      </w:r>
    </w:p>
    <w:p w:rsidR="00636FD3" w:rsidRPr="00987D78" w:rsidRDefault="00636FD3" w:rsidP="00636FD3">
      <w:pPr>
        <w:pStyle w:val="Normal12Hanging"/>
      </w:pPr>
      <w:r w:rsidRPr="00987D78">
        <w:t>A.</w:t>
      </w:r>
      <w:r w:rsidRPr="00987D78">
        <w:tab/>
        <w:t>Considerando que, en su Resolución, de 2 de marzo de 2017, sobre las opciones de la Unión para mejorar el acceso a los medicamentos</w:t>
      </w:r>
      <w:r w:rsidR="00BA63A9" w:rsidRPr="00987D78">
        <w:rPr>
          <w:rStyle w:val="FootnoteReference"/>
        </w:rPr>
        <w:footnoteReference w:id="1"/>
      </w:r>
      <w:r w:rsidRPr="00987D78">
        <w:t>, el Parlamento declara que garantizar el acceso del paciente a los medicamentos esenciales es uno de los objetivos fundamentales de la Unión y de la OMS;</w:t>
      </w:r>
    </w:p>
    <w:p w:rsidR="00636FD3" w:rsidRPr="00987D78" w:rsidRDefault="00636FD3" w:rsidP="00636FD3">
      <w:pPr>
        <w:pStyle w:val="Normal12Hanging"/>
      </w:pPr>
      <w:r w:rsidRPr="00987D78">
        <w:t>B.</w:t>
      </w:r>
      <w:r w:rsidRPr="00987D78">
        <w:tab/>
        <w:t>Considerando que el orden del día de la Asamblea Mundial de la Salud de la OMS que se va a celebrar en Ginebra del 20 al 28 de mayo de 2019 incluye, entre las cuestiones estratégicas prioritarias que se van a tratar, el punto 11.7 sobre la escasez mundial de medicamentos y vacunas y el acceso a ellos; que el gobierno italiano ha presentado una resolución global sobre este tema;</w:t>
      </w:r>
    </w:p>
    <w:p w:rsidR="00636FD3" w:rsidRPr="00987D78" w:rsidRDefault="00636FD3" w:rsidP="00636FD3">
      <w:pPr>
        <w:pStyle w:val="Normal12Hanging"/>
      </w:pPr>
      <w:r w:rsidRPr="00987D78">
        <w:t>C.</w:t>
      </w:r>
      <w:r w:rsidRPr="00987D78">
        <w:tab/>
        <w:t>Considerando que es sumamente importante abordar adecuadamente la escasez mundial de medicamentos y vacunas y el acceso a ellos;</w:t>
      </w:r>
    </w:p>
    <w:p w:rsidR="00636FD3" w:rsidRPr="00987D78" w:rsidRDefault="000412B1" w:rsidP="00636FD3">
      <w:pPr>
        <w:pStyle w:val="Normal12Hanging"/>
      </w:pPr>
      <w:r w:rsidRPr="00987D78">
        <w:t>1.</w:t>
      </w:r>
      <w:r w:rsidRPr="00987D78">
        <w:tab/>
        <w:t>Pide a la Unión y a todos los Estados miembros que, en la próxima 72.ª Asamblea Mundial de la Salud de la OMS, acuerden una posición común de apoyo a la resolución titulada «Mejora de la transparencia de los mercados de fármacos, vacunas y otras tecnologías relacionadas con la salud», que establece una serie de medidas diseñadas para alcanzar dicho objetivo.</w:t>
      </w:r>
    </w:p>
    <w:p w:rsidR="000412B1" w:rsidRPr="00987D78" w:rsidRDefault="000412B1" w:rsidP="00636FD3">
      <w:pPr>
        <w:pStyle w:val="Normal12Hanging"/>
      </w:pPr>
    </w:p>
    <w:sectPr w:rsidR="000412B1" w:rsidRPr="00987D78" w:rsidSect="00987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31" w:rsidRPr="00987D78" w:rsidRDefault="00755531">
      <w:r w:rsidRPr="00987D78">
        <w:separator/>
      </w:r>
    </w:p>
  </w:endnote>
  <w:endnote w:type="continuationSeparator" w:id="0">
    <w:p w:rsidR="00755531" w:rsidRPr="00987D78" w:rsidRDefault="00755531">
      <w:r w:rsidRPr="00987D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78" w:rsidRPr="00987D78" w:rsidRDefault="00987D78" w:rsidP="00987D78">
    <w:pPr>
      <w:pStyle w:val="Footer"/>
    </w:pPr>
    <w:r w:rsidRPr="00987D78">
      <w:t>PE</w:t>
    </w:r>
    <w:r w:rsidRPr="00987D78">
      <w:rPr>
        <w:rStyle w:val="HideTWBExt"/>
        <w:noProof w:val="0"/>
      </w:rPr>
      <w:t>&lt;NoPE&gt;</w:t>
    </w:r>
    <w:r w:rsidRPr="00987D78">
      <w:t>635.473</w:t>
    </w:r>
    <w:r w:rsidRPr="00987D78">
      <w:rPr>
        <w:rStyle w:val="HideTWBExt"/>
        <w:noProof w:val="0"/>
      </w:rPr>
      <w:t>&lt;/NoPE&gt;&lt;Version&gt;</w:t>
    </w:r>
    <w:r w:rsidRPr="00987D78">
      <w:t>v01-00</w:t>
    </w:r>
    <w:r w:rsidRPr="00987D78">
      <w:rPr>
        <w:rStyle w:val="HideTWBExt"/>
        <w:noProof w:val="0"/>
      </w:rPr>
      <w:t>&lt;/Version&gt;</w:t>
    </w:r>
    <w:r w:rsidRPr="00987D78">
      <w:tab/>
    </w:r>
    <w:r w:rsidRPr="00987D78">
      <w:fldChar w:fldCharType="begin"/>
    </w:r>
    <w:r w:rsidRPr="00987D78">
      <w:instrText xml:space="preserve"> PAGE  \* MERGEFORMAT </w:instrText>
    </w:r>
    <w:r w:rsidRPr="00987D78">
      <w:fldChar w:fldCharType="separate"/>
    </w:r>
    <w:r w:rsidR="00D84D95">
      <w:rPr>
        <w:noProof/>
      </w:rPr>
      <w:t>2</w:t>
    </w:r>
    <w:r w:rsidRPr="00987D78">
      <w:fldChar w:fldCharType="end"/>
    </w:r>
    <w:r w:rsidRPr="00987D78">
      <w:t>/</w:t>
    </w:r>
    <w:fldSimple w:instr=" NUMPAGES  \* MERGEFORMAT ">
      <w:r w:rsidR="00D84D95">
        <w:rPr>
          <w:noProof/>
        </w:rPr>
        <w:t>2</w:t>
      </w:r>
    </w:fldSimple>
    <w:r w:rsidRPr="00987D78">
      <w:tab/>
    </w:r>
    <w:r w:rsidRPr="00987D78">
      <w:rPr>
        <w:rStyle w:val="HideTWBExt"/>
        <w:noProof w:val="0"/>
      </w:rPr>
      <w:t>&lt;PathFdR&gt;</w:t>
    </w:r>
    <w:r w:rsidRPr="00987D78">
      <w:t>RE\1179539ES.docx</w:t>
    </w:r>
    <w:r w:rsidRPr="00987D78">
      <w:rPr>
        <w:rStyle w:val="HideTWBExt"/>
        <w:noProof w:val="0"/>
      </w:rPr>
      <w:t>&lt;/PathFdR&gt;</w:t>
    </w:r>
  </w:p>
  <w:p w:rsidR="00A07592" w:rsidRPr="00987D78" w:rsidRDefault="00987D78" w:rsidP="00987D78">
    <w:pPr>
      <w:pStyle w:val="Footer2"/>
    </w:pPr>
    <w:r w:rsidRPr="00987D78">
      <w:t>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78" w:rsidRPr="00987D78" w:rsidRDefault="00987D78" w:rsidP="00987D78">
    <w:pPr>
      <w:pStyle w:val="Footer"/>
    </w:pPr>
    <w:r w:rsidRPr="00987D78">
      <w:rPr>
        <w:rStyle w:val="HideTWBExt"/>
        <w:noProof w:val="0"/>
      </w:rPr>
      <w:t>&lt;PathFdR&gt;</w:t>
    </w:r>
    <w:r w:rsidRPr="00987D78">
      <w:t>RE\1179539ES.docx</w:t>
    </w:r>
    <w:r w:rsidRPr="00987D78">
      <w:rPr>
        <w:rStyle w:val="HideTWBExt"/>
        <w:noProof w:val="0"/>
      </w:rPr>
      <w:t>&lt;/PathFdR&gt;</w:t>
    </w:r>
    <w:r w:rsidRPr="00987D78">
      <w:tab/>
    </w:r>
    <w:r w:rsidRPr="00987D78">
      <w:fldChar w:fldCharType="begin"/>
    </w:r>
    <w:r w:rsidRPr="00987D78">
      <w:instrText xml:space="preserve"> PAGE  \* MERGEFORMAT </w:instrText>
    </w:r>
    <w:r w:rsidRPr="00987D78">
      <w:fldChar w:fldCharType="separate"/>
    </w:r>
    <w:r w:rsidR="00D84D95">
      <w:rPr>
        <w:noProof/>
      </w:rPr>
      <w:t>2</w:t>
    </w:r>
    <w:r w:rsidRPr="00987D78">
      <w:fldChar w:fldCharType="end"/>
    </w:r>
    <w:r w:rsidRPr="00987D78">
      <w:t>/</w:t>
    </w:r>
    <w:fldSimple w:instr=" NUMPAGES  \* MERGEFORMAT ">
      <w:r w:rsidR="00D84D95">
        <w:rPr>
          <w:noProof/>
        </w:rPr>
        <w:t>2</w:t>
      </w:r>
    </w:fldSimple>
    <w:r w:rsidRPr="00987D78">
      <w:tab/>
      <w:t>PE</w:t>
    </w:r>
    <w:r w:rsidRPr="00987D78">
      <w:rPr>
        <w:rStyle w:val="HideTWBExt"/>
        <w:noProof w:val="0"/>
      </w:rPr>
      <w:t>&lt;NoPE&gt;</w:t>
    </w:r>
    <w:r w:rsidRPr="00987D78">
      <w:t>635.473</w:t>
    </w:r>
    <w:r w:rsidRPr="00987D78">
      <w:rPr>
        <w:rStyle w:val="HideTWBExt"/>
        <w:noProof w:val="0"/>
      </w:rPr>
      <w:t>&lt;/NoPE&gt;&lt;Version&gt;</w:t>
    </w:r>
    <w:r w:rsidRPr="00987D78">
      <w:t>v01-00</w:t>
    </w:r>
    <w:r w:rsidRPr="00987D78">
      <w:rPr>
        <w:rStyle w:val="HideTWBExt"/>
        <w:noProof w:val="0"/>
      </w:rPr>
      <w:t>&lt;/Version&gt;</w:t>
    </w:r>
  </w:p>
  <w:p w:rsidR="00A07592" w:rsidRPr="00987D78" w:rsidRDefault="00987D78" w:rsidP="00987D78">
    <w:pPr>
      <w:pStyle w:val="Footer2"/>
    </w:pPr>
    <w:r w:rsidRPr="00987D78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78" w:rsidRPr="00987D78" w:rsidRDefault="00987D78" w:rsidP="00987D78">
    <w:pPr>
      <w:pStyle w:val="Footer"/>
    </w:pPr>
    <w:r w:rsidRPr="00987D78">
      <w:rPr>
        <w:rStyle w:val="HideTWBExt"/>
        <w:noProof w:val="0"/>
      </w:rPr>
      <w:t>&lt;PathFdR&gt;</w:t>
    </w:r>
    <w:r w:rsidRPr="00987D78">
      <w:t>RE\1179539ES.docx</w:t>
    </w:r>
    <w:r w:rsidRPr="00987D78">
      <w:rPr>
        <w:rStyle w:val="HideTWBExt"/>
        <w:noProof w:val="0"/>
      </w:rPr>
      <w:t>&lt;/PathFdR&gt;</w:t>
    </w:r>
    <w:r w:rsidRPr="00987D78">
      <w:tab/>
    </w:r>
    <w:r w:rsidRPr="00987D78">
      <w:tab/>
      <w:t>PE</w:t>
    </w:r>
    <w:r w:rsidRPr="00987D78">
      <w:rPr>
        <w:rStyle w:val="HideTWBExt"/>
        <w:noProof w:val="0"/>
      </w:rPr>
      <w:t>&lt;NoPE&gt;</w:t>
    </w:r>
    <w:r w:rsidRPr="00987D78">
      <w:t>635.473</w:t>
    </w:r>
    <w:r w:rsidRPr="00987D78">
      <w:rPr>
        <w:rStyle w:val="HideTWBExt"/>
        <w:noProof w:val="0"/>
      </w:rPr>
      <w:t>&lt;/NoPE&gt;&lt;Version&gt;</w:t>
    </w:r>
    <w:r w:rsidRPr="00987D78">
      <w:t>v01-00</w:t>
    </w:r>
    <w:r w:rsidRPr="00987D78">
      <w:rPr>
        <w:rStyle w:val="HideTWBExt"/>
        <w:noProof w:val="0"/>
      </w:rPr>
      <w:t>&lt;/Version&gt;</w:t>
    </w:r>
  </w:p>
  <w:p w:rsidR="00A07592" w:rsidRPr="00987D78" w:rsidRDefault="00987D78" w:rsidP="00987D78">
    <w:pPr>
      <w:pStyle w:val="Footer2"/>
      <w:tabs>
        <w:tab w:val="center" w:pos="4535"/>
        <w:tab w:val="right" w:pos="9921"/>
      </w:tabs>
    </w:pPr>
    <w:r w:rsidRPr="00987D78">
      <w:t>ES</w:t>
    </w:r>
    <w:r w:rsidRPr="00987D78">
      <w:tab/>
    </w:r>
    <w:r w:rsidRPr="00987D78">
      <w:rPr>
        <w:b w:val="0"/>
        <w:i/>
        <w:color w:val="C0C0C0"/>
        <w:sz w:val="22"/>
      </w:rPr>
      <w:t>Unida en la diversidad</w:t>
    </w:r>
    <w:r w:rsidRPr="00987D78"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31" w:rsidRPr="00987D78" w:rsidRDefault="00755531">
      <w:r w:rsidRPr="00987D78">
        <w:separator/>
      </w:r>
    </w:p>
  </w:footnote>
  <w:footnote w:type="continuationSeparator" w:id="0">
    <w:p w:rsidR="00755531" w:rsidRPr="00987D78" w:rsidRDefault="00755531">
      <w:r w:rsidRPr="00987D78">
        <w:continuationSeparator/>
      </w:r>
    </w:p>
  </w:footnote>
  <w:footnote w:id="1">
    <w:p w:rsidR="00BA63A9" w:rsidRPr="00987D78" w:rsidRDefault="00BA63A9">
      <w:pPr>
        <w:pStyle w:val="FootnoteText"/>
      </w:pPr>
      <w:r w:rsidRPr="00987D78">
        <w:rPr>
          <w:rStyle w:val="FootnoteReference"/>
        </w:rPr>
        <w:footnoteRef/>
      </w:r>
      <w:r w:rsidRPr="00987D78">
        <w:t xml:space="preserve"> DO C 263 de 25.7.2018, p.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95" w:rsidRDefault="00D84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95" w:rsidRDefault="00D84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95" w:rsidRDefault="00D8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79"/>
    <w:docVar w:name="TXTLANGUE" w:val="EN"/>
    <w:docVar w:name="TXTLANGUEMIN" w:val="en"/>
    <w:docVar w:name="TXTNRB" w:val="0211/2019"/>
    <w:docVar w:name="TXTNRPE" w:val="635.473"/>
    <w:docVar w:name="TXTPEorAP" w:val="PE"/>
    <w:docVar w:name="TXTROUTE" w:val="RE\1179539EN.docx"/>
    <w:docVar w:name="TXTTITLE" w:val="UE and Member States support during the 72nd WHO plenary meeting to a resolution on “Improving the transparency of markets for drugs, vaccines and other health-related technologies”"/>
    <w:docVar w:name="TXTVERSION" w:val="01-00"/>
  </w:docVars>
  <w:rsids>
    <w:rsidRoot w:val="00755531"/>
    <w:rsid w:val="00000FD2"/>
    <w:rsid w:val="000412B1"/>
    <w:rsid w:val="000533A9"/>
    <w:rsid w:val="00064883"/>
    <w:rsid w:val="00075FEB"/>
    <w:rsid w:val="000A6B85"/>
    <w:rsid w:val="001059C3"/>
    <w:rsid w:val="00137566"/>
    <w:rsid w:val="001E6C89"/>
    <w:rsid w:val="001F68B6"/>
    <w:rsid w:val="001F70F5"/>
    <w:rsid w:val="00216E78"/>
    <w:rsid w:val="002F1603"/>
    <w:rsid w:val="00330510"/>
    <w:rsid w:val="00491B75"/>
    <w:rsid w:val="004E5768"/>
    <w:rsid w:val="00636FD3"/>
    <w:rsid w:val="00645AF5"/>
    <w:rsid w:val="00744C9F"/>
    <w:rsid w:val="00755531"/>
    <w:rsid w:val="007603B6"/>
    <w:rsid w:val="00941EBE"/>
    <w:rsid w:val="009535C3"/>
    <w:rsid w:val="00975A15"/>
    <w:rsid w:val="00987D78"/>
    <w:rsid w:val="009C4C58"/>
    <w:rsid w:val="00A07592"/>
    <w:rsid w:val="00A40090"/>
    <w:rsid w:val="00A4761B"/>
    <w:rsid w:val="00BA63A9"/>
    <w:rsid w:val="00BE030F"/>
    <w:rsid w:val="00CA7022"/>
    <w:rsid w:val="00D84D95"/>
    <w:rsid w:val="00E74B2C"/>
    <w:rsid w:val="00E8718B"/>
    <w:rsid w:val="00F11738"/>
    <w:rsid w:val="00F36669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19C15B-99FE-40F1-B958-69CE91E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BalloonText">
    <w:name w:val="Balloon Text"/>
    <w:basedOn w:val="Normal"/>
    <w:link w:val="BalloonTextChar"/>
    <w:rsid w:val="00F36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66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BA63A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63A9"/>
  </w:style>
  <w:style w:type="character" w:styleId="FootnoteReference">
    <w:name w:val="footnote reference"/>
    <w:basedOn w:val="DefaultParagraphFont"/>
    <w:rsid w:val="00BA6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1773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LUTOVS Vladimirs</dc:creator>
  <cp:keywords/>
  <dc:description/>
  <cp:lastModifiedBy>SOLANAS Jose</cp:lastModifiedBy>
  <cp:revision>2</cp:revision>
  <cp:lastPrinted>2019-03-13T13:06:00Z</cp:lastPrinted>
  <dcterms:created xsi:type="dcterms:W3CDTF">2019-04-01T07:18:00Z</dcterms:created>
  <dcterms:modified xsi:type="dcterms:W3CDTF">2019-04-01T07:18:00Z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1179539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\\eiciLUXpr1\pdocep$\DocEP\DOCS\General\RE\RE_Motions.dot(06/02/2019 07:45:08)</vt:lpwstr>
  </property>
  <property fmtid="{D5CDD505-2E9C-101B-9397-08002B2CF9AE}" pid="7" name="&lt;ModelTra&gt;">
    <vt:lpwstr>\\eiciLUXpr1\pdocep$\DocEP\TRANSFIL\EN\RE_Motions.EN(13/10/2017 10:43:53)</vt:lpwstr>
  </property>
  <property fmtid="{D5CDD505-2E9C-101B-9397-08002B2CF9AE}" pid="8" name="&lt;Model&gt;">
    <vt:lpwstr>RE_Motions</vt:lpwstr>
  </property>
  <property fmtid="{D5CDD505-2E9C-101B-9397-08002B2CF9AE}" pid="9" name="FooterPath">
    <vt:lpwstr>RE\1179539ES.docx</vt:lpwstr>
  </property>
  <property fmtid="{D5CDD505-2E9C-101B-9397-08002B2CF9AE}" pid="10" name="PE number">
    <vt:lpwstr>635.473</vt:lpwstr>
  </property>
  <property fmtid="{D5CDD505-2E9C-101B-9397-08002B2CF9AE}" pid="11" name="Bookout">
    <vt:lpwstr>OK - 2019/04/01 09:18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ES</vt:lpwstr>
  </property>
</Properties>
</file>