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06BC0" w:rsidRPr="003E5883" w14:paraId="1E7A3A4B" w14:textId="77777777" w:rsidTr="00F26DE8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20E89C6A" w14:textId="77777777" w:rsidR="00706BC0" w:rsidRPr="00AF2C7D" w:rsidRDefault="00B87576" w:rsidP="00F26DE8">
            <w:pPr>
              <w:pStyle w:val="EPName"/>
            </w:pPr>
            <w:r w:rsidRPr="00AF2C7D">
              <w:t>European Parliament</w:t>
            </w:r>
          </w:p>
          <w:p w14:paraId="16C554CB" w14:textId="77777777" w:rsidR="00706BC0" w:rsidRPr="003E5883" w:rsidRDefault="00D56DCA" w:rsidP="00D56DCA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3E5883">
              <w:t>2019-2024</w:t>
            </w:r>
          </w:p>
        </w:tc>
        <w:tc>
          <w:tcPr>
            <w:tcW w:w="2268" w:type="dxa"/>
            <w:shd w:val="clear" w:color="auto" w:fill="auto"/>
          </w:tcPr>
          <w:p w14:paraId="2B52B1C2" w14:textId="77777777" w:rsidR="00706BC0" w:rsidRPr="00AF2C7D" w:rsidRDefault="001E2450" w:rsidP="00F26DE8">
            <w:pPr>
              <w:pStyle w:val="EPLogo"/>
            </w:pPr>
            <w:r w:rsidRPr="00AF2C7D">
              <w:rPr>
                <w:noProof/>
              </w:rPr>
              <w:drawing>
                <wp:inline distT="0" distB="0" distL="0" distR="0" wp14:anchorId="7F35AE4D" wp14:editId="496CC4BF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1B086A" w14:textId="77777777" w:rsidR="00E53167" w:rsidRPr="003E5883" w:rsidRDefault="00E53167" w:rsidP="00E53167">
      <w:pPr>
        <w:pStyle w:val="LineTop"/>
      </w:pPr>
    </w:p>
    <w:p w14:paraId="721EBB0C" w14:textId="77777777" w:rsidR="00E53167" w:rsidRPr="003E5883" w:rsidRDefault="00D56DCA" w:rsidP="00E53167">
      <w:pPr>
        <w:pStyle w:val="EPBody"/>
      </w:pPr>
      <w:r w:rsidRPr="003E5883">
        <w:t>Plenary sitting</w:t>
      </w:r>
    </w:p>
    <w:p w14:paraId="1FFAB4D2" w14:textId="77777777" w:rsidR="00094DDA" w:rsidRPr="003E5883" w:rsidRDefault="00094DDA" w:rsidP="00094DDA">
      <w:pPr>
        <w:pStyle w:val="LineBottom"/>
      </w:pPr>
    </w:p>
    <w:p w14:paraId="6FF7A0B2" w14:textId="77777777" w:rsidR="00094DDA" w:rsidRPr="003E5883" w:rsidRDefault="00094DDA" w:rsidP="00094DDA">
      <w:pPr>
        <w:pStyle w:val="CoverReference"/>
      </w:pPr>
      <w:r w:rsidRPr="003E5883">
        <w:rPr>
          <w:rStyle w:val="HideTWBExt"/>
          <w:b w:val="0"/>
          <w:noProof w:val="0"/>
        </w:rPr>
        <w:t>&lt;NoDocSe&gt;</w:t>
      </w:r>
      <w:r w:rsidRPr="003E5883">
        <w:t>B9</w:t>
      </w:r>
      <w:r w:rsidRPr="003E5883">
        <w:noBreakHyphen/>
        <w:t>0226/2019</w:t>
      </w:r>
      <w:r w:rsidRPr="003E5883">
        <w:rPr>
          <w:rStyle w:val="HideTWBExt"/>
          <w:b w:val="0"/>
          <w:noProof w:val="0"/>
        </w:rPr>
        <w:t>&lt;/NoDocSe&gt;</w:t>
      </w:r>
    </w:p>
    <w:p w14:paraId="09DCC6A7" w14:textId="77777777" w:rsidR="00094DDA" w:rsidRPr="003E5883" w:rsidRDefault="00094DDA" w:rsidP="00094DDA">
      <w:pPr>
        <w:pStyle w:val="CoverDate"/>
      </w:pPr>
      <w:r w:rsidRPr="003E5883">
        <w:rPr>
          <w:rStyle w:val="HideTWBExt"/>
          <w:noProof w:val="0"/>
        </w:rPr>
        <w:t>&lt;Date&gt;</w:t>
      </w:r>
      <w:r w:rsidRPr="003E5883">
        <w:rPr>
          <w:rStyle w:val="HideTWBInt"/>
        </w:rPr>
        <w:t>{25/11/2019}</w:t>
      </w:r>
      <w:r w:rsidRPr="003E5883">
        <w:t>25.11.2019</w:t>
      </w:r>
      <w:r w:rsidRPr="003E5883">
        <w:rPr>
          <w:rStyle w:val="HideTWBExt"/>
          <w:noProof w:val="0"/>
        </w:rPr>
        <w:t>&lt;/Date&gt;</w:t>
      </w:r>
    </w:p>
    <w:p w14:paraId="75BD9D0D" w14:textId="77777777" w:rsidR="00814BC6" w:rsidRPr="003E5883" w:rsidRDefault="00814BC6">
      <w:pPr>
        <w:pStyle w:val="CoverDocType24a"/>
      </w:pPr>
      <w:r w:rsidRPr="003E5883">
        <w:rPr>
          <w:rStyle w:val="HideTWBExt"/>
          <w:b w:val="0"/>
          <w:noProof w:val="0"/>
        </w:rPr>
        <w:t>&lt;TitreType&gt;</w:t>
      </w:r>
      <w:r w:rsidRPr="003E5883">
        <w:t>MOTION FOR A RESOLUTION</w:t>
      </w:r>
      <w:r w:rsidRPr="003E5883">
        <w:rPr>
          <w:rStyle w:val="HideTWBExt"/>
          <w:b w:val="0"/>
          <w:noProof w:val="0"/>
        </w:rPr>
        <w:t>&lt;/TitreType&gt;</w:t>
      </w:r>
    </w:p>
    <w:p w14:paraId="063EF842" w14:textId="77777777" w:rsidR="00814BC6" w:rsidRPr="003E5883" w:rsidRDefault="00814BC6">
      <w:pPr>
        <w:pStyle w:val="CoverNormal12a"/>
      </w:pPr>
      <w:r w:rsidRPr="003E5883">
        <w:rPr>
          <w:rStyle w:val="HideTWBExt"/>
          <w:noProof w:val="0"/>
        </w:rPr>
        <w:t>&lt;TitreSuite&gt;</w:t>
      </w:r>
      <w:proofErr w:type="gramStart"/>
      <w:r w:rsidRPr="003E5883">
        <w:t>to</w:t>
      </w:r>
      <w:proofErr w:type="gramEnd"/>
      <w:r w:rsidRPr="003E5883">
        <w:t xml:space="preserve"> wind up the debate on the statements by the Council and the Commission</w:t>
      </w:r>
      <w:r w:rsidRPr="003E5883">
        <w:rPr>
          <w:rStyle w:val="HideTWBExt"/>
          <w:noProof w:val="0"/>
        </w:rPr>
        <w:t>&lt;/TitreSuite&gt;</w:t>
      </w:r>
    </w:p>
    <w:p w14:paraId="38C6AB42" w14:textId="77777777" w:rsidR="00814BC6" w:rsidRPr="003E5883" w:rsidRDefault="00814BC6">
      <w:pPr>
        <w:pStyle w:val="CoverNormal12a"/>
      </w:pPr>
      <w:r w:rsidRPr="003E5883">
        <w:rPr>
          <w:rStyle w:val="HideTWBExt"/>
          <w:noProof w:val="0"/>
        </w:rPr>
        <w:t>&lt;TitreRecueil&gt;</w:t>
      </w:r>
      <w:proofErr w:type="gramStart"/>
      <w:r w:rsidRPr="003E5883">
        <w:t>pursuant</w:t>
      </w:r>
      <w:proofErr w:type="gramEnd"/>
      <w:r w:rsidRPr="003E5883">
        <w:t xml:space="preserve"> to Rule 132(2) of the Rules of Procedure</w:t>
      </w:r>
      <w:r w:rsidRPr="003E5883">
        <w:rPr>
          <w:rStyle w:val="HideTWBExt"/>
          <w:noProof w:val="0"/>
        </w:rPr>
        <w:t>&lt;/TitreRecueil&gt;</w:t>
      </w:r>
    </w:p>
    <w:p w14:paraId="38A4CE0E" w14:textId="76FC8481" w:rsidR="00C23264" w:rsidRPr="003E5883" w:rsidRDefault="00C23264" w:rsidP="00C23264">
      <w:pPr>
        <w:pStyle w:val="CoverNormal"/>
      </w:pPr>
      <w:r w:rsidRPr="003E5883">
        <w:rPr>
          <w:rStyle w:val="HideTWBExt"/>
          <w:noProof w:val="0"/>
        </w:rPr>
        <w:t>&lt;Titre&gt;</w:t>
      </w:r>
      <w:proofErr w:type="gramStart"/>
      <w:r w:rsidRPr="003E5883">
        <w:t>on</w:t>
      </w:r>
      <w:proofErr w:type="gramEnd"/>
      <w:r w:rsidRPr="003E5883">
        <w:t xml:space="preserve"> </w:t>
      </w:r>
      <w:r w:rsidR="003E5883">
        <w:t xml:space="preserve">the </w:t>
      </w:r>
      <w:r w:rsidR="00D56DCA" w:rsidRPr="003E5883">
        <w:t>EU</w:t>
      </w:r>
      <w:r w:rsidR="002B5FFA">
        <w:t>’</w:t>
      </w:r>
      <w:r w:rsidR="003E5883">
        <w:t>s</w:t>
      </w:r>
      <w:r w:rsidRPr="003E5883">
        <w:t xml:space="preserve"> accession to the Istanbul Convention and other measures to combat gender-based violence</w:t>
      </w:r>
      <w:r w:rsidRPr="003E5883">
        <w:rPr>
          <w:rStyle w:val="HideTWBExt"/>
          <w:noProof w:val="0"/>
        </w:rPr>
        <w:t>&lt;/Titre&gt;</w:t>
      </w:r>
    </w:p>
    <w:p w14:paraId="2581C914" w14:textId="77777777" w:rsidR="00C23264" w:rsidRPr="003E5883" w:rsidRDefault="00C23264" w:rsidP="00C23264">
      <w:pPr>
        <w:pStyle w:val="CoverNormal24a"/>
      </w:pPr>
      <w:r w:rsidRPr="003E5883">
        <w:rPr>
          <w:rStyle w:val="HideTWBExt"/>
          <w:noProof w:val="0"/>
        </w:rPr>
        <w:t>&lt;DocRef&gt;</w:t>
      </w:r>
      <w:r w:rsidRPr="003E5883">
        <w:t>(2019/2855(RSP))</w:t>
      </w:r>
      <w:r w:rsidRPr="003E5883">
        <w:rPr>
          <w:rStyle w:val="HideTWBExt"/>
          <w:noProof w:val="0"/>
        </w:rPr>
        <w:t>&lt;/DocRef&gt;</w:t>
      </w:r>
    </w:p>
    <w:p w14:paraId="7F0BBD82" w14:textId="77777777" w:rsidR="002574AA" w:rsidRPr="003E5883" w:rsidRDefault="002574AA" w:rsidP="002574AA">
      <w:pPr>
        <w:pStyle w:val="CoverBold"/>
      </w:pPr>
      <w:r w:rsidRPr="003E5883">
        <w:rPr>
          <w:rStyle w:val="HideTWBExt"/>
          <w:b w:val="0"/>
          <w:noProof w:val="0"/>
        </w:rPr>
        <w:t>&lt;RepeatBlock-By&gt;&lt;Depute&gt;</w:t>
      </w:r>
      <w:r w:rsidRPr="003E5883">
        <w:t xml:space="preserve">Annalisa </w:t>
      </w:r>
      <w:proofErr w:type="spellStart"/>
      <w:r w:rsidRPr="003E5883">
        <w:t>Tardino</w:t>
      </w:r>
      <w:proofErr w:type="spellEnd"/>
      <w:r w:rsidRPr="003E5883">
        <w:t xml:space="preserve">, Christine Anderson, Ivan David, Isabella </w:t>
      </w:r>
      <w:proofErr w:type="spellStart"/>
      <w:r w:rsidRPr="003E5883">
        <w:t>Tovaglieri</w:t>
      </w:r>
      <w:proofErr w:type="spellEnd"/>
      <w:r w:rsidRPr="003E5883">
        <w:rPr>
          <w:rStyle w:val="HideTWBExt"/>
          <w:b w:val="0"/>
          <w:noProof w:val="0"/>
          <w:color w:val="auto"/>
        </w:rPr>
        <w:t>&lt;/Depute&gt;</w:t>
      </w:r>
    </w:p>
    <w:p w14:paraId="00721BBE" w14:textId="77777777" w:rsidR="002574AA" w:rsidRPr="003E5883" w:rsidRDefault="002574AA" w:rsidP="002574AA">
      <w:pPr>
        <w:pStyle w:val="CoverNormal"/>
      </w:pPr>
      <w:r w:rsidRPr="003E5883">
        <w:rPr>
          <w:rStyle w:val="HideTWBExt"/>
          <w:noProof w:val="0"/>
        </w:rPr>
        <w:t>&lt;Commission&gt;</w:t>
      </w:r>
      <w:r w:rsidRPr="003E5883">
        <w:rPr>
          <w:rStyle w:val="HideTWBInt"/>
        </w:rPr>
        <w:t>{ID}</w:t>
      </w:r>
      <w:proofErr w:type="gramStart"/>
      <w:r w:rsidRPr="003E5883">
        <w:t>on</w:t>
      </w:r>
      <w:proofErr w:type="gramEnd"/>
      <w:r w:rsidRPr="003E5883">
        <w:t xml:space="preserve"> behalf of the ID Group</w:t>
      </w:r>
      <w:r w:rsidRPr="003E5883">
        <w:rPr>
          <w:rStyle w:val="HideTWBExt"/>
          <w:noProof w:val="0"/>
        </w:rPr>
        <w:t>&lt;/Commission&gt;</w:t>
      </w:r>
    </w:p>
    <w:p w14:paraId="349EF0B6" w14:textId="77777777" w:rsidR="002574AA" w:rsidRPr="003E5883" w:rsidRDefault="002574AA" w:rsidP="002574AA">
      <w:pPr>
        <w:pStyle w:val="CoverNormal"/>
      </w:pPr>
      <w:r w:rsidRPr="003E5883">
        <w:rPr>
          <w:rStyle w:val="HideTWBExt"/>
          <w:noProof w:val="0"/>
        </w:rPr>
        <w:t>&lt;/RepeatBlock-By&gt;</w:t>
      </w:r>
    </w:p>
    <w:p w14:paraId="508541CC" w14:textId="77777777" w:rsidR="00814BC6" w:rsidRPr="003E5883" w:rsidRDefault="00814BC6">
      <w:pPr>
        <w:pStyle w:val="NormalBold12a"/>
      </w:pPr>
      <w:r w:rsidRPr="003E5883">
        <w:br w:type="page"/>
      </w:r>
      <w:r w:rsidRPr="003E5883">
        <w:lastRenderedPageBreak/>
        <w:t>B9</w:t>
      </w:r>
      <w:r w:rsidRPr="003E5883">
        <w:noBreakHyphen/>
        <w:t>0226/2019</w:t>
      </w:r>
    </w:p>
    <w:p w14:paraId="2339FF9F" w14:textId="142A50B5" w:rsidR="00C23264" w:rsidRPr="003E5883" w:rsidRDefault="00B87576" w:rsidP="00C23264">
      <w:pPr>
        <w:pStyle w:val="NormalBold"/>
      </w:pPr>
      <w:r w:rsidRPr="003E5883">
        <w:t xml:space="preserve">European Parliament resolution on </w:t>
      </w:r>
      <w:r w:rsidR="003E5883">
        <w:t xml:space="preserve">the </w:t>
      </w:r>
      <w:r w:rsidR="00D56DCA" w:rsidRPr="003E5883">
        <w:t>EU</w:t>
      </w:r>
      <w:r w:rsidR="002B5FFA">
        <w:t>’</w:t>
      </w:r>
      <w:r w:rsidR="003E5883">
        <w:t>s</w:t>
      </w:r>
      <w:r w:rsidRPr="003E5883">
        <w:t xml:space="preserve"> accession to the Istanbul Convention and other measures to combat gender-based violence</w:t>
      </w:r>
    </w:p>
    <w:p w14:paraId="03104417" w14:textId="77777777" w:rsidR="00C23264" w:rsidRPr="003E5883" w:rsidRDefault="00B87576" w:rsidP="00DF7943">
      <w:pPr>
        <w:pStyle w:val="NormalBold"/>
      </w:pPr>
      <w:r w:rsidRPr="003E5883">
        <w:t>(2019/2855(RSP))</w:t>
      </w:r>
    </w:p>
    <w:p w14:paraId="2210EB37" w14:textId="77777777" w:rsidR="00814BC6" w:rsidRPr="003E5883" w:rsidRDefault="00B87576">
      <w:pPr>
        <w:pStyle w:val="EPComma"/>
      </w:pPr>
      <w:r w:rsidRPr="003E5883">
        <w:rPr>
          <w:i/>
        </w:rPr>
        <w:t>The European Parliament</w:t>
      </w:r>
      <w:r w:rsidRPr="003E5883">
        <w:t>,</w:t>
      </w:r>
    </w:p>
    <w:p w14:paraId="7E1C740C" w14:textId="2272683C" w:rsidR="00D56DCA" w:rsidRPr="003E5883" w:rsidRDefault="00814BC6" w:rsidP="00D56DCA">
      <w:pPr>
        <w:pStyle w:val="NormalHanging12a"/>
        <w:rPr>
          <w:snapToGrid w:val="0"/>
        </w:rPr>
      </w:pPr>
      <w:r w:rsidRPr="003E5883">
        <w:t>–</w:t>
      </w:r>
      <w:r w:rsidRPr="003E5883">
        <w:tab/>
        <w:t xml:space="preserve">having regard to </w:t>
      </w:r>
      <w:r w:rsidRPr="003E5883">
        <w:rPr>
          <w:snapToGrid w:val="0"/>
        </w:rPr>
        <w:t xml:space="preserve">Articles 3 and 4 of the Council of Europe Convention on preventing and combating violence against women and domestic violence, which opened for signature in Istanbul on 11 May 2011 (hereafter the </w:t>
      </w:r>
      <w:r w:rsidR="002B5FFA">
        <w:rPr>
          <w:snapToGrid w:val="0"/>
        </w:rPr>
        <w:t>‘</w:t>
      </w:r>
      <w:r w:rsidRPr="003E5883">
        <w:rPr>
          <w:snapToGrid w:val="0"/>
        </w:rPr>
        <w:t>Istanbul Convention</w:t>
      </w:r>
      <w:r w:rsidR="002B5FFA">
        <w:rPr>
          <w:snapToGrid w:val="0"/>
        </w:rPr>
        <w:t>’</w:t>
      </w:r>
      <w:r w:rsidRPr="003E5883">
        <w:rPr>
          <w:snapToGrid w:val="0"/>
        </w:rPr>
        <w:t>),</w:t>
      </w:r>
    </w:p>
    <w:p w14:paraId="249CE3C0" w14:textId="2CC90DC2" w:rsidR="00D56DCA" w:rsidRPr="003E5883" w:rsidRDefault="00D56DCA" w:rsidP="00D56DCA">
      <w:pPr>
        <w:pStyle w:val="NormalHanging12a"/>
        <w:rPr>
          <w:snapToGrid w:val="0"/>
        </w:rPr>
      </w:pPr>
      <w:r w:rsidRPr="003E5883">
        <w:t>–</w:t>
      </w:r>
      <w:r w:rsidRPr="002B5FFA">
        <w:tab/>
      </w:r>
      <w:r w:rsidRPr="00AF2C7D">
        <w:rPr>
          <w:snapToGrid w:val="0"/>
        </w:rPr>
        <w:t>having regard to Council Decision (EU) 2017/865 of 11 May 2017 on the signing, on behalf of the Eu</w:t>
      </w:r>
      <w:r w:rsidRPr="003E5883">
        <w:rPr>
          <w:snapToGrid w:val="0"/>
        </w:rPr>
        <w:t>ropean Union, of the Council of Europe Convention on preventing and combating violence against women and domestic violence with regard to matters related to judicial cooperation in criminal matters</w:t>
      </w:r>
      <w:r w:rsidR="003A7FBE" w:rsidRPr="00AF2C7D">
        <w:rPr>
          <w:rStyle w:val="FootnoteReference"/>
          <w:snapToGrid w:val="0"/>
        </w:rPr>
        <w:footnoteReference w:id="2"/>
      </w:r>
      <w:r w:rsidRPr="00AF2C7D">
        <w:t>,</w:t>
      </w:r>
    </w:p>
    <w:p w14:paraId="31DA0C1A" w14:textId="46EE0C2D" w:rsidR="00D56DCA" w:rsidRPr="003E5883" w:rsidRDefault="00D56DCA" w:rsidP="00D56DCA">
      <w:pPr>
        <w:pStyle w:val="NormalHanging12a"/>
      </w:pPr>
      <w:r w:rsidRPr="003E5883">
        <w:t>–</w:t>
      </w:r>
      <w:r w:rsidRPr="003E5883">
        <w:tab/>
      </w:r>
      <w:r w:rsidRPr="00AF2C7D">
        <w:t xml:space="preserve">having regard to </w:t>
      </w:r>
      <w:r w:rsidRPr="003E5883">
        <w:t xml:space="preserve">the Commission </w:t>
      </w:r>
      <w:r w:rsidR="005E00C2">
        <w:t xml:space="preserve">statement </w:t>
      </w:r>
      <w:r w:rsidRPr="003E5883">
        <w:t>of 26 November 2019 on the EU</w:t>
      </w:r>
      <w:r w:rsidR="002B5FFA">
        <w:t>’</w:t>
      </w:r>
      <w:r w:rsidRPr="003E5883">
        <w:t>s accession to the Istanbul Convention and other measures to combat gender-based violence,</w:t>
      </w:r>
    </w:p>
    <w:p w14:paraId="150F02A3" w14:textId="3E2F3F7B" w:rsidR="00D56DCA" w:rsidRPr="003E5883" w:rsidRDefault="00D56DCA" w:rsidP="00D56DCA">
      <w:pPr>
        <w:pStyle w:val="NormalHanging12a"/>
      </w:pPr>
      <w:r w:rsidRPr="003E5883">
        <w:t>–</w:t>
      </w:r>
      <w:r w:rsidRPr="003E5883">
        <w:tab/>
        <w:t>having regard to the Bulgarian Constitutional Court</w:t>
      </w:r>
      <w:r w:rsidR="002B5FFA">
        <w:t>’</w:t>
      </w:r>
      <w:r w:rsidRPr="003E5883">
        <w:t>s declaration of 27 July 2018, which declared the ratification of the Istanbul Convention to be unconstitutional,</w:t>
      </w:r>
    </w:p>
    <w:p w14:paraId="7BE4DBBC" w14:textId="54F4DFCE" w:rsidR="00D56DCA" w:rsidRPr="003E5883" w:rsidRDefault="00D56DCA" w:rsidP="00D56DCA">
      <w:pPr>
        <w:pStyle w:val="NormalHanging12a"/>
      </w:pPr>
      <w:r w:rsidRPr="003E5883">
        <w:t>–</w:t>
      </w:r>
      <w:r w:rsidRPr="003E5883">
        <w:tab/>
        <w:t>having regard to the Fundamental Rights Agency</w:t>
      </w:r>
      <w:r w:rsidR="002B5FFA">
        <w:t>’</w:t>
      </w:r>
      <w:r w:rsidR="005E00C2">
        <w:t>s</w:t>
      </w:r>
      <w:r w:rsidRPr="003E5883">
        <w:t xml:space="preserve"> 2014 study entitled </w:t>
      </w:r>
      <w:r w:rsidR="002B5FFA">
        <w:t>‘</w:t>
      </w:r>
      <w:r w:rsidRPr="003E5883">
        <w:t>Violence against women: an EU-wide survey</w:t>
      </w:r>
      <w:r w:rsidR="002B5FFA">
        <w:t>’</w:t>
      </w:r>
      <w:r w:rsidRPr="003E5883">
        <w:t>,</w:t>
      </w:r>
    </w:p>
    <w:p w14:paraId="15CEC82A" w14:textId="77777777" w:rsidR="00D56DCA" w:rsidRPr="003E5883" w:rsidRDefault="00ED22B8" w:rsidP="00D56DCA">
      <w:pPr>
        <w:pStyle w:val="NormalHanging12a"/>
      </w:pPr>
      <w:r w:rsidRPr="003E5883">
        <w:t>–</w:t>
      </w:r>
      <w:r w:rsidRPr="003E5883">
        <w:tab/>
        <w:t>having regard to Rule 132(2) of its Rules of Procedure,</w:t>
      </w:r>
    </w:p>
    <w:p w14:paraId="38E1B951" w14:textId="282D9121" w:rsidR="00D56DCA" w:rsidRPr="00AF2C7D" w:rsidRDefault="00D56DCA" w:rsidP="00D56DCA">
      <w:pPr>
        <w:pStyle w:val="NormalHanging12a"/>
        <w:rPr>
          <w:spacing w:val="-2"/>
        </w:rPr>
      </w:pPr>
      <w:r w:rsidRPr="003E5883">
        <w:t>A.</w:t>
      </w:r>
      <w:r w:rsidRPr="003E5883">
        <w:tab/>
        <w:t>whereas violence against women is widespread in the EU; whereas female victims reported their most serious incident of intimate partner violence to the police</w:t>
      </w:r>
      <w:r w:rsidRPr="00AF2C7D">
        <w:t xml:space="preserve"> in only 14 % of cases</w:t>
      </w:r>
      <w:r w:rsidRPr="003E5883">
        <w:t>;</w:t>
      </w:r>
    </w:p>
    <w:p w14:paraId="468F2BE5" w14:textId="0967A4C2" w:rsidR="00D56DCA" w:rsidRPr="00AF2C7D" w:rsidRDefault="00D56DCA" w:rsidP="00D56DCA">
      <w:pPr>
        <w:pStyle w:val="NormalHanging12a"/>
        <w:rPr>
          <w:spacing w:val="-2"/>
        </w:rPr>
      </w:pPr>
      <w:r w:rsidRPr="003E5883">
        <w:t>B.</w:t>
      </w:r>
      <w:r w:rsidRPr="003E5883">
        <w:tab/>
        <w:t>whereas one in three women in the EU age</w:t>
      </w:r>
      <w:r w:rsidR="004A49BF">
        <w:t>d</w:t>
      </w:r>
      <w:r w:rsidRPr="003E5883">
        <w:t xml:space="preserve"> 15 </w:t>
      </w:r>
      <w:r w:rsidR="004A49BF">
        <w:t xml:space="preserve">or over </w:t>
      </w:r>
      <w:r w:rsidRPr="003E5883">
        <w:t>have experienced physical and/or sexual violence</w:t>
      </w:r>
      <w:r w:rsidRPr="00AF2C7D">
        <w:rPr>
          <w:spacing w:val="-2"/>
        </w:rPr>
        <w:t xml:space="preserve">; </w:t>
      </w:r>
      <w:r w:rsidR="005E00C2">
        <w:rPr>
          <w:spacing w:val="-2"/>
        </w:rPr>
        <w:t xml:space="preserve">whereas </w:t>
      </w:r>
      <w:r w:rsidR="00644D26">
        <w:rPr>
          <w:spacing w:val="-2"/>
        </w:rPr>
        <w:t>the</w:t>
      </w:r>
      <w:r w:rsidRPr="003E5883">
        <w:t xml:space="preserve"> majority of women in a professional job or top management have experienced sexual harassment; </w:t>
      </w:r>
      <w:r w:rsidRPr="00AF2C7D">
        <w:t xml:space="preserve">whereas </w:t>
      </w:r>
      <w:r w:rsidRPr="003E5883">
        <w:t>one in ten women have experienced sexual harassment or stalking through</w:t>
      </w:r>
      <w:r w:rsidRPr="00AF2C7D">
        <w:t xml:space="preserve"> the medium of</w:t>
      </w:r>
      <w:r w:rsidRPr="003E5883">
        <w:t xml:space="preserve"> new technologies;</w:t>
      </w:r>
    </w:p>
    <w:p w14:paraId="7D93D75D" w14:textId="73BEE1A3" w:rsidR="00D56DCA" w:rsidRPr="00AF2C7D" w:rsidRDefault="00D56DCA" w:rsidP="00D56DCA">
      <w:pPr>
        <w:pStyle w:val="NormalHanging12a"/>
        <w:rPr>
          <w:spacing w:val="-2"/>
        </w:rPr>
      </w:pPr>
      <w:r w:rsidRPr="003E5883">
        <w:t>C.</w:t>
      </w:r>
      <w:r w:rsidRPr="003E5883">
        <w:tab/>
        <w:t>whereas violence against women takes many different forms (intimate partner violence, sexual harassment, cyber violence, stalking, honour-related violence, female genital mutilation), and can ultimately lead to femicide;</w:t>
      </w:r>
    </w:p>
    <w:p w14:paraId="2BBA0F8F" w14:textId="0E9AF6A8" w:rsidR="00D56DCA" w:rsidRPr="00AF2C7D" w:rsidRDefault="00D56DCA" w:rsidP="00D56DCA">
      <w:pPr>
        <w:pStyle w:val="NormalHanging12a"/>
        <w:rPr>
          <w:spacing w:val="-2"/>
        </w:rPr>
      </w:pPr>
      <w:r w:rsidRPr="003E5883">
        <w:t>D.</w:t>
      </w:r>
      <w:r w:rsidRPr="003E5883">
        <w:tab/>
        <w:t>whereas violence occurs in many different places (</w:t>
      </w:r>
      <w:r w:rsidRPr="00AF2C7D">
        <w:t xml:space="preserve">at </w:t>
      </w:r>
      <w:r w:rsidRPr="003E5883">
        <w:t xml:space="preserve">home, at work, at school and in the street), </w:t>
      </w:r>
      <w:r w:rsidR="005E00C2">
        <w:t xml:space="preserve">making it difficult for victims </w:t>
      </w:r>
      <w:r w:rsidRPr="003E5883">
        <w:t>to thrive in society, education and employment;</w:t>
      </w:r>
    </w:p>
    <w:p w14:paraId="1BF3B5B2" w14:textId="29186491" w:rsidR="00D56DCA" w:rsidRPr="003E5883" w:rsidRDefault="00D56DCA" w:rsidP="00D56DCA">
      <w:pPr>
        <w:pStyle w:val="NormalHanging12a"/>
        <w:rPr>
          <w:spacing w:val="-2"/>
        </w:rPr>
      </w:pPr>
      <w:r w:rsidRPr="003E5883">
        <w:t>E.</w:t>
      </w:r>
      <w:r w:rsidRPr="003E5883">
        <w:tab/>
        <w:t>whereas combatting violence against women through legislation and policy</w:t>
      </w:r>
      <w:r w:rsidR="005E00C2">
        <w:t>making</w:t>
      </w:r>
      <w:r w:rsidRPr="003E5883">
        <w:t xml:space="preserve"> and </w:t>
      </w:r>
      <w:r w:rsidRPr="003E5883">
        <w:lastRenderedPageBreak/>
        <w:t>by providing financial support is a key priority for the Member States</w:t>
      </w:r>
      <w:proofErr w:type="gramStart"/>
      <w:r w:rsidRPr="003E5883">
        <w:t>;</w:t>
      </w:r>
      <w:proofErr w:type="gramEnd"/>
    </w:p>
    <w:p w14:paraId="6F8E31D9" w14:textId="69E30DAB" w:rsidR="00D56DCA" w:rsidRPr="003E5883" w:rsidRDefault="00D56DCA" w:rsidP="00D56DCA">
      <w:pPr>
        <w:pStyle w:val="NormalHanging12a"/>
        <w:rPr>
          <w:spacing w:val="-2"/>
        </w:rPr>
      </w:pPr>
      <w:r w:rsidRPr="003E5883">
        <w:t>F.</w:t>
      </w:r>
      <w:r w:rsidRPr="003E5883">
        <w:tab/>
        <w:t>whereas trafficking and forced prostitution are among the worst human rights abuses possible, and are a threat to our cultures and a danger to women and girls;</w:t>
      </w:r>
    </w:p>
    <w:p w14:paraId="3D1B36E9" w14:textId="04110FC0" w:rsidR="00D56DCA" w:rsidRPr="003E5883" w:rsidRDefault="00D56DCA" w:rsidP="00D56DCA">
      <w:pPr>
        <w:pStyle w:val="NormalHanging12a"/>
        <w:rPr>
          <w:spacing w:val="-2"/>
        </w:rPr>
      </w:pPr>
      <w:r w:rsidRPr="003E5883">
        <w:t>G.</w:t>
      </w:r>
      <w:r w:rsidRPr="003E5883">
        <w:tab/>
        <w:t xml:space="preserve">whereas several Member States have expressed criticism of the scope of the Istanbul Convention, and have </w:t>
      </w:r>
      <w:r w:rsidR="00644D26">
        <w:t xml:space="preserve">consequently </w:t>
      </w:r>
      <w:r w:rsidRPr="003E5883">
        <w:t>stalled ratification or have expressed no interest in ratifying the convention</w:t>
      </w:r>
      <w:proofErr w:type="gramStart"/>
      <w:r w:rsidRPr="003E5883">
        <w:t>;</w:t>
      </w:r>
      <w:proofErr w:type="gramEnd"/>
    </w:p>
    <w:p w14:paraId="581663D5" w14:textId="77777777" w:rsidR="00D56DCA" w:rsidRPr="003E5883" w:rsidRDefault="00D56DCA" w:rsidP="00D56DCA">
      <w:pPr>
        <w:pStyle w:val="NormalHanging12a"/>
        <w:rPr>
          <w:spacing w:val="-2"/>
        </w:rPr>
      </w:pPr>
      <w:r w:rsidRPr="003E5883">
        <w:t>1.</w:t>
      </w:r>
      <w:r w:rsidRPr="003E5883">
        <w:tab/>
        <w:t>Strongly condemns all forms of violence against women</w:t>
      </w:r>
      <w:proofErr w:type="gramStart"/>
      <w:r w:rsidRPr="003E5883">
        <w:t>;</w:t>
      </w:r>
      <w:proofErr w:type="gramEnd"/>
    </w:p>
    <w:p w14:paraId="6E00BE63" w14:textId="6CBC70C9" w:rsidR="00D56DCA" w:rsidRPr="003E5883" w:rsidRDefault="00D56DCA" w:rsidP="00D56DCA">
      <w:pPr>
        <w:pStyle w:val="NormalHanging12a"/>
        <w:rPr>
          <w:spacing w:val="-2"/>
        </w:rPr>
      </w:pPr>
      <w:r w:rsidRPr="003E5883">
        <w:t>2.</w:t>
      </w:r>
      <w:r w:rsidRPr="003E5883">
        <w:tab/>
        <w:t>Urges the Member States to support and take all effective measures to combat violence against women and girls; encourages the Member States to support initiatives that develop mutual respect between the sexes and identify non-violent conflict resolution solutions;</w:t>
      </w:r>
    </w:p>
    <w:p w14:paraId="2D94DE44" w14:textId="1A961B3A" w:rsidR="00D56DCA" w:rsidRPr="003E5883" w:rsidRDefault="00D56DCA" w:rsidP="00D56DCA">
      <w:pPr>
        <w:pStyle w:val="NormalHanging12a"/>
        <w:rPr>
          <w:spacing w:val="-2"/>
        </w:rPr>
      </w:pPr>
      <w:r w:rsidRPr="003E5883">
        <w:t>3.</w:t>
      </w:r>
      <w:r w:rsidRPr="003E5883">
        <w:tab/>
        <w:t>Deplores the high number of femicides and other forms of violence still occurring across the EU</w:t>
      </w:r>
      <w:proofErr w:type="gramStart"/>
      <w:r w:rsidRPr="003E5883">
        <w:t>;</w:t>
      </w:r>
      <w:proofErr w:type="gramEnd"/>
    </w:p>
    <w:p w14:paraId="431FABBF" w14:textId="73ADE4B5" w:rsidR="00D56DCA" w:rsidRPr="003E5883" w:rsidRDefault="00D56DCA" w:rsidP="00D56DCA">
      <w:pPr>
        <w:pStyle w:val="NormalHanging12a"/>
        <w:rPr>
          <w:spacing w:val="-2"/>
        </w:rPr>
      </w:pPr>
      <w:r w:rsidRPr="003E5883">
        <w:t>4.</w:t>
      </w:r>
      <w:r w:rsidRPr="003E5883">
        <w:tab/>
        <w:t>Calls on the Members States to assess the effectiveness of their current legislative frameworks in eliminating violence against women and to evaluate the possibility of improving existing measures</w:t>
      </w:r>
      <w:proofErr w:type="gramStart"/>
      <w:r w:rsidRPr="003E5883">
        <w:t>;</w:t>
      </w:r>
      <w:proofErr w:type="gramEnd"/>
    </w:p>
    <w:p w14:paraId="310C9E72" w14:textId="35BFA45D" w:rsidR="00D56DCA" w:rsidRPr="003E5883" w:rsidRDefault="00D56DCA" w:rsidP="00D56DCA">
      <w:pPr>
        <w:pStyle w:val="NormalHanging12a"/>
        <w:rPr>
          <w:spacing w:val="-2"/>
        </w:rPr>
      </w:pPr>
      <w:r w:rsidRPr="003E5883">
        <w:t>5.</w:t>
      </w:r>
      <w:r w:rsidRPr="003E5883">
        <w:tab/>
        <w:t xml:space="preserve">Stresses the need </w:t>
      </w:r>
      <w:r w:rsidR="005E00C2">
        <w:rPr>
          <w:spacing w:val="-2"/>
        </w:rPr>
        <w:t xml:space="preserve">for more effective measures to prevent </w:t>
      </w:r>
      <w:r w:rsidRPr="003E5883">
        <w:t xml:space="preserve">violence against women and the importance of </w:t>
      </w:r>
      <w:r w:rsidR="005E00C2">
        <w:rPr>
          <w:spacing w:val="-2"/>
        </w:rPr>
        <w:t xml:space="preserve">offering better </w:t>
      </w:r>
      <w:r w:rsidRPr="003E5883">
        <w:t xml:space="preserve">support </w:t>
      </w:r>
      <w:r w:rsidR="005E00C2">
        <w:t xml:space="preserve">to </w:t>
      </w:r>
      <w:r w:rsidRPr="003E5883">
        <w:t>victims</w:t>
      </w:r>
      <w:proofErr w:type="gramStart"/>
      <w:r w:rsidRPr="003E5883">
        <w:t>;</w:t>
      </w:r>
      <w:proofErr w:type="gramEnd"/>
    </w:p>
    <w:p w14:paraId="4C275002" w14:textId="1A8986CB" w:rsidR="00D56DCA" w:rsidRPr="003E5883" w:rsidRDefault="00D56DCA" w:rsidP="00D56DCA">
      <w:pPr>
        <w:pStyle w:val="NormalHanging12a"/>
        <w:rPr>
          <w:spacing w:val="-2"/>
        </w:rPr>
      </w:pPr>
      <w:r w:rsidRPr="003E5883">
        <w:t>6.</w:t>
      </w:r>
      <w:r w:rsidRPr="003E5883">
        <w:tab/>
        <w:t>Highlights the need to raise awareness among women in order to provide proper information about all the tools and measures available to victims at each stage of the</w:t>
      </w:r>
      <w:r w:rsidR="005E00C2">
        <w:t xml:space="preserve"> </w:t>
      </w:r>
      <w:r w:rsidRPr="003E5883">
        <w:t xml:space="preserve">process and to </w:t>
      </w:r>
      <w:r w:rsidR="00644D26">
        <w:t xml:space="preserve">help them deal with </w:t>
      </w:r>
      <w:r w:rsidRPr="003E5883">
        <w:t>any act of violence</w:t>
      </w:r>
      <w:proofErr w:type="gramStart"/>
      <w:r w:rsidRPr="003E5883">
        <w:t>;</w:t>
      </w:r>
      <w:proofErr w:type="gramEnd"/>
    </w:p>
    <w:p w14:paraId="1B353957" w14:textId="0A897A6B" w:rsidR="00D56DCA" w:rsidRPr="003E5883" w:rsidRDefault="00D56DCA" w:rsidP="00D56DCA">
      <w:pPr>
        <w:pStyle w:val="NormalHanging12a"/>
        <w:rPr>
          <w:spacing w:val="-2"/>
        </w:rPr>
      </w:pPr>
      <w:r w:rsidRPr="003E5883">
        <w:t>7.</w:t>
      </w:r>
      <w:r w:rsidRPr="003E5883">
        <w:tab/>
        <w:t xml:space="preserve">Notes that violence against women is a crime </w:t>
      </w:r>
      <w:r w:rsidR="00644D26">
        <w:t xml:space="preserve">cited </w:t>
      </w:r>
      <w:r w:rsidRPr="003E5883">
        <w:t>in the national legislation of the Member States and falls within their competence, whether or not they ratify international treaties</w:t>
      </w:r>
      <w:proofErr w:type="gramStart"/>
      <w:r w:rsidRPr="003E5883">
        <w:t>;</w:t>
      </w:r>
      <w:proofErr w:type="gramEnd"/>
    </w:p>
    <w:p w14:paraId="63E58590" w14:textId="272DCF16" w:rsidR="00D56DCA" w:rsidRPr="003E5883" w:rsidRDefault="00D56DCA" w:rsidP="00D56DCA">
      <w:pPr>
        <w:pStyle w:val="NormalHanging12a"/>
        <w:rPr>
          <w:spacing w:val="-2"/>
        </w:rPr>
      </w:pPr>
      <w:r w:rsidRPr="003E5883">
        <w:t>8.</w:t>
      </w:r>
      <w:r w:rsidRPr="003E5883">
        <w:tab/>
      </w:r>
      <w:bookmarkStart w:id="0" w:name="_GoBack"/>
      <w:r w:rsidRPr="003E5883">
        <w:t xml:space="preserve">Notes that not all Member States have ratified the Istanbul </w:t>
      </w:r>
      <w:r w:rsidR="003A2550">
        <w:t>C</w:t>
      </w:r>
      <w:r w:rsidRPr="003E5883">
        <w:t xml:space="preserve">onvention, </w:t>
      </w:r>
      <w:bookmarkEnd w:id="0"/>
      <w:r w:rsidRPr="003E5883">
        <w:t xml:space="preserve">with their main concerns relating to a lack of predictability and uncertainty </w:t>
      </w:r>
      <w:r w:rsidR="004A49BF">
        <w:t xml:space="preserve">surrounding </w:t>
      </w:r>
      <w:r w:rsidRPr="003E5883">
        <w:t>national competences</w:t>
      </w:r>
      <w:proofErr w:type="gramStart"/>
      <w:r w:rsidRPr="003E5883">
        <w:t>;</w:t>
      </w:r>
      <w:proofErr w:type="gramEnd"/>
    </w:p>
    <w:p w14:paraId="7741BFAC" w14:textId="57CB3029" w:rsidR="00D56DCA" w:rsidRPr="003E5883" w:rsidRDefault="00D56DCA" w:rsidP="00D56DCA">
      <w:pPr>
        <w:pStyle w:val="NormalHanging12a"/>
        <w:rPr>
          <w:spacing w:val="-2"/>
        </w:rPr>
      </w:pPr>
      <w:r w:rsidRPr="003E5883">
        <w:t>9.</w:t>
      </w:r>
      <w:r w:rsidRPr="003E5883">
        <w:tab/>
        <w:t xml:space="preserve">Calls on the Council and the Commission to allow </w:t>
      </w:r>
      <w:r w:rsidR="003729F2">
        <w:t xml:space="preserve">the </w:t>
      </w:r>
      <w:r w:rsidRPr="003E5883">
        <w:t>Member States to make up their own minds about the convention, and to not consider delaying the EU</w:t>
      </w:r>
      <w:r w:rsidR="002B5FFA">
        <w:t>’</w:t>
      </w:r>
      <w:r w:rsidRPr="003E5883">
        <w:t xml:space="preserve">s accession until all </w:t>
      </w:r>
      <w:r w:rsidR="00644D26">
        <w:t xml:space="preserve">of the </w:t>
      </w:r>
      <w:r w:rsidRPr="003E5883">
        <w:t xml:space="preserve">Member States have chosen to ratify it </w:t>
      </w:r>
      <w:r w:rsidR="003729F2">
        <w:t>of</w:t>
      </w:r>
      <w:r w:rsidRPr="003E5883">
        <w:t xml:space="preserve"> their own volition</w:t>
      </w:r>
      <w:proofErr w:type="gramStart"/>
      <w:r w:rsidRPr="003E5883">
        <w:t>;</w:t>
      </w:r>
      <w:proofErr w:type="gramEnd"/>
    </w:p>
    <w:p w14:paraId="30632BF0" w14:textId="5D9C5045" w:rsidR="00D56DCA" w:rsidRPr="003E5883" w:rsidRDefault="00D56DCA" w:rsidP="00D56DCA">
      <w:pPr>
        <w:pStyle w:val="NormalHanging12a"/>
        <w:rPr>
          <w:spacing w:val="-2"/>
        </w:rPr>
      </w:pPr>
      <w:r w:rsidRPr="003E5883">
        <w:t>10.</w:t>
      </w:r>
      <w:r w:rsidRPr="003E5883">
        <w:tab/>
        <w:t xml:space="preserve">Urges the Member States to reject the definition of </w:t>
      </w:r>
      <w:r w:rsidR="002B5FFA">
        <w:t>‘</w:t>
      </w:r>
      <w:r w:rsidRPr="003E5883">
        <w:t>gender</w:t>
      </w:r>
      <w:r w:rsidR="002B5FFA">
        <w:t>’</w:t>
      </w:r>
      <w:r w:rsidRPr="003E5883">
        <w:t xml:space="preserve"> outlined in Article 3c of the Istanbul Convention, which redefines it as a social construct </w:t>
      </w:r>
      <w:r w:rsidR="00644D26">
        <w:t>bearing</w:t>
      </w:r>
      <w:r w:rsidRPr="003E5883">
        <w:t xml:space="preserve"> no relation to biology; </w:t>
      </w:r>
      <w:r w:rsidR="003729F2">
        <w:t>i</w:t>
      </w:r>
      <w:r w:rsidRPr="003E5883">
        <w:t xml:space="preserve">s concerned about the creation of a new </w:t>
      </w:r>
      <w:r w:rsidR="002B5FFA">
        <w:t>‘</w:t>
      </w:r>
      <w:r w:rsidRPr="003E5883">
        <w:t>gender identity</w:t>
      </w:r>
      <w:r w:rsidR="002B5FFA">
        <w:t>’</w:t>
      </w:r>
      <w:r w:rsidRPr="003E5883">
        <w:t xml:space="preserve"> category, as </w:t>
      </w:r>
      <w:r w:rsidR="003729F2">
        <w:rPr>
          <w:spacing w:val="-2"/>
        </w:rPr>
        <w:t>proposed</w:t>
      </w:r>
      <w:r w:rsidRPr="003E5883">
        <w:t xml:space="preserve"> in Article 4(3) of the Istanbul Convention;</w:t>
      </w:r>
    </w:p>
    <w:p w14:paraId="679952CD" w14:textId="7A531847" w:rsidR="00D56DCA" w:rsidRPr="003E5883" w:rsidRDefault="00D56DCA" w:rsidP="00D56DCA">
      <w:pPr>
        <w:pStyle w:val="NormalHanging12a"/>
        <w:rPr>
          <w:spacing w:val="-2"/>
        </w:rPr>
      </w:pPr>
      <w:r w:rsidRPr="003E5883">
        <w:t>11.</w:t>
      </w:r>
      <w:r w:rsidRPr="003E5883">
        <w:tab/>
        <w:t xml:space="preserve">Considers that the concerns of Member States relate to the legal basis of the Istanbul Convention </w:t>
      </w:r>
      <w:r w:rsidR="00644D26">
        <w:t xml:space="preserve">and </w:t>
      </w:r>
      <w:r w:rsidRPr="003E5883">
        <w:t>the lack of clarity it offers; considers that Parliament</w:t>
      </w:r>
      <w:r w:rsidR="002B5FFA">
        <w:t>’</w:t>
      </w:r>
      <w:r w:rsidRPr="003E5883">
        <w:t xml:space="preserve">s request to the Court for an opinion on the legality of extending the Council decision appears to be a </w:t>
      </w:r>
      <w:r w:rsidRPr="003E5883">
        <w:lastRenderedPageBreak/>
        <w:t xml:space="preserve">measure designed to gain a legal justification beyond the </w:t>
      </w:r>
      <w:r w:rsidR="00644D26">
        <w:t xml:space="preserve">provisions </w:t>
      </w:r>
      <w:r w:rsidRPr="003E5883">
        <w:t>of the convention;</w:t>
      </w:r>
    </w:p>
    <w:p w14:paraId="000A80A8" w14:textId="77777777" w:rsidR="00866D70" w:rsidRPr="003E5883" w:rsidRDefault="00D56DCA" w:rsidP="00D56DCA">
      <w:pPr>
        <w:pStyle w:val="NormalHanging12a"/>
      </w:pPr>
      <w:r w:rsidRPr="003E5883">
        <w:t>12.</w:t>
      </w:r>
      <w:r w:rsidRPr="003E5883">
        <w:tab/>
        <w:t>Instructs its President to forward this resolution to the Council, the Commission, the governments of the Member States and the Parliamentary Assembly of the Council of Europe.</w:t>
      </w:r>
    </w:p>
    <w:sectPr w:rsidR="00866D70" w:rsidRPr="003E5883" w:rsidSect="003E5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7B725" w14:textId="77777777" w:rsidR="00B87576" w:rsidRPr="003E5883" w:rsidRDefault="00B87576">
      <w:r w:rsidRPr="003E5883">
        <w:separator/>
      </w:r>
    </w:p>
  </w:endnote>
  <w:endnote w:type="continuationSeparator" w:id="0">
    <w:p w14:paraId="048B1BF6" w14:textId="77777777" w:rsidR="00B87576" w:rsidRPr="003E5883" w:rsidRDefault="00B87576">
      <w:r w:rsidRPr="003E5883">
        <w:continuationSeparator/>
      </w:r>
    </w:p>
  </w:endnote>
  <w:endnote w:type="continuationNotice" w:id="1">
    <w:p w14:paraId="0CE40A3D" w14:textId="77777777" w:rsidR="003A7FBE" w:rsidRPr="003E5883" w:rsidRDefault="003A7F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7B436" w14:textId="369E1506" w:rsidR="003A7FBE" w:rsidRPr="003E5883" w:rsidRDefault="003A7FBE" w:rsidP="003A7FBE">
    <w:pPr>
      <w:pStyle w:val="EPFooter"/>
    </w:pPr>
    <w:r w:rsidRPr="00AF2C7D">
      <w:t>PE</w:t>
    </w:r>
    <w:r w:rsidRPr="003E5883">
      <w:rPr>
        <w:rStyle w:val="HideTWBExt"/>
        <w:noProof w:val="0"/>
      </w:rPr>
      <w:t>&lt;NoPE&gt;</w:t>
    </w:r>
    <w:r w:rsidRPr="003E5883">
      <w:t>643.395</w:t>
    </w:r>
    <w:r w:rsidRPr="003E5883">
      <w:rPr>
        <w:rStyle w:val="HideTWBExt"/>
        <w:noProof w:val="0"/>
      </w:rPr>
      <w:t>&lt;/NoPE&gt;&lt;Version&gt;</w:t>
    </w:r>
    <w:r w:rsidRPr="003E5883">
      <w:t>v01-00</w:t>
    </w:r>
    <w:r w:rsidRPr="003E5883">
      <w:rPr>
        <w:rStyle w:val="HideTWBExt"/>
        <w:noProof w:val="0"/>
      </w:rPr>
      <w:t>&lt;/Version&gt;</w:t>
    </w:r>
    <w:r w:rsidRPr="003E5883">
      <w:tab/>
    </w:r>
    <w:r w:rsidRPr="003E5883">
      <w:fldChar w:fldCharType="begin"/>
    </w:r>
    <w:r w:rsidRPr="003E5883">
      <w:instrText xml:space="preserve"> PAGE  \* MERGEFORMAT </w:instrText>
    </w:r>
    <w:r w:rsidRPr="003E5883">
      <w:fldChar w:fldCharType="separate"/>
    </w:r>
    <w:r w:rsidR="006D5786">
      <w:rPr>
        <w:noProof/>
      </w:rPr>
      <w:t>4</w:t>
    </w:r>
    <w:r w:rsidRPr="003E5883">
      <w:fldChar w:fldCharType="end"/>
    </w:r>
    <w:r w:rsidRPr="00AF2C7D">
      <w:t>/</w:t>
    </w:r>
    <w:r w:rsidR="006D5786">
      <w:fldChar w:fldCharType="begin"/>
    </w:r>
    <w:r w:rsidR="006D5786">
      <w:instrText xml:space="preserve"> NUMPAGES  \* MERGEFORMAT </w:instrText>
    </w:r>
    <w:r w:rsidR="006D5786">
      <w:fldChar w:fldCharType="separate"/>
    </w:r>
    <w:r w:rsidR="006D5786">
      <w:rPr>
        <w:noProof/>
      </w:rPr>
      <w:t>4</w:t>
    </w:r>
    <w:r w:rsidR="006D5786">
      <w:rPr>
        <w:noProof/>
      </w:rPr>
      <w:fldChar w:fldCharType="end"/>
    </w:r>
    <w:r w:rsidRPr="00AF2C7D">
      <w:tab/>
    </w:r>
    <w:r w:rsidRPr="003E5883">
      <w:rPr>
        <w:rStyle w:val="HideTWBExt"/>
        <w:noProof w:val="0"/>
      </w:rPr>
      <w:t>&lt;PathFdR&gt;</w:t>
    </w:r>
    <w:r w:rsidR="00AF2C7D" w:rsidRPr="003E5883">
      <w:t>RE\1193500EN.docx</w:t>
    </w:r>
    <w:r w:rsidRPr="003E5883">
      <w:rPr>
        <w:rStyle w:val="HideTWBExt"/>
        <w:noProof w:val="0"/>
      </w:rPr>
      <w:t>&lt;/PathFdR&gt;</w:t>
    </w:r>
  </w:p>
  <w:p w14:paraId="391324D5" w14:textId="77777777" w:rsidR="005D4F9A" w:rsidRPr="003E5883" w:rsidRDefault="003A7FBE" w:rsidP="003A7FBE">
    <w:pPr>
      <w:pStyle w:val="EPFooter2"/>
    </w:pPr>
    <w:r w:rsidRPr="003E5883">
      <w:t>EN</w:t>
    </w:r>
  </w:p>
  <w:p w14:paraId="1F66F401" w14:textId="04346393" w:rsidR="00A90219" w:rsidRPr="003E5883" w:rsidRDefault="005D4F9A" w:rsidP="005D4F9A">
    <w:pPr>
      <w:pStyle w:val="EPFooter2"/>
    </w:pPr>
    <w:r w:rsidRPr="003E5883">
      <w:t>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3D62D" w14:textId="04AB39DF" w:rsidR="003A7FBE" w:rsidRPr="003E5883" w:rsidRDefault="003A7FBE" w:rsidP="003A7FBE">
    <w:pPr>
      <w:pStyle w:val="EPFooter"/>
    </w:pPr>
    <w:r w:rsidRPr="003E5883">
      <w:rPr>
        <w:rStyle w:val="HideTWBExt"/>
        <w:noProof w:val="0"/>
      </w:rPr>
      <w:t>&lt;PathFdR&gt;</w:t>
    </w:r>
    <w:r w:rsidR="00AF2C7D" w:rsidRPr="003E5883">
      <w:t>RE\1193500EN.docx</w:t>
    </w:r>
    <w:r w:rsidRPr="003E5883">
      <w:rPr>
        <w:rStyle w:val="HideTWBExt"/>
        <w:noProof w:val="0"/>
      </w:rPr>
      <w:t>&lt;/PathFdR&gt;</w:t>
    </w:r>
    <w:r w:rsidRPr="003E5883">
      <w:tab/>
    </w:r>
    <w:r w:rsidRPr="003E5883">
      <w:fldChar w:fldCharType="begin"/>
    </w:r>
    <w:r w:rsidRPr="003E5883">
      <w:instrText xml:space="preserve"> PAGE  \* MERGEFORMAT </w:instrText>
    </w:r>
    <w:r w:rsidRPr="003E5883">
      <w:fldChar w:fldCharType="separate"/>
    </w:r>
    <w:r w:rsidR="006D5786">
      <w:rPr>
        <w:noProof/>
      </w:rPr>
      <w:t>3</w:t>
    </w:r>
    <w:r w:rsidRPr="003E5883">
      <w:fldChar w:fldCharType="end"/>
    </w:r>
    <w:r w:rsidRPr="003E5883">
      <w:t>/</w:t>
    </w:r>
    <w:r w:rsidR="006D5786">
      <w:fldChar w:fldCharType="begin"/>
    </w:r>
    <w:r w:rsidR="006D5786">
      <w:instrText xml:space="preserve"> NUMPAGES  \* MERGEFORMAT </w:instrText>
    </w:r>
    <w:r w:rsidR="006D5786">
      <w:fldChar w:fldCharType="separate"/>
    </w:r>
    <w:r w:rsidR="006D5786">
      <w:rPr>
        <w:noProof/>
      </w:rPr>
      <w:t>4</w:t>
    </w:r>
    <w:r w:rsidR="006D5786">
      <w:rPr>
        <w:noProof/>
      </w:rPr>
      <w:fldChar w:fldCharType="end"/>
    </w:r>
    <w:r w:rsidRPr="003E5883">
      <w:tab/>
      <w:t>PE</w:t>
    </w:r>
    <w:r w:rsidRPr="003E5883">
      <w:rPr>
        <w:rStyle w:val="HideTWBExt"/>
        <w:noProof w:val="0"/>
      </w:rPr>
      <w:t>&lt;NoPE&gt;</w:t>
    </w:r>
    <w:r w:rsidRPr="003E5883">
      <w:t>643.395</w:t>
    </w:r>
    <w:r w:rsidRPr="003E5883">
      <w:rPr>
        <w:rStyle w:val="HideTWBExt"/>
        <w:noProof w:val="0"/>
      </w:rPr>
      <w:t>&lt;/NoPE&gt;&lt;Version&gt;</w:t>
    </w:r>
    <w:r w:rsidRPr="003E5883">
      <w:t>v01-00</w:t>
    </w:r>
    <w:r w:rsidRPr="003E5883">
      <w:rPr>
        <w:rStyle w:val="HideTWBExt"/>
        <w:noProof w:val="0"/>
      </w:rPr>
      <w:t>&lt;/Version&gt;</w:t>
    </w:r>
  </w:p>
  <w:p w14:paraId="5DEC614B" w14:textId="0B263307" w:rsidR="00A90219" w:rsidRPr="003E5883" w:rsidRDefault="003A7FBE" w:rsidP="003A7FBE">
    <w:pPr>
      <w:pStyle w:val="EPFooter2"/>
    </w:pPr>
    <w:r w:rsidRPr="003E5883">
      <w:tab/>
    </w:r>
    <w:r w:rsidRPr="003E5883">
      <w:tab/>
      <w:t>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5C319" w14:textId="4F51CEB3" w:rsidR="003A7FBE" w:rsidRPr="003E5883" w:rsidRDefault="003A7FBE" w:rsidP="003A7FBE">
    <w:pPr>
      <w:pStyle w:val="EPFooter"/>
    </w:pPr>
    <w:r w:rsidRPr="00AF2C7D">
      <w:rPr>
        <w:rStyle w:val="HideTWBExt"/>
        <w:noProof w:val="0"/>
      </w:rPr>
      <w:t>&lt;PathFdR&gt;</w:t>
    </w:r>
    <w:r w:rsidR="00AF2C7D" w:rsidRPr="003E5883">
      <w:t>RE\1193500EN.docx</w:t>
    </w:r>
    <w:r w:rsidRPr="003E5883">
      <w:rPr>
        <w:rStyle w:val="HideTWBExt"/>
        <w:noProof w:val="0"/>
      </w:rPr>
      <w:t>&lt;/PathFdR&gt;</w:t>
    </w:r>
    <w:r w:rsidRPr="003E5883">
      <w:tab/>
    </w:r>
    <w:r w:rsidRPr="003E5883">
      <w:tab/>
      <w:t>PE</w:t>
    </w:r>
    <w:r w:rsidRPr="003E5883">
      <w:rPr>
        <w:rStyle w:val="HideTWBExt"/>
        <w:noProof w:val="0"/>
      </w:rPr>
      <w:t>&lt;NoPE&gt;</w:t>
    </w:r>
    <w:r w:rsidRPr="003E5883">
      <w:t>643.395</w:t>
    </w:r>
    <w:r w:rsidRPr="003E5883">
      <w:rPr>
        <w:rStyle w:val="HideTWBExt"/>
        <w:noProof w:val="0"/>
      </w:rPr>
      <w:t>&lt;/NoPE&gt;&lt;Version&gt;</w:t>
    </w:r>
    <w:r w:rsidRPr="003E5883">
      <w:t>v01-00</w:t>
    </w:r>
    <w:r w:rsidRPr="003E5883">
      <w:rPr>
        <w:rStyle w:val="HideTWBExt"/>
        <w:noProof w:val="0"/>
      </w:rPr>
      <w:t>&lt;/Version&gt;</w:t>
    </w:r>
  </w:p>
  <w:p w14:paraId="589E2D29" w14:textId="4D4F1C9F" w:rsidR="00A90219" w:rsidRPr="003E5883" w:rsidRDefault="003A7FBE" w:rsidP="003A7FBE">
    <w:pPr>
      <w:pStyle w:val="EPFooter2"/>
    </w:pPr>
    <w:r w:rsidRPr="003E5883">
      <w:t>EN</w:t>
    </w:r>
    <w:r w:rsidRPr="003E5883">
      <w:tab/>
    </w:r>
    <w:r w:rsidRPr="003E5883">
      <w:rPr>
        <w:b w:val="0"/>
        <w:i/>
        <w:color w:val="C0C0C0"/>
        <w:sz w:val="22"/>
      </w:rPr>
      <w:t>United in diversity</w:t>
    </w:r>
    <w:r w:rsidRPr="003E5883">
      <w:tab/>
      <w:t>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64100" w14:textId="77777777" w:rsidR="00B87576" w:rsidRPr="00AF2C7D" w:rsidRDefault="00B87576">
      <w:r w:rsidRPr="00AF2C7D">
        <w:separator/>
      </w:r>
    </w:p>
  </w:footnote>
  <w:footnote w:type="continuationSeparator" w:id="0">
    <w:p w14:paraId="5CABAFBD" w14:textId="77777777" w:rsidR="00B87576" w:rsidRPr="003E5883" w:rsidRDefault="00B87576">
      <w:r w:rsidRPr="003E5883">
        <w:continuationSeparator/>
      </w:r>
    </w:p>
  </w:footnote>
  <w:footnote w:type="continuationNotice" w:id="1">
    <w:p w14:paraId="35ED1318" w14:textId="77777777" w:rsidR="003A7FBE" w:rsidRPr="003E5883" w:rsidRDefault="003A7FBE"/>
  </w:footnote>
  <w:footnote w:id="2">
    <w:p w14:paraId="353FE031" w14:textId="77777777" w:rsidR="003A7FBE" w:rsidRPr="003E5883" w:rsidRDefault="003A7FBE" w:rsidP="003A7FBE">
      <w:pPr>
        <w:pStyle w:val="FootnoteText"/>
      </w:pPr>
      <w:r w:rsidRPr="00AF2C7D">
        <w:rPr>
          <w:rStyle w:val="FootnoteReference"/>
        </w:rPr>
        <w:footnoteRef/>
      </w:r>
      <w:r w:rsidRPr="00AF2C7D">
        <w:rPr>
          <w:rStyle w:val="FootnoteReference"/>
        </w:rPr>
        <w:t xml:space="preserve"> </w:t>
      </w:r>
      <w:r w:rsidRPr="003E5883">
        <w:t>OJ L 131, 20.5.2017, p. 11.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59A28" w14:textId="77777777" w:rsidR="003E5883" w:rsidRDefault="003E5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67349" w14:textId="77777777" w:rsidR="003E5883" w:rsidRDefault="003E58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E298" w14:textId="77777777" w:rsidR="003E5883" w:rsidRDefault="003E58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303056"/>
    <w:multiLevelType w:val="hybridMultilevel"/>
    <w:tmpl w:val="80664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635BB"/>
    <w:multiLevelType w:val="hybridMultilevel"/>
    <w:tmpl w:val="630662A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1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MNU" w:val=" 2"/>
    <w:docVar w:name="LastEditedSection" w:val=" 1"/>
    <w:docVar w:name="STATMNU" w:val=" 7"/>
    <w:docVar w:name="strDocTypeID" w:val="RE_Statements"/>
    <w:docVar w:name="strSubDir" w:val="1193"/>
    <w:docVar w:name="TXTLANGUE" w:val="EN"/>
    <w:docVar w:name="TXTLANGUEMIN" w:val="en"/>
    <w:docVar w:name="TXTNRB" w:val="0226/2019"/>
    <w:docVar w:name="TXTNRPE" w:val="643.395"/>
    <w:docVar w:name="TXTNRRSP" w:val="2019/2855"/>
    <w:docVar w:name="TXTPEorAP" w:val="PE"/>
    <w:docVar w:name="TXTROUTE" w:val="RE\1193500EN.docx"/>
    <w:docVar w:name="TXTTITLE" w:val="EU accession to the Istanbul Convention and other measures to combat gender-based violence"/>
    <w:docVar w:name="TXTVERSION" w:val="01-00"/>
  </w:docVars>
  <w:rsids>
    <w:rsidRoot w:val="00B87576"/>
    <w:rsid w:val="00037F46"/>
    <w:rsid w:val="00094DDA"/>
    <w:rsid w:val="00117781"/>
    <w:rsid w:val="001B49A3"/>
    <w:rsid w:val="001B7CFB"/>
    <w:rsid w:val="001C16A7"/>
    <w:rsid w:val="001C62C5"/>
    <w:rsid w:val="001E2450"/>
    <w:rsid w:val="00222BBB"/>
    <w:rsid w:val="002273E5"/>
    <w:rsid w:val="002574AA"/>
    <w:rsid w:val="002B5FFA"/>
    <w:rsid w:val="002C7767"/>
    <w:rsid w:val="002D6C52"/>
    <w:rsid w:val="00303413"/>
    <w:rsid w:val="003729F2"/>
    <w:rsid w:val="003772FA"/>
    <w:rsid w:val="003A2550"/>
    <w:rsid w:val="003A7FBE"/>
    <w:rsid w:val="003E5883"/>
    <w:rsid w:val="00411D03"/>
    <w:rsid w:val="00412503"/>
    <w:rsid w:val="00471D62"/>
    <w:rsid w:val="004A49BF"/>
    <w:rsid w:val="004B5166"/>
    <w:rsid w:val="00516BD3"/>
    <w:rsid w:val="0058312A"/>
    <w:rsid w:val="005D4F9A"/>
    <w:rsid w:val="005D6861"/>
    <w:rsid w:val="005E00C2"/>
    <w:rsid w:val="00644D26"/>
    <w:rsid w:val="00654CBD"/>
    <w:rsid w:val="006726A1"/>
    <w:rsid w:val="006A27B7"/>
    <w:rsid w:val="006D5786"/>
    <w:rsid w:val="006F48B8"/>
    <w:rsid w:val="00706BC0"/>
    <w:rsid w:val="00723A0B"/>
    <w:rsid w:val="00780A7D"/>
    <w:rsid w:val="00794D4D"/>
    <w:rsid w:val="007E1E11"/>
    <w:rsid w:val="00814BC6"/>
    <w:rsid w:val="008278C0"/>
    <w:rsid w:val="00866D70"/>
    <w:rsid w:val="008A4052"/>
    <w:rsid w:val="008D7B31"/>
    <w:rsid w:val="00907285"/>
    <w:rsid w:val="00910F7E"/>
    <w:rsid w:val="00981ED6"/>
    <w:rsid w:val="009D24DE"/>
    <w:rsid w:val="00A32337"/>
    <w:rsid w:val="00A4763A"/>
    <w:rsid w:val="00A516B8"/>
    <w:rsid w:val="00A90219"/>
    <w:rsid w:val="00AF2C7D"/>
    <w:rsid w:val="00AF4C5E"/>
    <w:rsid w:val="00B34A46"/>
    <w:rsid w:val="00B87576"/>
    <w:rsid w:val="00B90331"/>
    <w:rsid w:val="00BC3002"/>
    <w:rsid w:val="00BF2C2D"/>
    <w:rsid w:val="00C23264"/>
    <w:rsid w:val="00CC09D8"/>
    <w:rsid w:val="00CE5BD4"/>
    <w:rsid w:val="00D12F64"/>
    <w:rsid w:val="00D44718"/>
    <w:rsid w:val="00D56DCA"/>
    <w:rsid w:val="00D90D37"/>
    <w:rsid w:val="00DF7943"/>
    <w:rsid w:val="00E53167"/>
    <w:rsid w:val="00EA43FB"/>
    <w:rsid w:val="00EC05E9"/>
    <w:rsid w:val="00ED05DD"/>
    <w:rsid w:val="00ED22B8"/>
    <w:rsid w:val="00F02A2C"/>
    <w:rsid w:val="00F26DE8"/>
    <w:rsid w:val="00F4455A"/>
    <w:rsid w:val="00F54E47"/>
    <w:rsid w:val="00F7050A"/>
    <w:rsid w:val="00F9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EA9A3"/>
  <w15:chartTrackingRefBased/>
  <w15:docId w15:val="{F00E1E13-59CD-49AB-9529-CADB27C0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semiHidden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718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customStyle="1" w:styleId="EPComma">
    <w:name w:val="EPComma"/>
    <w:basedOn w:val="Normal"/>
    <w:rsid w:val="00DF7943"/>
    <w:pPr>
      <w:spacing w:before="480" w:after="240"/>
    </w:pPr>
  </w:style>
  <w:style w:type="paragraph" w:styleId="TOC1">
    <w:name w:val="toc 1"/>
    <w:basedOn w:val="EPComma"/>
    <w:next w:val="EPComma"/>
    <w:autoRedefine/>
    <w:semiHidden/>
  </w:style>
  <w:style w:type="paragraph" w:styleId="TOCHeading">
    <w:name w:val="TOC Heading"/>
    <w:basedOn w:val="Normal"/>
    <w:next w:val="Normal"/>
    <w:semiHidden/>
    <w:qFormat/>
    <w:pPr>
      <w:keepNext/>
      <w:spacing w:before="240" w:after="240"/>
      <w:jc w:val="center"/>
    </w:pPr>
    <w:rPr>
      <w:rFonts w:ascii="Arial" w:hAnsi="Arial"/>
      <w:b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Bold12a">
    <w:name w:val="NormalBold12a"/>
    <w:basedOn w:val="Normal"/>
    <w:pPr>
      <w:spacing w:after="240"/>
    </w:pPr>
    <w:rPr>
      <w:b/>
    </w:rPr>
  </w:style>
  <w:style w:type="paragraph" w:customStyle="1" w:styleId="NormalHanging12a">
    <w:name w:val="NormalHanging12a"/>
    <w:basedOn w:val="Normal"/>
    <w:pPr>
      <w:spacing w:after="240"/>
      <w:ind w:left="567" w:hanging="567"/>
    </w:pPr>
  </w:style>
  <w:style w:type="paragraph" w:customStyle="1" w:styleId="CoverBold">
    <w:name w:val="CoverBold"/>
    <w:basedOn w:val="Normal"/>
    <w:rsid w:val="00B90331"/>
    <w:pPr>
      <w:ind w:left="1417"/>
    </w:pPr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CoverNormal12a">
    <w:name w:val="CoverNormal12a"/>
    <w:basedOn w:val="Normal"/>
    <w:rsid w:val="00B90331"/>
    <w:pPr>
      <w:spacing w:after="240"/>
      <w:ind w:left="1418"/>
    </w:pPr>
  </w:style>
  <w:style w:type="paragraph" w:customStyle="1" w:styleId="CoverNormal24a">
    <w:name w:val="CoverNormal24a"/>
    <w:basedOn w:val="Normal"/>
    <w:rsid w:val="00B90331"/>
    <w:pPr>
      <w:spacing w:after="480"/>
      <w:ind w:left="1417"/>
    </w:pPr>
  </w:style>
  <w:style w:type="paragraph" w:customStyle="1" w:styleId="CoverDocType24a">
    <w:name w:val="CoverDocType24a"/>
    <w:basedOn w:val="Normal"/>
    <w:rsid w:val="00EC05E9"/>
    <w:pPr>
      <w:spacing w:after="480"/>
      <w:ind w:left="1418"/>
    </w:pPr>
    <w:rPr>
      <w:rFonts w:ascii="Arial" w:hAnsi="Arial"/>
      <w:b/>
      <w:sz w:val="48"/>
    </w:rPr>
  </w:style>
  <w:style w:type="paragraph" w:styleId="Header">
    <w:name w:val="header"/>
    <w:basedOn w:val="Normal"/>
    <w:link w:val="HeaderChar"/>
    <w:semiHidden/>
    <w:rsid w:val="007E1E1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E53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E53167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E53167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094DDA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EPName">
    <w:name w:val="EPName"/>
    <w:basedOn w:val="Normal"/>
    <w:rsid w:val="00706BC0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706BC0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06BC0"/>
    <w:pPr>
      <w:jc w:val="right"/>
    </w:pPr>
  </w:style>
  <w:style w:type="paragraph" w:customStyle="1" w:styleId="CoverReference">
    <w:name w:val="CoverReference"/>
    <w:basedOn w:val="Normal"/>
    <w:rsid w:val="00094DDA"/>
    <w:pPr>
      <w:spacing w:before="1080"/>
      <w:jc w:val="right"/>
    </w:pPr>
    <w:rPr>
      <w:rFonts w:ascii="Arial" w:hAnsi="Arial" w:cs="Arial"/>
      <w:b/>
    </w:rPr>
  </w:style>
  <w:style w:type="paragraph" w:customStyle="1" w:styleId="CoverDate">
    <w:name w:val="CoverDate"/>
    <w:basedOn w:val="Normal"/>
    <w:rsid w:val="00094DDA"/>
    <w:pPr>
      <w:spacing w:before="240" w:after="1200"/>
    </w:pPr>
  </w:style>
  <w:style w:type="paragraph" w:customStyle="1" w:styleId="EPFooter">
    <w:name w:val="EPFooter"/>
    <w:basedOn w:val="Normal"/>
    <w:rsid w:val="00EC05E9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HeaderChar">
    <w:name w:val="Header Char"/>
    <w:basedOn w:val="DefaultParagraphFont"/>
    <w:link w:val="Header"/>
    <w:semiHidden/>
    <w:rsid w:val="007E1E11"/>
    <w:rPr>
      <w:sz w:val="24"/>
    </w:rPr>
  </w:style>
  <w:style w:type="paragraph" w:customStyle="1" w:styleId="Normal12Hanging">
    <w:name w:val="Normal12Hanging"/>
    <w:basedOn w:val="Normal"/>
    <w:rsid w:val="00D56DCA"/>
    <w:pPr>
      <w:spacing w:after="240"/>
      <w:ind w:left="567" w:hanging="567"/>
    </w:pPr>
  </w:style>
  <w:style w:type="paragraph" w:styleId="ListParagraph">
    <w:name w:val="List Paragraph"/>
    <w:basedOn w:val="Normal"/>
    <w:uiPriority w:val="34"/>
    <w:qFormat/>
    <w:rsid w:val="00D56DCA"/>
    <w:pPr>
      <w:ind w:left="720"/>
      <w:contextualSpacing/>
    </w:pPr>
    <w:rPr>
      <w:snapToGrid w:val="0"/>
      <w:sz w:val="20"/>
      <w:lang w:eastAsia="en-US"/>
    </w:rPr>
  </w:style>
  <w:style w:type="character" w:styleId="CommentReference">
    <w:name w:val="annotation reference"/>
    <w:basedOn w:val="DefaultParagraphFont"/>
    <w:rsid w:val="00D56D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6DC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56DCA"/>
  </w:style>
  <w:style w:type="paragraph" w:styleId="CommentSubject">
    <w:name w:val="annotation subject"/>
    <w:basedOn w:val="CommentText"/>
    <w:next w:val="CommentText"/>
    <w:link w:val="CommentSubjectChar"/>
    <w:rsid w:val="00D56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6DCA"/>
    <w:rPr>
      <w:b/>
      <w:bCs/>
    </w:rPr>
  </w:style>
  <w:style w:type="paragraph" w:styleId="BalloonText">
    <w:name w:val="Balloon Text"/>
    <w:basedOn w:val="Normal"/>
    <w:link w:val="BalloonTextChar"/>
    <w:rsid w:val="00D56D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56DC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semiHidden/>
    <w:rsid w:val="00D56D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D56DCA"/>
    <w:rPr>
      <w:sz w:val="24"/>
    </w:rPr>
  </w:style>
  <w:style w:type="paragraph" w:styleId="FootnoteText">
    <w:name w:val="footnote text"/>
    <w:basedOn w:val="Normal"/>
    <w:link w:val="FootnoteTextChar"/>
    <w:rsid w:val="003A7FB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A7FBE"/>
  </w:style>
  <w:style w:type="character" w:styleId="FootnoteReference">
    <w:name w:val="footnote reference"/>
    <w:basedOn w:val="DefaultParagraphFont"/>
    <w:rsid w:val="003A7FBE"/>
    <w:rPr>
      <w:vertAlign w:val="superscript"/>
    </w:rPr>
  </w:style>
  <w:style w:type="paragraph" w:styleId="Revision">
    <w:name w:val="Revision"/>
    <w:hidden/>
    <w:uiPriority w:val="99"/>
    <w:semiHidden/>
    <w:rsid w:val="003E58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RE_Statements</vt:lpstr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RE_Statements</dc:title>
  <dc:subject/>
  <dc:creator>DE WILDE Alice</dc:creator>
  <cp:keywords/>
  <dc:description/>
  <cp:lastModifiedBy>KINGETT Elizabeth Jane</cp:lastModifiedBy>
  <cp:revision>2</cp:revision>
  <cp:lastPrinted>2019-11-26T15:35:00Z</cp:lastPrinted>
  <dcterms:created xsi:type="dcterms:W3CDTF">2019-11-26T18:53:00Z</dcterms:created>
  <dcterms:modified xsi:type="dcterms:W3CDTF">2019-11-26T18:53:00Z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9.8.0 Build [20191010]</vt:lpwstr>
  </property>
  <property fmtid="{D5CDD505-2E9C-101B-9397-08002B2CF9AE}" pid="4" name="LastEdited with">
    <vt:lpwstr>9.8.0 Build [20191010]</vt:lpwstr>
  </property>
  <property fmtid="{D5CDD505-2E9C-101B-9397-08002B2CF9AE}" pid="5" name="&lt;FdR&gt;">
    <vt:lpwstr>1193500</vt:lpwstr>
  </property>
  <property fmtid="{D5CDD505-2E9C-101B-9397-08002B2CF9AE}" pid="6" name="&lt;Type&gt;">
    <vt:lpwstr>RE</vt:lpwstr>
  </property>
  <property fmtid="{D5CDD505-2E9C-101B-9397-08002B2CF9AE}" pid="7" name="&lt;ModelCod&gt;">
    <vt:lpwstr>\\eiciLUXpr1\pdocep$\DocEP\DOCS\General\RE\RE_Statements.dotx(15/10/2019 06:18:29)</vt:lpwstr>
  </property>
  <property fmtid="{D5CDD505-2E9C-101B-9397-08002B2CF9AE}" pid="8" name="&lt;ModelTra&gt;">
    <vt:lpwstr>\\eiciLUXpr1\pdocep$\DocEP\TRANSFIL\EN\RE_Statements.EN(25/06/2019 11:01:00)</vt:lpwstr>
  </property>
  <property fmtid="{D5CDD505-2E9C-101B-9397-08002B2CF9AE}" pid="9" name="&lt;Model&gt;">
    <vt:lpwstr>RE_Statements</vt:lpwstr>
  </property>
  <property fmtid="{D5CDD505-2E9C-101B-9397-08002B2CF9AE}" pid="10" name="FooterPath">
    <vt:lpwstr>RE\1193500EN.docx</vt:lpwstr>
  </property>
  <property fmtid="{D5CDD505-2E9C-101B-9397-08002B2CF9AE}" pid="11" name="PE number">
    <vt:lpwstr>643.395</vt:lpwstr>
  </property>
  <property fmtid="{D5CDD505-2E9C-101B-9397-08002B2CF9AE}" pid="12" name="Bookout">
    <vt:lpwstr/>
  </property>
  <property fmtid="{D5CDD505-2E9C-101B-9397-08002B2CF9AE}" pid="13" name="SubscribeElise">
    <vt:lpwstr/>
  </property>
</Properties>
</file>