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AD2E0B" w:rsidRPr="0058380E" w:rsidTr="00387D59">
        <w:trPr>
          <w:trHeight w:hRule="exact" w:val="1418"/>
        </w:trPr>
        <w:tc>
          <w:tcPr>
            <w:tcW w:w="6804" w:type="dxa"/>
            <w:shd w:val="clear" w:color="auto" w:fill="auto"/>
            <w:vAlign w:val="center"/>
          </w:tcPr>
          <w:p w:rsidR="00AD2E0B" w:rsidRPr="0058380E" w:rsidRDefault="00B224E2" w:rsidP="00387D59">
            <w:pPr>
              <w:pStyle w:val="EPName"/>
            </w:pPr>
            <w:bookmarkStart w:id="0" w:name="_GoBack"/>
            <w:bookmarkEnd w:id="0"/>
            <w:r w:rsidRPr="0058380E">
              <w:t>Europaparlamentet</w:t>
            </w:r>
          </w:p>
          <w:p w:rsidR="00AD2E0B" w:rsidRPr="0058380E" w:rsidRDefault="009B2709" w:rsidP="009B2709">
            <w:pPr>
              <w:pStyle w:val="EPTerm"/>
              <w:rPr>
                <w:rStyle w:val="HideTWBExt"/>
                <w:noProof w:val="0"/>
                <w:vanish w:val="0"/>
                <w:color w:val="auto"/>
              </w:rPr>
            </w:pPr>
            <w:r w:rsidRPr="0058380E">
              <w:t>2019-2024</w:t>
            </w:r>
          </w:p>
        </w:tc>
        <w:tc>
          <w:tcPr>
            <w:tcW w:w="2268" w:type="dxa"/>
            <w:shd w:val="clear" w:color="auto" w:fill="auto"/>
          </w:tcPr>
          <w:p w:rsidR="00AD2E0B" w:rsidRPr="0058380E" w:rsidRDefault="0058380E" w:rsidP="00387D59">
            <w:pPr>
              <w:pStyle w:val="EPLogo"/>
            </w:pPr>
            <w:r w:rsidRPr="005838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6pt">
                  <v:imagedata r:id="rId7" o:title="EP logo RGB_Mute"/>
                </v:shape>
              </w:pict>
            </w:r>
          </w:p>
        </w:tc>
      </w:tr>
    </w:tbl>
    <w:p w:rsidR="00233823" w:rsidRPr="0058380E" w:rsidRDefault="00233823" w:rsidP="00233823">
      <w:pPr>
        <w:pStyle w:val="LineTop"/>
      </w:pPr>
    </w:p>
    <w:p w:rsidR="00233823" w:rsidRPr="0058380E" w:rsidRDefault="00233823" w:rsidP="00233823">
      <w:pPr>
        <w:pStyle w:val="ZCommittee"/>
      </w:pPr>
      <w:r w:rsidRPr="0058380E">
        <w:rPr>
          <w:rStyle w:val="HideTWBExt"/>
          <w:noProof w:val="0"/>
        </w:rPr>
        <w:t>&lt;</w:t>
      </w:r>
      <w:r w:rsidRPr="0058380E">
        <w:rPr>
          <w:rStyle w:val="HideTWBExt"/>
          <w:i w:val="0"/>
          <w:noProof w:val="0"/>
        </w:rPr>
        <w:t>Commission</w:t>
      </w:r>
      <w:r w:rsidRPr="0058380E">
        <w:rPr>
          <w:rStyle w:val="HideTWBExt"/>
          <w:noProof w:val="0"/>
        </w:rPr>
        <w:t>&gt;</w:t>
      </w:r>
      <w:r w:rsidRPr="0058380E">
        <w:rPr>
          <w:rStyle w:val="HideTWBInt"/>
          <w:i w:val="0"/>
        </w:rPr>
        <w:t>{BUDG}</w:t>
      </w:r>
      <w:r w:rsidRPr="0058380E">
        <w:t>Budgetutskottet</w:t>
      </w:r>
      <w:r w:rsidRPr="0058380E">
        <w:rPr>
          <w:rStyle w:val="HideTWBExt"/>
          <w:noProof w:val="0"/>
        </w:rPr>
        <w:t>&lt;/</w:t>
      </w:r>
      <w:r w:rsidRPr="0058380E">
        <w:rPr>
          <w:rStyle w:val="HideTWBExt"/>
          <w:i w:val="0"/>
          <w:noProof w:val="0"/>
        </w:rPr>
        <w:t>Commission</w:t>
      </w:r>
      <w:r w:rsidRPr="0058380E">
        <w:rPr>
          <w:rStyle w:val="HideTWBExt"/>
          <w:noProof w:val="0"/>
        </w:rPr>
        <w:t>&gt;</w:t>
      </w:r>
    </w:p>
    <w:p w:rsidR="00233823" w:rsidRPr="0058380E" w:rsidRDefault="00233823" w:rsidP="00233823">
      <w:pPr>
        <w:pStyle w:val="LineBottom"/>
      </w:pPr>
    </w:p>
    <w:p w:rsidR="00C23ADB" w:rsidRPr="0058380E" w:rsidRDefault="00C23ADB">
      <w:pPr>
        <w:pStyle w:val="RefProc"/>
      </w:pPr>
      <w:r w:rsidRPr="0058380E">
        <w:rPr>
          <w:rStyle w:val="HideTWBExt"/>
          <w:b w:val="0"/>
          <w:noProof w:val="0"/>
        </w:rPr>
        <w:t>&lt;</w:t>
      </w:r>
      <w:r w:rsidRPr="0058380E">
        <w:rPr>
          <w:rStyle w:val="HideTWBExt"/>
          <w:b w:val="0"/>
          <w:caps w:val="0"/>
          <w:noProof w:val="0"/>
        </w:rPr>
        <w:t>RefProc</w:t>
      </w:r>
      <w:r w:rsidRPr="0058380E">
        <w:rPr>
          <w:rStyle w:val="HideTWBExt"/>
          <w:b w:val="0"/>
          <w:noProof w:val="0"/>
        </w:rPr>
        <w:t>&gt;</w:t>
      </w:r>
      <w:r w:rsidRPr="0058380E">
        <w:t>2019/2022</w:t>
      </w:r>
      <w:r w:rsidRPr="0058380E">
        <w:rPr>
          <w:rStyle w:val="HideTWBExt"/>
          <w:b w:val="0"/>
          <w:noProof w:val="0"/>
        </w:rPr>
        <w:t>&lt;/</w:t>
      </w:r>
      <w:r w:rsidRPr="0058380E">
        <w:rPr>
          <w:rStyle w:val="HideTWBExt"/>
          <w:b w:val="0"/>
          <w:caps w:val="0"/>
          <w:noProof w:val="0"/>
        </w:rPr>
        <w:t>RefProc</w:t>
      </w:r>
      <w:r w:rsidRPr="0058380E">
        <w:rPr>
          <w:rStyle w:val="HideTWBExt"/>
          <w:b w:val="0"/>
          <w:noProof w:val="0"/>
        </w:rPr>
        <w:t>&gt;&lt;</w:t>
      </w:r>
      <w:r w:rsidRPr="0058380E">
        <w:rPr>
          <w:rStyle w:val="HideTWBExt"/>
          <w:b w:val="0"/>
          <w:caps w:val="0"/>
          <w:noProof w:val="0"/>
        </w:rPr>
        <w:t>RefTypeProc</w:t>
      </w:r>
      <w:r w:rsidRPr="0058380E">
        <w:rPr>
          <w:rStyle w:val="HideTWBExt"/>
          <w:b w:val="0"/>
          <w:noProof w:val="0"/>
        </w:rPr>
        <w:t>&gt;</w:t>
      </w:r>
      <w:r w:rsidRPr="0058380E">
        <w:t>(BUD)</w:t>
      </w:r>
      <w:r w:rsidRPr="0058380E">
        <w:rPr>
          <w:rStyle w:val="HideTWBExt"/>
          <w:b w:val="0"/>
          <w:noProof w:val="0"/>
        </w:rPr>
        <w:t>&lt;/</w:t>
      </w:r>
      <w:r w:rsidRPr="0058380E">
        <w:rPr>
          <w:rStyle w:val="HideTWBExt"/>
          <w:b w:val="0"/>
          <w:caps w:val="0"/>
          <w:noProof w:val="0"/>
        </w:rPr>
        <w:t>RefTypeProc</w:t>
      </w:r>
      <w:r w:rsidRPr="0058380E">
        <w:rPr>
          <w:rStyle w:val="HideTWBExt"/>
          <w:b w:val="0"/>
          <w:noProof w:val="0"/>
        </w:rPr>
        <w:t>&gt;</w:t>
      </w:r>
    </w:p>
    <w:p w:rsidR="00C23ADB" w:rsidRPr="0058380E" w:rsidRDefault="00C23ADB">
      <w:pPr>
        <w:pStyle w:val="ZDate"/>
      </w:pPr>
      <w:r w:rsidRPr="0058380E">
        <w:rPr>
          <w:rStyle w:val="HideTWBExt"/>
          <w:noProof w:val="0"/>
        </w:rPr>
        <w:t>&lt;Date&gt;</w:t>
      </w:r>
      <w:r w:rsidRPr="0058380E">
        <w:rPr>
          <w:rStyle w:val="HideTWBInt"/>
        </w:rPr>
        <w:t>{17/07/2019}</w:t>
      </w:r>
      <w:r w:rsidRPr="0058380E">
        <w:t>17.7.2019</w:t>
      </w:r>
      <w:r w:rsidRPr="0058380E">
        <w:rPr>
          <w:rStyle w:val="HideTWBExt"/>
          <w:noProof w:val="0"/>
        </w:rPr>
        <w:t>&lt;/Date&gt;</w:t>
      </w:r>
    </w:p>
    <w:p w:rsidR="00C23ADB" w:rsidRPr="0058380E" w:rsidRDefault="00C23ADB">
      <w:pPr>
        <w:pStyle w:val="TypeDoc"/>
      </w:pPr>
      <w:r w:rsidRPr="0058380E">
        <w:rPr>
          <w:rStyle w:val="HideTWBExt"/>
          <w:b w:val="0"/>
          <w:noProof w:val="0"/>
        </w:rPr>
        <w:t>&lt;TitreType&gt;</w:t>
      </w:r>
      <w:r w:rsidRPr="0058380E">
        <w:t>FÖRSLAG TILL BETÄNKANDE</w:t>
      </w:r>
      <w:r w:rsidRPr="0058380E">
        <w:rPr>
          <w:rStyle w:val="HideTWBExt"/>
          <w:b w:val="0"/>
          <w:noProof w:val="0"/>
        </w:rPr>
        <w:t>&lt;/TitreType&gt;</w:t>
      </w:r>
    </w:p>
    <w:p w:rsidR="00C23ADB" w:rsidRPr="0058380E" w:rsidRDefault="00C23ADB">
      <w:pPr>
        <w:pStyle w:val="CoverNormal"/>
      </w:pPr>
      <w:r w:rsidRPr="0058380E">
        <w:rPr>
          <w:rStyle w:val="HideTWBExt"/>
          <w:noProof w:val="0"/>
        </w:rPr>
        <w:t>&lt;Titre&gt;</w:t>
      </w:r>
      <w:r w:rsidRPr="0058380E">
        <w:t>om rådets ståndpunkt om förslaget till Europe</w:t>
      </w:r>
      <w:r w:rsidR="009A449B">
        <w:t>iska unionens ändringsbudget nr </w:t>
      </w:r>
      <w:r w:rsidRPr="0058380E">
        <w:t>2/2019 till den allmänna budgeten – förstärkning av centrala program för EU:s konkurrenskraft: Horisont 2020 och Erasmus+</w:t>
      </w:r>
      <w:r w:rsidRPr="0058380E">
        <w:rPr>
          <w:rStyle w:val="HideTWBExt"/>
          <w:noProof w:val="0"/>
        </w:rPr>
        <w:t>&lt;/Titre&gt;</w:t>
      </w:r>
    </w:p>
    <w:p w:rsidR="00C23ADB" w:rsidRPr="0058380E" w:rsidRDefault="00C23ADB">
      <w:pPr>
        <w:pStyle w:val="Cover24"/>
      </w:pPr>
      <w:r w:rsidRPr="0058380E">
        <w:rPr>
          <w:rStyle w:val="HideTWBExt"/>
          <w:noProof w:val="0"/>
        </w:rPr>
        <w:t>&lt;DocRef&gt;</w:t>
      </w:r>
      <w:r w:rsidRPr="0058380E">
        <w:t>(00000/2019 – C9</w:t>
      </w:r>
      <w:r w:rsidRPr="0058380E">
        <w:noBreakHyphen/>
        <w:t>0000/2019 – 2019/2022(BUD))</w:t>
      </w:r>
      <w:r w:rsidRPr="0058380E">
        <w:rPr>
          <w:rStyle w:val="HideTWBExt"/>
          <w:noProof w:val="0"/>
        </w:rPr>
        <w:t>&lt;/DocRef&gt;</w:t>
      </w:r>
    </w:p>
    <w:p w:rsidR="00C23ADB" w:rsidRPr="0058380E" w:rsidRDefault="00C23ADB" w:rsidP="00702830">
      <w:pPr>
        <w:pStyle w:val="Cover24"/>
      </w:pPr>
      <w:r w:rsidRPr="0058380E">
        <w:rPr>
          <w:rStyle w:val="HideTWBExt"/>
          <w:noProof w:val="0"/>
        </w:rPr>
        <w:t>&lt;Commission&gt;</w:t>
      </w:r>
      <w:r w:rsidRPr="0058380E">
        <w:rPr>
          <w:rStyle w:val="HideTWBInt"/>
        </w:rPr>
        <w:t>{BUDG}</w:t>
      </w:r>
      <w:r w:rsidRPr="0058380E">
        <w:t>Budgetutskottet</w:t>
      </w:r>
      <w:r w:rsidRPr="0058380E">
        <w:rPr>
          <w:rStyle w:val="HideTWBExt"/>
          <w:noProof w:val="0"/>
        </w:rPr>
        <w:t>&lt;/Commission&gt;</w:t>
      </w:r>
    </w:p>
    <w:p w:rsidR="00C23ADB" w:rsidRPr="0058380E" w:rsidRDefault="00B224E2">
      <w:pPr>
        <w:pStyle w:val="Cover24"/>
      </w:pPr>
      <w:r w:rsidRPr="0058380E">
        <w:t xml:space="preserve">Föredragande: </w:t>
      </w:r>
      <w:r w:rsidRPr="0058380E">
        <w:rPr>
          <w:rStyle w:val="HideTWBExt"/>
          <w:noProof w:val="0"/>
        </w:rPr>
        <w:t>&lt;Depute&gt;</w:t>
      </w:r>
      <w:r w:rsidRPr="0058380E">
        <w:t>John Howarth</w:t>
      </w:r>
      <w:r w:rsidRPr="0058380E">
        <w:rPr>
          <w:rStyle w:val="HideTWBExt"/>
          <w:noProof w:val="0"/>
        </w:rPr>
        <w:t>&lt;/Depute&gt;</w:t>
      </w:r>
    </w:p>
    <w:p w:rsidR="00C23ADB" w:rsidRPr="0058380E" w:rsidRDefault="00C23ADB">
      <w:pPr>
        <w:widowControl/>
        <w:tabs>
          <w:tab w:val="center" w:pos="4677"/>
        </w:tabs>
        <w:jc w:val="both"/>
      </w:pPr>
      <w:r w:rsidRPr="0058380E">
        <w:br w:type="page"/>
      </w:r>
    </w:p>
    <w:p w:rsidR="00C23ADB" w:rsidRPr="0058380E" w:rsidRDefault="00B224E2">
      <w:pPr>
        <w:widowControl/>
        <w:tabs>
          <w:tab w:val="center" w:pos="4677"/>
        </w:tabs>
        <w:jc w:val="both"/>
      </w:pPr>
      <w:r w:rsidRPr="0058380E">
        <w:t>PR_BUD_DABapp</w:t>
      </w:r>
    </w:p>
    <w:p w:rsidR="00C23ADB" w:rsidRPr="0058380E" w:rsidRDefault="00B224E2">
      <w:pPr>
        <w:pStyle w:val="TOCHeading"/>
      </w:pPr>
      <w:r w:rsidRPr="0058380E">
        <w:t>INNEHÅLL</w:t>
      </w:r>
    </w:p>
    <w:p w:rsidR="00C23ADB" w:rsidRPr="0058380E" w:rsidRDefault="00B224E2">
      <w:pPr>
        <w:pStyle w:val="TOCPage"/>
      </w:pPr>
      <w:r w:rsidRPr="0058380E">
        <w:t>Sida</w:t>
      </w:r>
    </w:p>
    <w:p w:rsidR="00514BA4" w:rsidRDefault="00C96001">
      <w:pPr>
        <w:pStyle w:val="TOC1"/>
        <w:tabs>
          <w:tab w:val="right" w:leader="dot" w:pos="9060"/>
        </w:tabs>
        <w:rPr>
          <w:rFonts w:asciiTheme="minorHAnsi" w:eastAsiaTheme="minorEastAsia" w:hAnsiTheme="minorHAnsi" w:cstheme="minorBidi"/>
          <w:noProof/>
          <w:sz w:val="22"/>
          <w:szCs w:val="22"/>
          <w:lang w:val="en-GB"/>
        </w:rPr>
      </w:pPr>
      <w:r w:rsidRPr="0058380E">
        <w:fldChar w:fldCharType="begin"/>
      </w:r>
      <w:r w:rsidRPr="0058380E">
        <w:instrText xml:space="preserve"> TOC \t "PageHeading</w:instrText>
      </w:r>
      <w:r w:rsidR="004D7678" w:rsidRPr="0058380E">
        <w:instrText>;</w:instrText>
      </w:r>
      <w:r w:rsidRPr="0058380E">
        <w:instrText xml:space="preserve">1" </w:instrText>
      </w:r>
      <w:r w:rsidRPr="0058380E">
        <w:fldChar w:fldCharType="separate"/>
      </w:r>
      <w:r w:rsidR="00514BA4">
        <w:rPr>
          <w:noProof/>
        </w:rPr>
        <w:t>FÖRSLAG TILL EUROPAPARLAMENTETS RESOLUTION</w:t>
      </w:r>
      <w:r w:rsidR="00514BA4">
        <w:rPr>
          <w:noProof/>
        </w:rPr>
        <w:tab/>
      </w:r>
      <w:r w:rsidR="00514BA4">
        <w:rPr>
          <w:noProof/>
        </w:rPr>
        <w:fldChar w:fldCharType="begin"/>
      </w:r>
      <w:r w:rsidR="00514BA4">
        <w:rPr>
          <w:noProof/>
        </w:rPr>
        <w:instrText xml:space="preserve"> PAGEREF _Toc15551906 \h </w:instrText>
      </w:r>
      <w:r w:rsidR="00514BA4">
        <w:rPr>
          <w:noProof/>
        </w:rPr>
      </w:r>
      <w:r w:rsidR="00514BA4">
        <w:rPr>
          <w:noProof/>
        </w:rPr>
        <w:fldChar w:fldCharType="separate"/>
      </w:r>
      <w:r w:rsidR="00514BA4">
        <w:rPr>
          <w:noProof/>
        </w:rPr>
        <w:t>3</w:t>
      </w:r>
      <w:r w:rsidR="00514BA4">
        <w:rPr>
          <w:noProof/>
        </w:rPr>
        <w:fldChar w:fldCharType="end"/>
      </w:r>
    </w:p>
    <w:p w:rsidR="00C23ADB" w:rsidRPr="0058380E" w:rsidRDefault="00C96001">
      <w:pPr>
        <w:widowControl/>
        <w:tabs>
          <w:tab w:val="center" w:pos="4677"/>
        </w:tabs>
        <w:jc w:val="both"/>
      </w:pPr>
      <w:r w:rsidRPr="0058380E">
        <w:fldChar w:fldCharType="end"/>
      </w:r>
    </w:p>
    <w:p w:rsidR="00C23ADB" w:rsidRPr="0058380E" w:rsidRDefault="00C23ADB" w:rsidP="00C96001">
      <w:pPr>
        <w:pStyle w:val="PageHeading"/>
      </w:pPr>
      <w:r w:rsidRPr="0058380E">
        <w:br w:type="page"/>
      </w:r>
      <w:bookmarkStart w:id="1" w:name="_Toc15551906"/>
      <w:r w:rsidRPr="0058380E">
        <w:lastRenderedPageBreak/>
        <w:t>FÖRSLAG TILL EUROPAPARLAMENTETS RESOLUTION</w:t>
      </w:r>
      <w:bookmarkEnd w:id="1"/>
    </w:p>
    <w:p w:rsidR="00C23ADB" w:rsidRPr="0058380E" w:rsidRDefault="00E804BE">
      <w:pPr>
        <w:pStyle w:val="NormalBold"/>
      </w:pPr>
      <w:r w:rsidRPr="0058380E">
        <w:t>om rådets ståndpunkt om förslaget till Europeiska uni</w:t>
      </w:r>
      <w:r w:rsidR="009A449B">
        <w:t xml:space="preserve">onens ändringsbudget nr 2/2019 </w:t>
      </w:r>
      <w:r w:rsidRPr="0058380E">
        <w:t>till den allmänna budgeten – förstärkning av centrala progr</w:t>
      </w:r>
      <w:r w:rsidR="009A449B">
        <w:t>am för EU:s </w:t>
      </w:r>
      <w:r w:rsidRPr="0058380E">
        <w:t>konkurrenskraft: Horisont 2020 och Erasmus+</w:t>
      </w:r>
    </w:p>
    <w:p w:rsidR="00C23ADB" w:rsidRPr="0058380E" w:rsidRDefault="00B224E2">
      <w:pPr>
        <w:pStyle w:val="Normal12Bold"/>
      </w:pPr>
      <w:r w:rsidRPr="0058380E">
        <w:t>(00000/2019 – C9</w:t>
      </w:r>
      <w:r w:rsidRPr="0058380E">
        <w:noBreakHyphen/>
        <w:t>0000/2019 – 2019/2022(BUD))</w:t>
      </w:r>
    </w:p>
    <w:p w:rsidR="00C23ADB" w:rsidRPr="0058380E" w:rsidRDefault="00B224E2">
      <w:pPr>
        <w:pStyle w:val="Normal12"/>
      </w:pPr>
      <w:r w:rsidRPr="0058380E">
        <w:rPr>
          <w:i/>
        </w:rPr>
        <w:t>Europaparlamentet utfärdar denna resolution</w:t>
      </w:r>
    </w:p>
    <w:p w:rsidR="00D306AD" w:rsidRPr="0058380E" w:rsidRDefault="00C23ADB" w:rsidP="009A449B">
      <w:pPr>
        <w:pStyle w:val="Normal12Hanging"/>
      </w:pPr>
      <w:r w:rsidRPr="0058380E">
        <w:t>–</w:t>
      </w:r>
      <w:r w:rsidRPr="0058380E">
        <w:tab/>
        <w:t>med beaktande av artikel 314 i fördraget om Europeiska unionens funktionssätt,</w:t>
      </w:r>
    </w:p>
    <w:p w:rsidR="00D306AD" w:rsidRPr="0058380E" w:rsidRDefault="00D306AD" w:rsidP="009A449B">
      <w:pPr>
        <w:pStyle w:val="Normal12Hanging"/>
      </w:pPr>
      <w:r w:rsidRPr="0058380E">
        <w:t>–</w:t>
      </w:r>
      <w:r w:rsidRPr="0058380E">
        <w:tab/>
        <w:t>med beaktande av artikel 106a i fördrage</w:t>
      </w:r>
      <w:r w:rsidR="009A449B">
        <w:t>t om upprättandet av Europeiska </w:t>
      </w:r>
      <w:r w:rsidRPr="0058380E">
        <w:t>atomenergigemenskapen,</w:t>
      </w:r>
    </w:p>
    <w:p w:rsidR="00D306AD" w:rsidRPr="0058380E" w:rsidRDefault="00D306AD" w:rsidP="009A449B">
      <w:pPr>
        <w:pStyle w:val="Normal12Hanging"/>
      </w:pPr>
      <w:r w:rsidRPr="0058380E">
        <w:t>–</w:t>
      </w:r>
      <w:r w:rsidRPr="0058380E">
        <w:tab/>
        <w:t>med beaktande av Europaparlamentets och rådets förordning (EU, Euratom) nr 966/2012 av den 25 oktober 2012 om finansiella regler för unionens allmänna budget och om upphävande av rådets förordning (EG, Euratom) nr 1605/2002</w:t>
      </w:r>
      <w:r w:rsidRPr="0058380E">
        <w:rPr>
          <w:rStyle w:val="FootnoteReference"/>
        </w:rPr>
        <w:footnoteReference w:id="1"/>
      </w:r>
      <w:r w:rsidRPr="0058380E">
        <w:t>, särskilt artiklarna 18.3 och 41,</w:t>
      </w:r>
    </w:p>
    <w:p w:rsidR="00D306AD" w:rsidRPr="0058380E" w:rsidRDefault="00D306AD" w:rsidP="009A449B">
      <w:pPr>
        <w:pStyle w:val="Normal12Hanging"/>
      </w:pPr>
      <w:r w:rsidRPr="0058380E">
        <w:t>–</w:t>
      </w:r>
      <w:r w:rsidRPr="0058380E">
        <w:tab/>
        <w:t>med beaktande av Europeiska unionens allmänna budget för budgetåret 2019, antagen den 12 december 2018</w:t>
      </w:r>
      <w:r w:rsidRPr="0058380E">
        <w:rPr>
          <w:rStyle w:val="FootnoteReference"/>
        </w:rPr>
        <w:footnoteReference w:id="2"/>
      </w:r>
      <w:r w:rsidRPr="0058380E">
        <w:t>,</w:t>
      </w:r>
    </w:p>
    <w:p w:rsidR="00D306AD" w:rsidRPr="0058380E" w:rsidRDefault="00D306AD" w:rsidP="009A449B">
      <w:pPr>
        <w:pStyle w:val="Normal12Hanging"/>
      </w:pPr>
      <w:r w:rsidRPr="0058380E">
        <w:t>–</w:t>
      </w:r>
      <w:r w:rsidRPr="0058380E">
        <w:tab/>
        <w:t>med beaktande av rådets förordning (EU,</w:t>
      </w:r>
      <w:r w:rsidR="00F46091">
        <w:t xml:space="preserve"> Euratom) nr 1311/2013 av den 2 </w:t>
      </w:r>
      <w:r w:rsidRPr="0058380E">
        <w:t>d</w:t>
      </w:r>
      <w:r w:rsidR="00F46091">
        <w:t>ecember </w:t>
      </w:r>
      <w:r w:rsidRPr="0058380E">
        <w:t>2013 om den fleråriga budgetramen för 2014–2020</w:t>
      </w:r>
      <w:r w:rsidRPr="0058380E">
        <w:rPr>
          <w:rStyle w:val="FootnoteReference"/>
        </w:rPr>
        <w:footnoteReference w:id="3"/>
      </w:r>
      <w:r w:rsidRPr="0058380E">
        <w:t>,</w:t>
      </w:r>
    </w:p>
    <w:p w:rsidR="00D306AD" w:rsidRPr="0058380E" w:rsidRDefault="00D306AD" w:rsidP="009A449B">
      <w:pPr>
        <w:pStyle w:val="Normal12Hanging"/>
      </w:pPr>
      <w:r w:rsidRPr="0058380E">
        <w:t>–</w:t>
      </w:r>
      <w:r w:rsidRPr="0058380E">
        <w:tab/>
        <w:t xml:space="preserve">med beaktande av det interinstitutionella avtalet av den 2 december 2013 mellan Europaparlamentet, rådet och kommissionen </w:t>
      </w:r>
      <w:r w:rsidR="00F46091">
        <w:t>om budgetdisciplin, samarbete i </w:t>
      </w:r>
      <w:r w:rsidRPr="0058380E">
        <w:t>budgetfrågor och sund ekonomisk förvaltning</w:t>
      </w:r>
      <w:r w:rsidRPr="0058380E">
        <w:rPr>
          <w:rStyle w:val="FootnoteReference"/>
        </w:rPr>
        <w:footnoteReference w:id="4"/>
      </w:r>
      <w:r w:rsidRPr="0058380E">
        <w:t>,</w:t>
      </w:r>
    </w:p>
    <w:p w:rsidR="00D306AD" w:rsidRPr="0058380E" w:rsidRDefault="00D306AD" w:rsidP="009A449B">
      <w:pPr>
        <w:pStyle w:val="Normal12Hanging"/>
      </w:pPr>
      <w:r w:rsidRPr="0058380E">
        <w:t>–</w:t>
      </w:r>
      <w:r w:rsidRPr="0058380E">
        <w:tab/>
        <w:t>med beaktande av rådets beslut 2014/335/EU, Euratom av den 26 maj 2014 om systemet för Europeiska unionens egna medel</w:t>
      </w:r>
      <w:r w:rsidRPr="0058380E">
        <w:rPr>
          <w:rStyle w:val="FootnoteReference"/>
        </w:rPr>
        <w:footnoteReference w:id="5"/>
      </w:r>
      <w:r w:rsidRPr="0058380E">
        <w:t>,</w:t>
      </w:r>
    </w:p>
    <w:p w:rsidR="00D306AD" w:rsidRPr="0058380E" w:rsidRDefault="00D306AD" w:rsidP="009A449B">
      <w:pPr>
        <w:pStyle w:val="Normal12Hanging"/>
      </w:pPr>
      <w:r w:rsidRPr="0058380E">
        <w:t>–</w:t>
      </w:r>
      <w:r w:rsidRPr="0058380E">
        <w:tab/>
        <w:t>med beaktande av det förslag till ändringsbudget nr 2/2019 som kommissionen antog den 15 maj 2019 (COM(2019)0320),</w:t>
      </w:r>
    </w:p>
    <w:p w:rsidR="00D306AD" w:rsidRPr="0058380E" w:rsidRDefault="00D306AD" w:rsidP="009A449B">
      <w:pPr>
        <w:pStyle w:val="Normal12Hanging"/>
      </w:pPr>
      <w:r w:rsidRPr="0058380E">
        <w:t>–</w:t>
      </w:r>
      <w:r w:rsidRPr="0058380E">
        <w:tab/>
        <w:t>med beaktande av den ståndpunkt om förslaget till ändringsbudget nr 2/2019 som rådet antog den ...  och översände till Europaparlamentet (00000/2019 – C9</w:t>
      </w:r>
      <w:r w:rsidRPr="0058380E">
        <w:noBreakHyphen/>
        <w:t>0000/2019),</w:t>
      </w:r>
    </w:p>
    <w:p w:rsidR="00D306AD" w:rsidRPr="0058380E" w:rsidRDefault="00D306AD" w:rsidP="009A449B">
      <w:pPr>
        <w:pStyle w:val="Normal12Hanging"/>
      </w:pPr>
      <w:r w:rsidRPr="0058380E">
        <w:t>–</w:t>
      </w:r>
      <w:r w:rsidRPr="0058380E">
        <w:tab/>
        <w:t>med beaktande av artiklarna 94 och 96 i arbetsordningen,</w:t>
      </w:r>
    </w:p>
    <w:p w:rsidR="00D306AD" w:rsidRPr="0058380E" w:rsidRDefault="00D306AD" w:rsidP="009A449B">
      <w:pPr>
        <w:pStyle w:val="Normal12Hanging"/>
      </w:pPr>
      <w:r w:rsidRPr="0058380E">
        <w:t>–</w:t>
      </w:r>
      <w:r w:rsidRPr="0058380E">
        <w:tab/>
        <w:t>med beaktande av betänkandet från budgetutskottet (A9-0000/2019), och av följande skäl:</w:t>
      </w:r>
    </w:p>
    <w:p w:rsidR="00D306AD" w:rsidRPr="0058380E" w:rsidRDefault="00D306AD" w:rsidP="009A449B">
      <w:pPr>
        <w:pStyle w:val="Normal12Hanging"/>
      </w:pPr>
      <w:r w:rsidRPr="0058380E">
        <w:t>A.</w:t>
      </w:r>
      <w:r w:rsidRPr="0058380E">
        <w:tab/>
        <w:t xml:space="preserve">På parlamentets enträgna begäran beslutade budgetmyndigheten att inom ramen för budgetförfarandet för 2019 ”budgetera 100 miljoner EUR i en ändringsbudget under </w:t>
      </w:r>
      <w:r w:rsidRPr="0058380E">
        <w:lastRenderedPageBreak/>
        <w:t>2019 för att förstärka Horisont 2020 och Era</w:t>
      </w:r>
      <w:r w:rsidR="00F46091">
        <w:t>smus+”.</w:t>
      </w:r>
      <w:r w:rsidRPr="0058380E">
        <w:t xml:space="preserve"> Parlamentet och rådet uppmanade kommissionen att ”lägga fram denna ändringsbudget, som inte kommer att innehålla några andra delar, så snart som den tekniska justeringen av den fleråriga budgetramen för 2020 samt beräkningen av den samlade marginalen för åtaganden har slutförts under våren 2019”.</w:t>
      </w:r>
    </w:p>
    <w:p w:rsidR="00D306AD" w:rsidRPr="0058380E" w:rsidRDefault="00D306AD" w:rsidP="009A449B">
      <w:pPr>
        <w:pStyle w:val="Normal12Hanging"/>
      </w:pPr>
      <w:r w:rsidRPr="0058380E">
        <w:t>B.</w:t>
      </w:r>
      <w:r w:rsidRPr="0058380E">
        <w:tab/>
        <w:t xml:space="preserve">Kommissionen har därför föreslagit att 2019 års budget ska ändras för att återspegla detta avtal. </w:t>
      </w:r>
    </w:p>
    <w:p w:rsidR="00D306AD" w:rsidRPr="0058380E" w:rsidRDefault="00D306AD" w:rsidP="009A449B">
      <w:pPr>
        <w:pStyle w:val="Normal12Hanging"/>
      </w:pPr>
      <w:r w:rsidRPr="0058380E">
        <w:t>C.</w:t>
      </w:r>
      <w:r w:rsidRPr="0058380E">
        <w:tab/>
        <w:t>Kommissionen har föreslagit att ytterligare 80 miljoner EUR ska anslås för att förstärka Horisont 2020 och att budgeten för Erasmus+ s</w:t>
      </w:r>
      <w:r w:rsidR="00F46091">
        <w:t>ka höjas med 20 miljoner EUR. I </w:t>
      </w:r>
      <w:r w:rsidRPr="0058380E">
        <w:t xml:space="preserve">överenskommelsen om 2019 års budget finns det ingen uppgift om hur den totala förstärkningen ska fördelas mellan instrumenten. </w:t>
      </w:r>
    </w:p>
    <w:p w:rsidR="00D306AD" w:rsidRPr="0058380E" w:rsidRDefault="00D306AD" w:rsidP="009A449B">
      <w:pPr>
        <w:pStyle w:val="Normal12Hanging"/>
      </w:pPr>
      <w:r w:rsidRPr="0058380E">
        <w:t>D.</w:t>
      </w:r>
      <w:r w:rsidRPr="0058380E">
        <w:tab/>
        <w:t xml:space="preserve">Inom ramen för förstärkningen av Horisont 2020 har kommissionen föreslagit att ytterligare 34,6 miljoner EUR ska anslås till Horisont 2020-budgetposten </w:t>
      </w:r>
      <w:r w:rsidRPr="0058380E">
        <w:rPr>
          <w:i/>
        </w:rPr>
        <w:t>08 02 03 04</w:t>
      </w:r>
      <w:r w:rsidR="00F46091">
        <w:t xml:space="preserve"> –</w:t>
      </w:r>
      <w:r w:rsidRPr="0058380E">
        <w:t xml:space="preserve"> </w:t>
      </w:r>
      <w:r w:rsidRPr="0058380E">
        <w:rPr>
          <w:i/>
        </w:rPr>
        <w:t>Skapa ett europeiskt transportsystem som är resurseffektivt, miljövänligt, säkert och sammanhängande</w:t>
      </w:r>
      <w:r w:rsidRPr="0058380E">
        <w:t xml:space="preserve"> i syfte att förstärka 2019 års åtgärder mot klimatförändringar, särskilt batterier, miljövänliga fordon och miljöanpassning av </w:t>
      </w:r>
      <w:r w:rsidR="00F46091">
        <w:t>luftfart, samt ytterligare 45,4 </w:t>
      </w:r>
      <w:r w:rsidRPr="0058380E">
        <w:t xml:space="preserve">miljoner EUR till Horisont 2020-budgetposten </w:t>
      </w:r>
      <w:r w:rsidRPr="0058380E">
        <w:rPr>
          <w:i/>
        </w:rPr>
        <w:t>08 02 01 02</w:t>
      </w:r>
      <w:r w:rsidR="00F46091">
        <w:rPr>
          <w:i/>
        </w:rPr>
        <w:t xml:space="preserve"> </w:t>
      </w:r>
      <w:r w:rsidR="00F46091">
        <w:t>–</w:t>
      </w:r>
      <w:r w:rsidRPr="0058380E">
        <w:t xml:space="preserve"> </w:t>
      </w:r>
      <w:r w:rsidRPr="0058380E">
        <w:rPr>
          <w:i/>
        </w:rPr>
        <w:t>Förstärkning av forskningen om framtida och ny teknik</w:t>
      </w:r>
      <w:r w:rsidRPr="0058380E">
        <w:t xml:space="preserve">, i syfte att öka beloppet för posterna ”Banbrytande energiproduktion utan utsläpp för en fullständig utfasning av fossila bränslen” och ”Teknik för energi och klimatförändringar”. </w:t>
      </w:r>
    </w:p>
    <w:p w:rsidR="00D306AD" w:rsidRPr="0058380E" w:rsidRDefault="00D306AD" w:rsidP="009A449B">
      <w:pPr>
        <w:pStyle w:val="Normal12Hanging"/>
      </w:pPr>
      <w:r w:rsidRPr="0058380E">
        <w:t>E.</w:t>
      </w:r>
      <w:r w:rsidRPr="0058380E">
        <w:tab/>
        <w:t xml:space="preserve">Kommissionen har föreslagit att anslagen till Erasmus+ ska förstärkas inom programmets huvudsakliga verksamhet, särskilt högre utbildning och yrkesutbildning, samt tillföra resurser till centrum för yrkesutbildning. Kommissionen har också föreslagit att delar av förstärkningen ska gå till initiativet </w:t>
      </w:r>
      <w:r w:rsidRPr="0058380E">
        <w:rPr>
          <w:i/>
        </w:rPr>
        <w:t>Europauniversitet</w:t>
      </w:r>
      <w:r w:rsidRPr="0058380E">
        <w:t xml:space="preserve">, som nyligen utvecklats som ett led i förverkligandet av </w:t>
      </w:r>
      <w:r w:rsidRPr="0058380E">
        <w:rPr>
          <w:i/>
        </w:rPr>
        <w:t>det europeiska området för utbildning fram till 2025</w:t>
      </w:r>
      <w:r w:rsidRPr="0058380E">
        <w:t>.</w:t>
      </w:r>
    </w:p>
    <w:p w:rsidR="00D306AD" w:rsidRPr="0058380E" w:rsidRDefault="00D306AD" w:rsidP="009A449B">
      <w:pPr>
        <w:pStyle w:val="Normal12Hanging"/>
      </w:pPr>
      <w:r w:rsidRPr="0058380E">
        <w:t>1.</w:t>
      </w:r>
      <w:r w:rsidRPr="0058380E">
        <w:tab/>
        <w:t>Europaparlamentet noterar förslaget till ändringsbudget nr 2/2019 som lagts fram av kommissionen och som syftar till att tillhandahålla</w:t>
      </w:r>
      <w:r w:rsidR="00F46091">
        <w:t xml:space="preserve"> ytterligare 100 miljoner EUR i </w:t>
      </w:r>
      <w:r w:rsidRPr="0058380E">
        <w:t>åtagandebemyndiganden till Horisont 2020 och Erasmus+, i syfte att ge rättvisa åt den överenskommelse som nåtts mellan parlamentet oc</w:t>
      </w:r>
      <w:r w:rsidR="00F46091">
        <w:t>h rådet inom ramen för 2019 års </w:t>
      </w:r>
      <w:r w:rsidRPr="0058380E">
        <w:t>budgetförhandlingar. Parlamentet noterar att inga betalningsbemyndiganden har föreslagits i detta skede.</w:t>
      </w:r>
    </w:p>
    <w:p w:rsidR="00D306AD" w:rsidRPr="0058380E" w:rsidRDefault="00D306AD" w:rsidP="009A449B">
      <w:pPr>
        <w:pStyle w:val="Normal12Hanging"/>
      </w:pPr>
      <w:r w:rsidRPr="0058380E">
        <w:t>2.</w:t>
      </w:r>
      <w:r w:rsidRPr="0058380E">
        <w:tab/>
        <w:t xml:space="preserve">Europaparlamentet noterar att det med tanke på programmens profiler inte finns något behov av att öka betalningsbemyndigandena för Horisont 2020 före utgången av 2019, men att de ökade åtagandebemyndigandena för Erasmus+ högst sannolikt kommer att behöva kompletteras med ökade betalningsbemyndiganden i år. Kommissionen uppmanas att informera budgetmyndigheten om hur den avser att täcka dessa ökade betalningsbehov. </w:t>
      </w:r>
    </w:p>
    <w:p w:rsidR="00D306AD" w:rsidRPr="0058380E" w:rsidRDefault="00D306AD" w:rsidP="009A449B">
      <w:pPr>
        <w:pStyle w:val="Normal12Hanging"/>
      </w:pPr>
      <w:r w:rsidRPr="0058380E">
        <w:t>3.</w:t>
      </w:r>
      <w:r w:rsidRPr="0058380E">
        <w:tab/>
        <w:t>Europaparlamentet godkänner rådets ståndpunkt om f</w:t>
      </w:r>
      <w:r w:rsidR="00F46091">
        <w:t>örslaget till ändringsbudget nr </w:t>
      </w:r>
      <w:r w:rsidRPr="0058380E">
        <w:t>2/2019.</w:t>
      </w:r>
    </w:p>
    <w:p w:rsidR="00D306AD" w:rsidRPr="0058380E" w:rsidRDefault="00D306AD" w:rsidP="00F46091">
      <w:pPr>
        <w:pStyle w:val="Normal12Hanging"/>
        <w:widowControl/>
      </w:pPr>
      <w:r w:rsidRPr="0058380E">
        <w:lastRenderedPageBreak/>
        <w:t>4.</w:t>
      </w:r>
      <w:r w:rsidRPr="0058380E">
        <w:tab/>
        <w:t xml:space="preserve">Europaparlamentet uppdrar åt talmannen att förklara ändringsbudget nr 2/2019 slutgiltigt antagen och se till att den offentliggörs i </w:t>
      </w:r>
      <w:r w:rsidRPr="0058380E">
        <w:rPr>
          <w:i/>
        </w:rPr>
        <w:t>Europeiska unionens officiella tidning.</w:t>
      </w:r>
    </w:p>
    <w:p w:rsidR="00C23ADB" w:rsidRPr="0058380E" w:rsidRDefault="00D306AD" w:rsidP="00F46091">
      <w:pPr>
        <w:ind w:left="567" w:hanging="567"/>
      </w:pPr>
      <w:r w:rsidRPr="0058380E">
        <w:t>5.</w:t>
      </w:r>
      <w:r w:rsidRPr="0058380E">
        <w:tab/>
        <w:t>Europaparlamentet uppdrar åt talmannen att översända denna resolution till rådet och kommissionen, övriga institutioner och berörda organ samt till de nationella parlamenten.</w:t>
      </w:r>
    </w:p>
    <w:sectPr w:rsidR="00C23ADB" w:rsidRPr="0058380E" w:rsidSect="0058380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E2" w:rsidRPr="0058380E" w:rsidRDefault="00B224E2">
      <w:r w:rsidRPr="0058380E">
        <w:separator/>
      </w:r>
    </w:p>
  </w:endnote>
  <w:endnote w:type="continuationSeparator" w:id="0">
    <w:p w:rsidR="00B224E2" w:rsidRPr="0058380E" w:rsidRDefault="00B224E2">
      <w:r w:rsidRPr="005838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0E" w:rsidRPr="0058380E" w:rsidRDefault="0058380E" w:rsidP="0058380E">
    <w:pPr>
      <w:pStyle w:val="Footer"/>
    </w:pPr>
    <w:r w:rsidRPr="0058380E">
      <w:t>PE</w:t>
    </w:r>
    <w:r w:rsidRPr="0058380E">
      <w:rPr>
        <w:rStyle w:val="HideTWBExt"/>
        <w:noProof w:val="0"/>
      </w:rPr>
      <w:t>&lt;NoPE&gt;</w:t>
    </w:r>
    <w:r w:rsidRPr="0058380E">
      <w:t>639.766</w:t>
    </w:r>
    <w:r w:rsidRPr="0058380E">
      <w:rPr>
        <w:rStyle w:val="HideTWBExt"/>
        <w:noProof w:val="0"/>
      </w:rPr>
      <w:t>&lt;/NoPE&gt;&lt;Version&gt;</w:t>
    </w:r>
    <w:r w:rsidRPr="0058380E">
      <w:t>v01-00</w:t>
    </w:r>
    <w:r w:rsidRPr="0058380E">
      <w:rPr>
        <w:rStyle w:val="HideTWBExt"/>
        <w:noProof w:val="0"/>
      </w:rPr>
      <w:t>&lt;/Version&gt;</w:t>
    </w:r>
    <w:r w:rsidRPr="0058380E">
      <w:tab/>
    </w:r>
    <w:r w:rsidRPr="0058380E">
      <w:fldChar w:fldCharType="begin"/>
    </w:r>
    <w:r w:rsidRPr="0058380E">
      <w:instrText xml:space="preserve"> PAGE  \* MERGEFORMAT </w:instrText>
    </w:r>
    <w:r w:rsidRPr="0058380E">
      <w:fldChar w:fldCharType="separate"/>
    </w:r>
    <w:r w:rsidR="00514BA4">
      <w:rPr>
        <w:noProof/>
      </w:rPr>
      <w:t>4</w:t>
    </w:r>
    <w:r w:rsidRPr="0058380E">
      <w:fldChar w:fldCharType="end"/>
    </w:r>
    <w:r w:rsidRPr="0058380E">
      <w:t>/</w:t>
    </w:r>
    <w:fldSimple w:instr=" NUMPAGES  \* MERGEFORMAT ">
      <w:r w:rsidR="00514BA4">
        <w:rPr>
          <w:noProof/>
        </w:rPr>
        <w:t>5</w:t>
      </w:r>
    </w:fldSimple>
    <w:r w:rsidRPr="0058380E">
      <w:tab/>
    </w:r>
    <w:r w:rsidRPr="0058380E">
      <w:rPr>
        <w:rStyle w:val="HideTWBExt"/>
        <w:noProof w:val="0"/>
      </w:rPr>
      <w:t>&lt;PathFdR&gt;</w:t>
    </w:r>
    <w:r w:rsidRPr="0058380E">
      <w:t>PR\1186099SV.docx</w:t>
    </w:r>
    <w:r w:rsidRPr="0058380E">
      <w:rPr>
        <w:rStyle w:val="HideTWBExt"/>
        <w:noProof w:val="0"/>
      </w:rPr>
      <w:t>&lt;/PathFdR&gt;</w:t>
    </w:r>
  </w:p>
  <w:p w:rsidR="002D6EBB" w:rsidRPr="0058380E" w:rsidRDefault="0058380E" w:rsidP="0058380E">
    <w:pPr>
      <w:pStyle w:val="Footer2"/>
    </w:pPr>
    <w:r w:rsidRPr="0058380E">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0E" w:rsidRPr="0058380E" w:rsidRDefault="0058380E" w:rsidP="0058380E">
    <w:pPr>
      <w:pStyle w:val="Footer"/>
    </w:pPr>
    <w:r w:rsidRPr="0058380E">
      <w:rPr>
        <w:rStyle w:val="HideTWBExt"/>
        <w:noProof w:val="0"/>
      </w:rPr>
      <w:t>&lt;PathFdR&gt;</w:t>
    </w:r>
    <w:r w:rsidRPr="0058380E">
      <w:t>PR\1186099SV.docx</w:t>
    </w:r>
    <w:r w:rsidRPr="0058380E">
      <w:rPr>
        <w:rStyle w:val="HideTWBExt"/>
        <w:noProof w:val="0"/>
      </w:rPr>
      <w:t>&lt;/PathFdR&gt;</w:t>
    </w:r>
    <w:r w:rsidRPr="0058380E">
      <w:tab/>
    </w:r>
    <w:r w:rsidRPr="0058380E">
      <w:fldChar w:fldCharType="begin"/>
    </w:r>
    <w:r w:rsidRPr="0058380E">
      <w:instrText xml:space="preserve"> PAGE  \* MERGEFORMAT </w:instrText>
    </w:r>
    <w:r w:rsidRPr="0058380E">
      <w:fldChar w:fldCharType="separate"/>
    </w:r>
    <w:r w:rsidR="00514BA4">
      <w:rPr>
        <w:noProof/>
      </w:rPr>
      <w:t>3</w:t>
    </w:r>
    <w:r w:rsidRPr="0058380E">
      <w:fldChar w:fldCharType="end"/>
    </w:r>
    <w:r w:rsidRPr="0058380E">
      <w:t>/</w:t>
    </w:r>
    <w:fldSimple w:instr=" NUMPAGES  \* MERGEFORMAT ">
      <w:r w:rsidR="00514BA4">
        <w:rPr>
          <w:noProof/>
        </w:rPr>
        <w:t>5</w:t>
      </w:r>
    </w:fldSimple>
    <w:r w:rsidRPr="0058380E">
      <w:tab/>
      <w:t>PE</w:t>
    </w:r>
    <w:r w:rsidRPr="0058380E">
      <w:rPr>
        <w:rStyle w:val="HideTWBExt"/>
        <w:noProof w:val="0"/>
      </w:rPr>
      <w:t>&lt;NoPE&gt;</w:t>
    </w:r>
    <w:r w:rsidRPr="0058380E">
      <w:t>639.766</w:t>
    </w:r>
    <w:r w:rsidRPr="0058380E">
      <w:rPr>
        <w:rStyle w:val="HideTWBExt"/>
        <w:noProof w:val="0"/>
      </w:rPr>
      <w:t>&lt;/NoPE&gt;&lt;Version&gt;</w:t>
    </w:r>
    <w:r w:rsidRPr="0058380E">
      <w:t>v01-00</w:t>
    </w:r>
    <w:r w:rsidRPr="0058380E">
      <w:rPr>
        <w:rStyle w:val="HideTWBExt"/>
        <w:noProof w:val="0"/>
      </w:rPr>
      <w:t>&lt;/Version&gt;</w:t>
    </w:r>
  </w:p>
  <w:p w:rsidR="002D6EBB" w:rsidRPr="0058380E" w:rsidRDefault="0058380E" w:rsidP="0058380E">
    <w:pPr>
      <w:pStyle w:val="Footer2"/>
    </w:pPr>
    <w:r w:rsidRPr="0058380E">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0E" w:rsidRPr="0058380E" w:rsidRDefault="0058380E" w:rsidP="0058380E">
    <w:pPr>
      <w:pStyle w:val="Footer"/>
    </w:pPr>
    <w:r w:rsidRPr="0058380E">
      <w:rPr>
        <w:rStyle w:val="HideTWBExt"/>
        <w:noProof w:val="0"/>
      </w:rPr>
      <w:t>&lt;PathFdR&gt;</w:t>
    </w:r>
    <w:r w:rsidRPr="0058380E">
      <w:t>PR\1186099SV.docx</w:t>
    </w:r>
    <w:r w:rsidRPr="0058380E">
      <w:rPr>
        <w:rStyle w:val="HideTWBExt"/>
        <w:noProof w:val="0"/>
      </w:rPr>
      <w:t>&lt;/PathFdR&gt;</w:t>
    </w:r>
    <w:r w:rsidRPr="0058380E">
      <w:tab/>
    </w:r>
    <w:r w:rsidRPr="0058380E">
      <w:tab/>
      <w:t>PE</w:t>
    </w:r>
    <w:r w:rsidRPr="0058380E">
      <w:rPr>
        <w:rStyle w:val="HideTWBExt"/>
        <w:noProof w:val="0"/>
      </w:rPr>
      <w:t>&lt;NoPE&gt;</w:t>
    </w:r>
    <w:r w:rsidRPr="0058380E">
      <w:t>639.766</w:t>
    </w:r>
    <w:r w:rsidRPr="0058380E">
      <w:rPr>
        <w:rStyle w:val="HideTWBExt"/>
        <w:noProof w:val="0"/>
      </w:rPr>
      <w:t>&lt;/NoPE&gt;&lt;Version&gt;</w:t>
    </w:r>
    <w:r w:rsidRPr="0058380E">
      <w:t>v01-00</w:t>
    </w:r>
    <w:r w:rsidRPr="0058380E">
      <w:rPr>
        <w:rStyle w:val="HideTWBExt"/>
        <w:noProof w:val="0"/>
      </w:rPr>
      <w:t>&lt;/Version&gt;</w:t>
    </w:r>
  </w:p>
  <w:p w:rsidR="002D6EBB" w:rsidRPr="0058380E" w:rsidRDefault="0058380E" w:rsidP="0058380E">
    <w:pPr>
      <w:pStyle w:val="Footer2"/>
      <w:tabs>
        <w:tab w:val="center" w:pos="4535"/>
      </w:tabs>
    </w:pPr>
    <w:r w:rsidRPr="0058380E">
      <w:t>SV</w:t>
    </w:r>
    <w:r w:rsidRPr="0058380E">
      <w:tab/>
    </w:r>
    <w:r w:rsidRPr="0058380E">
      <w:rPr>
        <w:b w:val="0"/>
        <w:i/>
        <w:color w:val="C0C0C0"/>
        <w:sz w:val="22"/>
      </w:rPr>
      <w:t>Förenade i mångfalden</w:t>
    </w:r>
    <w:r w:rsidRPr="0058380E">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E2" w:rsidRPr="0058380E" w:rsidRDefault="00B224E2">
      <w:r w:rsidRPr="0058380E">
        <w:separator/>
      </w:r>
    </w:p>
  </w:footnote>
  <w:footnote w:type="continuationSeparator" w:id="0">
    <w:p w:rsidR="00B224E2" w:rsidRPr="0058380E" w:rsidRDefault="00B224E2">
      <w:r w:rsidRPr="0058380E">
        <w:continuationSeparator/>
      </w:r>
    </w:p>
  </w:footnote>
  <w:footnote w:id="1">
    <w:p w:rsidR="00D306AD" w:rsidRPr="0058380E" w:rsidRDefault="00D306AD" w:rsidP="00D306AD">
      <w:pPr>
        <w:pStyle w:val="FootnoteText"/>
      </w:pPr>
      <w:r w:rsidRPr="0058380E">
        <w:rPr>
          <w:rStyle w:val="FootnoteReference"/>
        </w:rPr>
        <w:footnoteRef/>
      </w:r>
      <w:r w:rsidRPr="0058380E">
        <w:t xml:space="preserve"> EUT L 298, 26.10.2012, s. 1.</w:t>
      </w:r>
    </w:p>
  </w:footnote>
  <w:footnote w:id="2">
    <w:p w:rsidR="00D306AD" w:rsidRPr="0058380E" w:rsidRDefault="00D306AD" w:rsidP="00D306AD">
      <w:pPr>
        <w:pStyle w:val="FootnoteText"/>
      </w:pPr>
      <w:r w:rsidRPr="0058380E">
        <w:rPr>
          <w:rStyle w:val="FootnoteReference"/>
        </w:rPr>
        <w:footnoteRef/>
      </w:r>
      <w:r w:rsidRPr="0058380E">
        <w:t xml:space="preserve"> </w:t>
      </w:r>
      <w:r w:rsidRPr="0058380E">
        <w:rPr>
          <w:sz w:val="18"/>
          <w:szCs w:val="18"/>
        </w:rPr>
        <w:t>EUT L 67, 7.3.2019.</w:t>
      </w:r>
    </w:p>
  </w:footnote>
  <w:footnote w:id="3">
    <w:p w:rsidR="00D306AD" w:rsidRPr="0058380E" w:rsidRDefault="00D306AD" w:rsidP="00D306AD">
      <w:pPr>
        <w:pStyle w:val="FootnoteText"/>
      </w:pPr>
      <w:r w:rsidRPr="0058380E">
        <w:rPr>
          <w:rStyle w:val="FootnoteReference"/>
        </w:rPr>
        <w:footnoteRef/>
      </w:r>
      <w:r w:rsidRPr="0058380E">
        <w:t xml:space="preserve"> EUT L 347, 20.12.2013, s. 884.</w:t>
      </w:r>
    </w:p>
  </w:footnote>
  <w:footnote w:id="4">
    <w:p w:rsidR="00D306AD" w:rsidRPr="0058380E" w:rsidRDefault="00D306AD" w:rsidP="00D306AD">
      <w:pPr>
        <w:pStyle w:val="FootnoteText"/>
      </w:pPr>
      <w:r w:rsidRPr="0058380E">
        <w:rPr>
          <w:rStyle w:val="FootnoteReference"/>
        </w:rPr>
        <w:footnoteRef/>
      </w:r>
      <w:r w:rsidRPr="0058380E">
        <w:t xml:space="preserve"> EUT C 373, 20.12.2013, s. 1.</w:t>
      </w:r>
    </w:p>
  </w:footnote>
  <w:footnote w:id="5">
    <w:p w:rsidR="00D306AD" w:rsidRPr="0058380E" w:rsidRDefault="00D306AD" w:rsidP="00D306AD">
      <w:pPr>
        <w:pStyle w:val="FootnoteText"/>
      </w:pPr>
      <w:r w:rsidRPr="0058380E">
        <w:rPr>
          <w:rStyle w:val="FootnoteReference"/>
        </w:rPr>
        <w:footnoteRef/>
      </w:r>
      <w:r w:rsidRPr="0058380E">
        <w:t xml:space="preserve"> EUT L 168, 7.6.2014, s. 105.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A4" w:rsidRDefault="0051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A4" w:rsidRDefault="00514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A4" w:rsidRDefault="0051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SECTION1MNU" w:val=" 3"/>
    <w:docVar w:name="SECTIONSMNU" w:val=" 1"/>
    <w:docVar w:name="strDocTypeID" w:val="PR_BUD_DABapp"/>
    <w:docVar w:name="strSubDir" w:val="1186"/>
    <w:docVar w:name="TXTBUDYEAR" w:val="2019"/>
    <w:docVar w:name="TXTLANGUE" w:val="EN"/>
    <w:docVar w:name="TXTLANGUEMIN" w:val="en"/>
    <w:docVar w:name="TXTNRBUD" w:val="2019/2022"/>
    <w:docVar w:name="TXTNRC" w:val="2019/0320"/>
    <w:docVar w:name="TXTNRCOM" w:val="XXXXXX"/>
    <w:docVar w:name="TXTNRCOUNC" w:val="XXXXX/2019"/>
    <w:docVar w:name="TXTNRDAB" w:val="2"/>
    <w:docVar w:name="TXTNRPE" w:val="639.766"/>
    <w:docVar w:name="TXTPEorAP" w:val="PE"/>
    <w:docVar w:name="TXTROUTE" w:val="PR\1186099EN.docx"/>
    <w:docVar w:name="TXTVERSION" w:val="01-00"/>
  </w:docVars>
  <w:rsids>
    <w:rsidRoot w:val="00B224E2"/>
    <w:rsid w:val="00007893"/>
    <w:rsid w:val="000324D4"/>
    <w:rsid w:val="000404FE"/>
    <w:rsid w:val="00045F86"/>
    <w:rsid w:val="000E3D68"/>
    <w:rsid w:val="00154D4F"/>
    <w:rsid w:val="0017450C"/>
    <w:rsid w:val="001D506D"/>
    <w:rsid w:val="0023295B"/>
    <w:rsid w:val="00233823"/>
    <w:rsid w:val="002458F8"/>
    <w:rsid w:val="0025563C"/>
    <w:rsid w:val="002714EB"/>
    <w:rsid w:val="002930F3"/>
    <w:rsid w:val="002A3E24"/>
    <w:rsid w:val="002D6EBB"/>
    <w:rsid w:val="00321B1E"/>
    <w:rsid w:val="00332F58"/>
    <w:rsid w:val="003477BB"/>
    <w:rsid w:val="00387D59"/>
    <w:rsid w:val="003D5A57"/>
    <w:rsid w:val="00453A41"/>
    <w:rsid w:val="004B6A35"/>
    <w:rsid w:val="004D7678"/>
    <w:rsid w:val="00514BA4"/>
    <w:rsid w:val="0055759D"/>
    <w:rsid w:val="0058380E"/>
    <w:rsid w:val="00585EFA"/>
    <w:rsid w:val="005E1C3F"/>
    <w:rsid w:val="0060242C"/>
    <w:rsid w:val="00671805"/>
    <w:rsid w:val="006E1229"/>
    <w:rsid w:val="00702830"/>
    <w:rsid w:val="00702C8D"/>
    <w:rsid w:val="00736426"/>
    <w:rsid w:val="00742829"/>
    <w:rsid w:val="00772EC8"/>
    <w:rsid w:val="007B2901"/>
    <w:rsid w:val="007F7FA6"/>
    <w:rsid w:val="008239BD"/>
    <w:rsid w:val="00863BD9"/>
    <w:rsid w:val="009151BB"/>
    <w:rsid w:val="0097785F"/>
    <w:rsid w:val="009A449B"/>
    <w:rsid w:val="009A6474"/>
    <w:rsid w:val="009B2709"/>
    <w:rsid w:val="009E14E1"/>
    <w:rsid w:val="00AC252D"/>
    <w:rsid w:val="00AD20BC"/>
    <w:rsid w:val="00AD2E0B"/>
    <w:rsid w:val="00AF482D"/>
    <w:rsid w:val="00B118B3"/>
    <w:rsid w:val="00B224E2"/>
    <w:rsid w:val="00B46239"/>
    <w:rsid w:val="00BA48ED"/>
    <w:rsid w:val="00C20F44"/>
    <w:rsid w:val="00C23ADB"/>
    <w:rsid w:val="00C6226C"/>
    <w:rsid w:val="00C73CFE"/>
    <w:rsid w:val="00C96001"/>
    <w:rsid w:val="00CB35E4"/>
    <w:rsid w:val="00CC72D9"/>
    <w:rsid w:val="00D306AD"/>
    <w:rsid w:val="00D47DA0"/>
    <w:rsid w:val="00DB7028"/>
    <w:rsid w:val="00E804BE"/>
    <w:rsid w:val="00E819A3"/>
    <w:rsid w:val="00E84316"/>
    <w:rsid w:val="00EE1F4B"/>
    <w:rsid w:val="00F4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601349"/>
  <w15:chartTrackingRefBased/>
  <w15:docId w15:val="{49885028-2C80-4D45-8D8B-AB5DDB3B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AD2E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32F58"/>
    <w:pPr>
      <w:tabs>
        <w:tab w:val="left" w:pos="567"/>
      </w:tabs>
    </w:pPr>
  </w:style>
  <w:style w:type="paragraph" w:customStyle="1" w:styleId="RefProc">
    <w:name w:val="RefProc"/>
    <w:basedOn w:val="Normal"/>
    <w:rsid w:val="000324D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Tab">
    <w:name w:val="CoverTab"/>
    <w:basedOn w:val="Normal24"/>
    <w:rsid w:val="00702C8D"/>
    <w:pPr>
      <w:tabs>
        <w:tab w:val="left" w:pos="3686"/>
        <w:tab w:val="left" w:pos="3969"/>
      </w:tabs>
      <w:spacing w:after="0"/>
      <w:ind w:left="1418"/>
    </w:pPr>
    <w:rPr>
      <w:snapToGrid w:val="0"/>
      <w:lang w:eastAsia="en-US"/>
    </w:rPr>
  </w:style>
  <w:style w:type="paragraph" w:customStyle="1" w:styleId="Cover24a24b">
    <w:name w:val="Cover24a24b"/>
    <w:basedOn w:val="Cover24"/>
    <w:rsid w:val="00702C8D"/>
    <w:pPr>
      <w:spacing w:before="480"/>
    </w:pPr>
  </w:style>
  <w:style w:type="table" w:styleId="TableGrid">
    <w:name w:val="Table Grid"/>
    <w:basedOn w:val="TableNormal"/>
    <w:rsid w:val="007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772EC8"/>
    <w:pPr>
      <w:jc w:val="center"/>
    </w:pPr>
    <w:rPr>
      <w:rFonts w:ascii="Arial" w:hAnsi="Arial" w:cs="Arial"/>
      <w:i/>
      <w:sz w:val="22"/>
      <w:szCs w:val="22"/>
    </w:rPr>
  </w:style>
  <w:style w:type="paragraph" w:customStyle="1" w:styleId="LineTop">
    <w:name w:val="LineTop"/>
    <w:basedOn w:val="Normal"/>
    <w:next w:val="ZCommittee"/>
    <w:rsid w:val="00772EC8"/>
    <w:pPr>
      <w:pBdr>
        <w:top w:val="single" w:sz="4" w:space="1" w:color="auto"/>
      </w:pBdr>
      <w:jc w:val="center"/>
    </w:pPr>
    <w:rPr>
      <w:rFonts w:ascii="Arial" w:hAnsi="Arial"/>
      <w:sz w:val="16"/>
      <w:szCs w:val="16"/>
    </w:rPr>
  </w:style>
  <w:style w:type="paragraph" w:customStyle="1" w:styleId="LineBottom">
    <w:name w:val="LineBottom"/>
    <w:basedOn w:val="Normal"/>
    <w:next w:val="Normal"/>
    <w:rsid w:val="00772EC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D2E0B"/>
    <w:pPr>
      <w:spacing w:after="80"/>
    </w:pPr>
    <w:rPr>
      <w:rFonts w:ascii="Arial" w:hAnsi="Arial" w:cs="Arial"/>
      <w:sz w:val="20"/>
      <w:szCs w:val="22"/>
    </w:rPr>
  </w:style>
  <w:style w:type="paragraph" w:customStyle="1" w:styleId="EPLogo">
    <w:name w:val="EPLogo"/>
    <w:basedOn w:val="Normal"/>
    <w:qFormat/>
    <w:rsid w:val="00AD2E0B"/>
    <w:pPr>
      <w:jc w:val="right"/>
    </w:pPr>
  </w:style>
  <w:style w:type="paragraph" w:styleId="FootnoteText">
    <w:name w:val="footnote text"/>
    <w:basedOn w:val="Normal"/>
    <w:link w:val="FootnoteTextChar"/>
    <w:rsid w:val="009B2709"/>
    <w:rPr>
      <w:sz w:val="20"/>
    </w:rPr>
  </w:style>
  <w:style w:type="character" w:customStyle="1" w:styleId="FootnoteTextChar">
    <w:name w:val="Footnote Text Char"/>
    <w:basedOn w:val="DefaultParagraphFont"/>
    <w:link w:val="FootnoteText"/>
    <w:rsid w:val="009B2709"/>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basedOn w:val="DefaultParagraphFont"/>
    <w:uiPriority w:val="99"/>
    <w:rsid w:val="009B2709"/>
    <w:rPr>
      <w:vertAlign w:val="superscript"/>
    </w:rPr>
  </w:style>
  <w:style w:type="paragraph" w:styleId="BalloonText">
    <w:name w:val="Balloon Text"/>
    <w:basedOn w:val="Normal"/>
    <w:link w:val="BalloonTextChar"/>
    <w:rsid w:val="00E819A3"/>
    <w:rPr>
      <w:rFonts w:ascii="Segoe UI" w:hAnsi="Segoe UI" w:cs="Segoe UI"/>
      <w:sz w:val="18"/>
      <w:szCs w:val="18"/>
    </w:rPr>
  </w:style>
  <w:style w:type="character" w:customStyle="1" w:styleId="BalloonTextChar">
    <w:name w:val="Balloon Text Char"/>
    <w:basedOn w:val="DefaultParagraphFont"/>
    <w:link w:val="BalloonText"/>
    <w:rsid w:val="00E8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5075</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PR_BUD_DABapp</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PR_BUD_DABapp</dc:title>
  <dc:subject/>
  <dc:creator>PIOT Kris Gert</dc:creator>
  <cp:keywords/>
  <dc:description/>
  <cp:lastModifiedBy>NIEMINEN-LINDQUIST Jaana</cp:lastModifiedBy>
  <cp:revision>2</cp:revision>
  <cp:lastPrinted>2004-05-27T07:49:00Z</cp:lastPrinted>
  <dcterms:created xsi:type="dcterms:W3CDTF">2019-08-01T09:39:00Z</dcterms:created>
  <dcterms:modified xsi:type="dcterms:W3CDTF">2019-08-01T09:39:00Z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1186099</vt:lpwstr>
  </property>
  <property fmtid="{D5CDD505-2E9C-101B-9397-08002B2CF9AE}" pid="5" name="&lt;Type&gt;">
    <vt:lpwstr>PR</vt:lpwstr>
  </property>
  <property fmtid="{D5CDD505-2E9C-101B-9397-08002B2CF9AE}" pid="6" name="&lt;ModelCod&gt;">
    <vt:lpwstr>\\eiciBRUpr1\pdocep$\DocEP\DOCS\General\PR\PR_BUD\BUD\PR_BUD_DABapp.dot(06/02/2019 08:44:14)</vt:lpwstr>
  </property>
  <property fmtid="{D5CDD505-2E9C-101B-9397-08002B2CF9AE}" pid="7" name="&lt;ModelTra&gt;">
    <vt:lpwstr>\\eiciBRUpr1\pdocep$\DocEP\TRANSFIL\EN\PR_BUD_DABapp.EN(26/10/2018 13:07:58)</vt:lpwstr>
  </property>
  <property fmtid="{D5CDD505-2E9C-101B-9397-08002B2CF9AE}" pid="8" name="&lt;Model&gt;">
    <vt:lpwstr>PR_BUD_DABapp</vt:lpwstr>
  </property>
  <property fmtid="{D5CDD505-2E9C-101B-9397-08002B2CF9AE}" pid="9" name="FooterPath">
    <vt:lpwstr>PR\1186099SV.docx</vt:lpwstr>
  </property>
  <property fmtid="{D5CDD505-2E9C-101B-9397-08002B2CF9AE}" pid="10" name="PE number">
    <vt:lpwstr>639.766</vt:lpwstr>
  </property>
  <property fmtid="{D5CDD505-2E9C-101B-9397-08002B2CF9AE}" pid="11" name="SubscribeElise">
    <vt:lpwstr/>
  </property>
  <property fmtid="{D5CDD505-2E9C-101B-9397-08002B2CF9AE}" pid="12" name="SendToEpades">
    <vt:lpwstr>OK - 2019/07/17 18:23</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- 2019/08/01 11:38</vt:lpwstr>
  </property>
</Properties>
</file>