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300158" w:rsidRPr="002E627C" w:rsidTr="000555E6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300158" w:rsidRPr="002E627C" w:rsidRDefault="002E627C" w:rsidP="000555E6">
            <w:pPr>
              <w:pStyle w:val="EPName"/>
            </w:pPr>
            <w:bookmarkStart w:id="0" w:name="_GoBack"/>
            <w:bookmarkEnd w:id="0"/>
            <w:r>
              <w:t>Evropski parlament</w:t>
            </w:r>
          </w:p>
          <w:p w:rsidR="00300158" w:rsidRPr="0068615F" w:rsidRDefault="0068615F" w:rsidP="0068615F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300158" w:rsidRPr="002E627C" w:rsidRDefault="00FC056F" w:rsidP="000555E6">
            <w:pPr>
              <w:pStyle w:val="EPLogo"/>
            </w:pPr>
            <w:r w:rsidRPr="002E627C">
              <w:rPr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1B7" w:rsidRPr="002E627C" w:rsidRDefault="00D461B7" w:rsidP="00D461B7">
      <w:pPr>
        <w:pStyle w:val="LineTop"/>
      </w:pPr>
    </w:p>
    <w:p w:rsidR="00D461B7" w:rsidRPr="002E627C" w:rsidRDefault="00D461B7" w:rsidP="00D461B7">
      <w:pPr>
        <w:pStyle w:val="EPBody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  <w:i w:val="0"/>
        </w:rPr>
        <w:t>{BUDG}</w:t>
      </w:r>
      <w:r>
        <w:t>Odbor za proračun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D461B7" w:rsidRPr="002E627C" w:rsidRDefault="00D461B7" w:rsidP="00D461B7">
      <w:pPr>
        <w:pStyle w:val="LineBottom"/>
      </w:pPr>
    </w:p>
    <w:p w:rsidR="004D2440" w:rsidRPr="002E627C" w:rsidRDefault="004D2440">
      <w:pPr>
        <w:pStyle w:val="CoverReference"/>
      </w:pPr>
      <w:r>
        <w:rPr>
          <w:rStyle w:val="HideTWBExt"/>
          <w:b w:val="0"/>
          <w:noProof w:val="0"/>
        </w:rPr>
        <w:t>&lt;RefProc&gt;</w:t>
      </w:r>
      <w:r>
        <w:t>2019/2026</w:t>
      </w:r>
      <w:r>
        <w:rPr>
          <w:rStyle w:val="HideTWBExt"/>
          <w:b w:val="0"/>
          <w:noProof w:val="0"/>
        </w:rPr>
        <w:t>&lt;/RefProc&gt;&lt;RefTypeProc&gt;</w:t>
      </w:r>
      <w:r>
        <w:t>(BUD)</w:t>
      </w:r>
      <w:r>
        <w:rPr>
          <w:rStyle w:val="HideTWBExt"/>
          <w:b w:val="0"/>
          <w:noProof w:val="0"/>
        </w:rPr>
        <w:t>&lt;/RefTypeProc&gt;</w:t>
      </w:r>
    </w:p>
    <w:p w:rsidR="004D2440" w:rsidRPr="002E627C" w:rsidRDefault="004D2440">
      <w:pPr>
        <w:pStyle w:val="Cover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{19/11/2019}</w:t>
      </w:r>
      <w:r>
        <w:t>19.11.2019</w:t>
      </w:r>
      <w:r>
        <w:rPr>
          <w:rStyle w:val="HideTWBExt"/>
          <w:noProof w:val="0"/>
        </w:rPr>
        <w:t>&lt;/Date&gt;</w:t>
      </w:r>
    </w:p>
    <w:p w:rsidR="004D2440" w:rsidRPr="002E627C" w:rsidRDefault="004D2440">
      <w:pPr>
        <w:pStyle w:val="CoverDocType24a"/>
      </w:pPr>
      <w:r>
        <w:rPr>
          <w:rStyle w:val="HideTWBExt"/>
          <w:b w:val="0"/>
          <w:noProof w:val="0"/>
        </w:rPr>
        <w:t>&lt;TitreType&gt;</w:t>
      </w:r>
      <w:r>
        <w:t>OSNUTEK POROČILA</w:t>
      </w:r>
      <w:r>
        <w:rPr>
          <w:rStyle w:val="HideTWBExt"/>
          <w:b w:val="0"/>
          <w:noProof w:val="0"/>
        </w:rPr>
        <w:t>&lt;/TitreType&gt;</w:t>
      </w:r>
    </w:p>
    <w:p w:rsidR="004D2440" w:rsidRPr="002E627C" w:rsidRDefault="004D2440">
      <w:pPr>
        <w:pStyle w:val="CoverNormal"/>
      </w:pPr>
      <w:r>
        <w:rPr>
          <w:rStyle w:val="HideTWBExt"/>
          <w:noProof w:val="0"/>
        </w:rPr>
        <w:t>&lt;Titre&gt;</w:t>
      </w:r>
      <w:r>
        <w:t>o predlogu sklepa Evropskega parlamenta in Sveta o upora</w:t>
      </w:r>
      <w:r w:rsidR="006B7BF9">
        <w:t xml:space="preserve">bi instrumenta prilagodljivosti </w:t>
      </w:r>
      <w:r>
        <w:t>za financiranje takojšnjih proračunskih ukrepov za obvladovanje trenutnih izzivov migracij, pritokov beguncev in varnostnih groženj</w:t>
      </w:r>
      <w:r>
        <w:rPr>
          <w:rStyle w:val="HideTWBExt"/>
          <w:noProof w:val="0"/>
        </w:rPr>
        <w:t>&lt;/Titre&gt;</w:t>
      </w:r>
    </w:p>
    <w:p w:rsidR="004D2440" w:rsidRPr="002E627C" w:rsidRDefault="004D2440">
      <w:pPr>
        <w:pStyle w:val="CoverNormal24a"/>
      </w:pPr>
      <w:r>
        <w:rPr>
          <w:rStyle w:val="HideTWBExt"/>
          <w:noProof w:val="0"/>
        </w:rPr>
        <w:t>&lt;DocRef&gt;</w:t>
      </w:r>
      <w:r>
        <w:t>(COM(2019)0251 – C9-0007/2019 – 2019/2026(BUD))</w:t>
      </w:r>
      <w:r>
        <w:rPr>
          <w:rStyle w:val="HideTWBExt"/>
          <w:noProof w:val="0"/>
        </w:rPr>
        <w:t>&lt;/DocRef&gt;</w:t>
      </w:r>
    </w:p>
    <w:p w:rsidR="004D2440" w:rsidRPr="002E627C" w:rsidRDefault="004D2440">
      <w:pPr>
        <w:pStyle w:val="CoverNormal24a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{BUDG}</w:t>
      </w:r>
      <w:r>
        <w:t>Odbor za proračun</w:t>
      </w:r>
      <w:r>
        <w:rPr>
          <w:rStyle w:val="HideTWBExt"/>
          <w:noProof w:val="0"/>
        </w:rPr>
        <w:t>&lt;/Commission&gt;</w:t>
      </w:r>
    </w:p>
    <w:p w:rsidR="004D2440" w:rsidRPr="002E627C" w:rsidRDefault="0068615F">
      <w:pPr>
        <w:pStyle w:val="CoverNormal24a"/>
      </w:pPr>
      <w:r>
        <w:t xml:space="preserve">Poročevalka: </w:t>
      </w:r>
      <w:r>
        <w:rPr>
          <w:rStyle w:val="HideTWBExt"/>
          <w:noProof w:val="0"/>
        </w:rPr>
        <w:t>&lt;Depute&gt;</w:t>
      </w:r>
      <w:r>
        <w:t>Monika Hohlmeier</w:t>
      </w:r>
      <w:r>
        <w:rPr>
          <w:rStyle w:val="HideTWBExt"/>
          <w:noProof w:val="0"/>
        </w:rPr>
        <w:t>&lt;/Depute&gt;</w:t>
      </w:r>
    </w:p>
    <w:p w:rsidR="0058028A" w:rsidRPr="002E627C" w:rsidRDefault="0058028A" w:rsidP="0058028A">
      <w:pPr>
        <w:pStyle w:val="CoverNormal"/>
      </w:pPr>
    </w:p>
    <w:p w:rsidR="004D2440" w:rsidRPr="002E627C" w:rsidRDefault="004D2440" w:rsidP="00300158">
      <w:pPr>
        <w:widowControl/>
        <w:tabs>
          <w:tab w:val="center" w:pos="4677"/>
        </w:tabs>
      </w:pPr>
      <w:r>
        <w:br w:type="page"/>
      </w:r>
      <w:r>
        <w:lastRenderedPageBreak/>
        <w:t>PR_BUD_Funds</w:t>
      </w:r>
    </w:p>
    <w:p w:rsidR="004D2440" w:rsidRPr="002E627C" w:rsidRDefault="002E627C">
      <w:pPr>
        <w:pStyle w:val="TOCHeading"/>
      </w:pPr>
      <w:r>
        <w:t>VSEBINA</w:t>
      </w:r>
    </w:p>
    <w:p w:rsidR="004D2440" w:rsidRPr="002E627C" w:rsidRDefault="002E627C">
      <w:pPr>
        <w:pStyle w:val="TOCPage"/>
      </w:pPr>
      <w:r>
        <w:t>Stran</w:t>
      </w:r>
    </w:p>
    <w:p w:rsidR="006838CC" w:rsidRDefault="004D2440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2E627C">
        <w:fldChar w:fldCharType="begin"/>
      </w:r>
      <w:r w:rsidRPr="002E627C">
        <w:instrText xml:space="preserve"> TOC \t "PageHeading</w:instrText>
      </w:r>
      <w:r w:rsidR="006838CC">
        <w:instrText>;</w:instrText>
      </w:r>
      <w:r w:rsidRPr="002E627C">
        <w:instrText xml:space="preserve">1" </w:instrText>
      </w:r>
      <w:r w:rsidRPr="002E627C">
        <w:fldChar w:fldCharType="separate"/>
      </w:r>
      <w:r w:rsidR="006838CC">
        <w:rPr>
          <w:noProof/>
        </w:rPr>
        <w:t>PREDLOG RESOLUCIJE EVROPSKEGA PARLAMENTA</w:t>
      </w:r>
      <w:r w:rsidR="006838CC">
        <w:rPr>
          <w:noProof/>
        </w:rPr>
        <w:tab/>
      </w:r>
      <w:r w:rsidR="006838CC">
        <w:rPr>
          <w:noProof/>
        </w:rPr>
        <w:fldChar w:fldCharType="begin"/>
      </w:r>
      <w:r w:rsidR="006838CC">
        <w:rPr>
          <w:noProof/>
        </w:rPr>
        <w:instrText xml:space="preserve"> PAGEREF _Toc25325284 \h </w:instrText>
      </w:r>
      <w:r w:rsidR="006838CC">
        <w:rPr>
          <w:noProof/>
        </w:rPr>
      </w:r>
      <w:r w:rsidR="006838CC">
        <w:rPr>
          <w:noProof/>
        </w:rPr>
        <w:fldChar w:fldCharType="separate"/>
      </w:r>
      <w:r w:rsidR="006838CC">
        <w:rPr>
          <w:noProof/>
        </w:rPr>
        <w:t>3</w:t>
      </w:r>
      <w:r w:rsidR="006838CC">
        <w:rPr>
          <w:noProof/>
        </w:rPr>
        <w:fldChar w:fldCharType="end"/>
      </w:r>
    </w:p>
    <w:p w:rsidR="006838CC" w:rsidRDefault="006838CC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PRILOGA: SKLEP EVROPSKEGA PARLAMENTA IN SVETA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_Toc25325285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D2440" w:rsidRPr="002E627C" w:rsidRDefault="004D2440" w:rsidP="006E4E08">
      <w:r w:rsidRPr="002E627C">
        <w:fldChar w:fldCharType="end"/>
      </w:r>
    </w:p>
    <w:p w:rsidR="004D2440" w:rsidRPr="002E627C" w:rsidRDefault="004D2440">
      <w:pPr>
        <w:pStyle w:val="PageHeading"/>
      </w:pPr>
      <w:r>
        <w:br w:type="page"/>
      </w:r>
      <w:bookmarkStart w:id="1" w:name="_Toc25325284"/>
      <w:r>
        <w:lastRenderedPageBreak/>
        <w:t>PREDLOG RESOLUCIJE EVROPSKEGA PARLAMENTA</w:t>
      </w:r>
      <w:bookmarkEnd w:id="1"/>
    </w:p>
    <w:p w:rsidR="004D2440" w:rsidRPr="002E627C" w:rsidRDefault="002E627C">
      <w:pPr>
        <w:pStyle w:val="NormalBold"/>
      </w:pPr>
      <w:r>
        <w:t>o predlogu sklepa Evropskega parlamenta in Sveta o upora</w:t>
      </w:r>
      <w:r w:rsidR="006B7BF9">
        <w:t xml:space="preserve">bi instrumenta prilagodljivosti </w:t>
      </w:r>
      <w:r>
        <w:t>za financiranje takojšnjih proračunskih ukrepov za obvladovanje trenutnih izzivov migracij, pritokov beguncev in varnostnih groženj</w:t>
      </w:r>
    </w:p>
    <w:p w:rsidR="004D2440" w:rsidRPr="002E627C" w:rsidRDefault="002E627C" w:rsidP="006E4E08">
      <w:pPr>
        <w:pStyle w:val="NormalBold"/>
      </w:pPr>
      <w:r>
        <w:t>(COM(2019)0251 – C9-0007/2019 – 2019/2026(BUD))</w:t>
      </w:r>
    </w:p>
    <w:p w:rsidR="004D2440" w:rsidRPr="002E627C" w:rsidRDefault="002E627C" w:rsidP="006E4E08">
      <w:pPr>
        <w:pStyle w:val="EPComma"/>
      </w:pPr>
      <w:r>
        <w:rPr>
          <w:i/>
        </w:rPr>
        <w:t>Evropski parlament</w:t>
      </w:r>
      <w:r>
        <w:t>,</w:t>
      </w:r>
    </w:p>
    <w:p w:rsidR="004D2440" w:rsidRPr="002E627C" w:rsidRDefault="004D2440">
      <w:pPr>
        <w:pStyle w:val="NormalHanging12a"/>
      </w:pPr>
      <w:r>
        <w:t>–</w:t>
      </w:r>
      <w:r>
        <w:tab/>
        <w:t>ob upoštevanju predloga Komisije Evropskemu parlamentu in Svetu (COM(2019)0251 – C9-0007/2019),</w:t>
      </w:r>
    </w:p>
    <w:p w:rsidR="007F63FC" w:rsidRPr="002E627C" w:rsidRDefault="007F63FC" w:rsidP="007F63FC">
      <w:pPr>
        <w:pStyle w:val="NormalHanging12a"/>
      </w:pPr>
      <w:r>
        <w:t>–</w:t>
      </w:r>
      <w:r>
        <w:tab/>
        <w:t>ob upoštevanju Uredbe Sveta (EU, Euratom) št. 1311/2013 z dne 2. decembra 2013 o večletnem finančnem okviru za obdobje 2014–2020</w:t>
      </w:r>
      <w:r w:rsidR="0068615F">
        <w:rPr>
          <w:rStyle w:val="FootnoteReference"/>
        </w:rPr>
        <w:footnoteReference w:id="1"/>
      </w:r>
      <w:r>
        <w:t xml:space="preserve"> in zlasti člena 11,</w:t>
      </w:r>
    </w:p>
    <w:p w:rsidR="004D2440" w:rsidRPr="002E627C" w:rsidRDefault="004D2440">
      <w:pPr>
        <w:pStyle w:val="NormalHanging12a"/>
      </w:pPr>
      <w:r>
        <w:t>–</w:t>
      </w:r>
      <w:r>
        <w:tab/>
        <w:t>ob upoštevanju Medinstitucionalnega sporazuma z dne 2. decembra 2013 med Evropskim parlamentom, Svetom in Komisijo o proračunski disciplini, sodelovanju v proračunskih zadevah in dobrem finančnem poslovodenju</w:t>
      </w:r>
      <w:r w:rsidR="0068615F">
        <w:rPr>
          <w:rStyle w:val="FootnoteReference"/>
        </w:rPr>
        <w:footnoteReference w:id="2"/>
      </w:r>
      <w:r>
        <w:t xml:space="preserve"> in zlasti točke 12,</w:t>
      </w:r>
    </w:p>
    <w:p w:rsidR="0068615F" w:rsidRPr="000953EB" w:rsidRDefault="0068615F" w:rsidP="0068615F">
      <w:pPr>
        <w:pStyle w:val="NormalHanging12a"/>
      </w:pPr>
      <w:r>
        <w:t>–</w:t>
      </w:r>
      <w:r>
        <w:tab/>
        <w:t>ob upoštevanju predloga splošnega proračuna Evropske unije za proračunsko leto 2020, ki ga je Komisija sprejela 5. julija 2019 (COM(2019)0400) in kakor je bil spremenjen z dopolnilnim pismom št. 1/2020 (COM(2017)0487),</w:t>
      </w:r>
    </w:p>
    <w:p w:rsidR="0068615F" w:rsidRPr="000953EB" w:rsidRDefault="0068615F" w:rsidP="0068615F">
      <w:pPr>
        <w:pStyle w:val="NormalHanging12a"/>
      </w:pPr>
      <w:r>
        <w:t>–</w:t>
      </w:r>
      <w:r>
        <w:tab/>
        <w:t>ob upoštevanju stališča o predlogu splošnega proračuna Evropske unije za proračunsko leto 2020, ki ga je Svet sprejel 3. septembra 2019 in ga 13. septembra 2019 posredoval Evropskemu parlamentu (</w:t>
      </w:r>
      <w:r>
        <w:rPr>
          <w:rStyle w:val="epname0"/>
          <w:rFonts w:ascii="inherit" w:hAnsi="inherit"/>
          <w:bdr w:val="none" w:sz="0" w:space="0" w:color="auto" w:frame="1"/>
        </w:rPr>
        <w:t>11734/2019</w:t>
      </w:r>
      <w:r>
        <w:t xml:space="preserve"> – C9-0119/2019),</w:t>
      </w:r>
    </w:p>
    <w:p w:rsidR="0068615F" w:rsidRPr="000953EB" w:rsidRDefault="0068615F" w:rsidP="0068615F">
      <w:pPr>
        <w:pStyle w:val="NormalHanging12a"/>
        <w:rPr>
          <w:szCs w:val="24"/>
        </w:rPr>
      </w:pPr>
      <w:r>
        <w:t>–</w:t>
      </w:r>
      <w:r>
        <w:tab/>
        <w:t>ob upoštevanju svoje resolucije z dne 23. oktobra 2019 o stališču Sveta o predlogu splošnega proračuna Evropske unije za proračunsko leto 2020</w:t>
      </w:r>
      <w:r w:rsidRPr="000953EB">
        <w:rPr>
          <w:rStyle w:val="FootnoteReference"/>
        </w:rPr>
        <w:footnoteReference w:id="3"/>
      </w:r>
      <w:r w:rsidR="006B7BF9">
        <w:t>,</w:t>
      </w:r>
    </w:p>
    <w:p w:rsidR="0068615F" w:rsidRPr="000953EB" w:rsidRDefault="0068615F" w:rsidP="0068615F">
      <w:pPr>
        <w:pStyle w:val="NormalHanging12a"/>
      </w:pPr>
      <w:r>
        <w:t>–</w:t>
      </w:r>
      <w:r>
        <w:tab/>
        <w:t>ob upoštevanju skupnega besedila, ki ga je spravni odbor potrdil 18. novembra 2019 (A9-0000/2017),</w:t>
      </w:r>
    </w:p>
    <w:p w:rsidR="00F17C55" w:rsidRPr="002E627C" w:rsidRDefault="00F17C55" w:rsidP="00F17C55">
      <w:pPr>
        <w:pStyle w:val="NormalHanging12a"/>
      </w:pPr>
      <w:r>
        <w:t>–</w:t>
      </w:r>
      <w:r>
        <w:tab/>
        <w:t>ob upoštevanju poročila Odbora za proračun (A9-0000/2019),</w:t>
      </w:r>
    </w:p>
    <w:p w:rsidR="0068615F" w:rsidRPr="000953EB" w:rsidRDefault="0068615F" w:rsidP="0068615F">
      <w:pPr>
        <w:pStyle w:val="NormalHanging12a"/>
      </w:pPr>
      <w:r>
        <w:t>A.</w:t>
      </w:r>
      <w:r>
        <w:tab/>
        <w:t>ker je instrument prilagodljivosti namenjen financiranju jasno opredeljenih odhodkov v danem proračunskem letu, ki jih ni mogoče financirati v okviru zgornj</w:t>
      </w:r>
      <w:r w:rsidR="006B7BF9">
        <w:t>ih meja enega ali več razdelkov,</w:t>
      </w:r>
    </w:p>
    <w:p w:rsidR="0068615F" w:rsidRPr="000953EB" w:rsidRDefault="0068615F" w:rsidP="0068615F">
      <w:pPr>
        <w:pStyle w:val="NormalHanging12a"/>
      </w:pPr>
      <w:r>
        <w:t>B.</w:t>
      </w:r>
      <w:r>
        <w:tab/>
        <w:t xml:space="preserve">ker je Komisija predlagala uporabo instrumenta prilagodljivosti, da bi dopolnila financiranje iz splošnega proračuna Unije za proračunsko leto 2020, ki presega zgornjo mejo razdelka 3 v znesku 778.074.489 milijonov EUR za financiranje ukrepov na </w:t>
      </w:r>
      <w:r>
        <w:lastRenderedPageBreak/>
        <w:t>področjih migracij, pritokov beguncev in varnostnih groženj,</w:t>
      </w:r>
    </w:p>
    <w:p w:rsidR="0068615F" w:rsidRPr="000953EB" w:rsidRDefault="0068615F" w:rsidP="0068615F">
      <w:pPr>
        <w:pStyle w:val="NormalHanging12a"/>
      </w:pPr>
      <w:r>
        <w:t>C.</w:t>
      </w:r>
      <w:r>
        <w:tab/>
        <w:t>ker se je spravni odbor, ki se je sestal v zvezi s proračunom za leto 2020, strinjal z uporabo, ki jo je predlagala Komisija,</w:t>
      </w:r>
    </w:p>
    <w:p w:rsidR="0068615F" w:rsidRPr="000953EB" w:rsidRDefault="006B7BF9" w:rsidP="0068615F">
      <w:pPr>
        <w:pStyle w:val="NormalHanging12a"/>
      </w:pPr>
      <w:r>
        <w:t>1.</w:t>
      </w:r>
      <w:r w:rsidR="0068615F">
        <w:tab/>
        <w:t>soglaša, da se iz instrumenta prilagodljivosti zagotovijo sredstva za prevzem obveznosti v višini 778.074.489 EUR;</w:t>
      </w:r>
    </w:p>
    <w:p w:rsidR="0068615F" w:rsidRPr="000953EB" w:rsidRDefault="0068615F" w:rsidP="0068615F">
      <w:pPr>
        <w:pStyle w:val="NormalHanging12a"/>
      </w:pPr>
      <w:r>
        <w:t>2.</w:t>
      </w:r>
      <w:r>
        <w:tab/>
        <w:t>poudarja, da je uporaba tega instrumenta, kot je določena v členu 11 uredbe o večletnem finančnem okviru, znova pokazala, da bi moral biti proračun Unije bolj prilagodljiv;</w:t>
      </w:r>
    </w:p>
    <w:p w:rsidR="0068615F" w:rsidRPr="000953EB" w:rsidRDefault="0068615F" w:rsidP="0068615F">
      <w:pPr>
        <w:pStyle w:val="NormalHanging12a"/>
      </w:pPr>
      <w:r>
        <w:t>3.</w:t>
      </w:r>
      <w:r>
        <w:tab/>
        <w:t>znova izraža svoje dolgoletno stališče, da se plačila, ki izhajajo iz obveznosti, prevzetih v sklopu instrumenta prilagodljivosti, ne smejo upoštevati pri zgornji meji večletnega finančnega okvira;</w:t>
      </w:r>
    </w:p>
    <w:p w:rsidR="004D2440" w:rsidRPr="002E627C" w:rsidRDefault="0068615F">
      <w:pPr>
        <w:pStyle w:val="NormalHanging12a"/>
      </w:pPr>
      <w:r>
        <w:t>4.</w:t>
      </w:r>
      <w:r>
        <w:tab/>
        <w:t>odobri sklep, priložen tej resoluciji;</w:t>
      </w:r>
    </w:p>
    <w:p w:rsidR="004D2440" w:rsidRPr="002E627C" w:rsidRDefault="0068615F">
      <w:pPr>
        <w:pStyle w:val="NormalHanging12a"/>
      </w:pPr>
      <w:r>
        <w:t>5.</w:t>
      </w:r>
      <w:r>
        <w:tab/>
        <w:t xml:space="preserve">naroči svojemu predsedniku, naj podpiše ta sklep skupaj s predsednikom Sveta ter poskrbi za njegovo objavo v </w:t>
      </w:r>
      <w:r>
        <w:rPr>
          <w:i/>
        </w:rPr>
        <w:t>Uradnem listu Evropske unije</w:t>
      </w:r>
      <w:r>
        <w:t>;</w:t>
      </w:r>
    </w:p>
    <w:p w:rsidR="004D2440" w:rsidRPr="002E627C" w:rsidRDefault="0068615F">
      <w:pPr>
        <w:pStyle w:val="NormalHanging12a"/>
      </w:pPr>
      <w:r>
        <w:t>6.</w:t>
      </w:r>
      <w:r>
        <w:tab/>
        <w:t>naroči svojemu predsedniku, naj resolucijo skupaj s prilogo posreduje Svetu in Komisiji.</w:t>
      </w:r>
    </w:p>
    <w:p w:rsidR="00616E75" w:rsidRPr="002E627C" w:rsidRDefault="00616E75" w:rsidP="0052720D"/>
    <w:p w:rsidR="00616E75" w:rsidRPr="002E627C" w:rsidRDefault="00616E75">
      <w:pPr>
        <w:pStyle w:val="PageHeading"/>
        <w:sectPr w:rsidR="00616E75" w:rsidRPr="002E627C" w:rsidSect="00D63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titlePg/>
        </w:sectPr>
      </w:pPr>
    </w:p>
    <w:p w:rsidR="004D2440" w:rsidRPr="002E627C" w:rsidRDefault="002E627C">
      <w:pPr>
        <w:pStyle w:val="PageHeading"/>
      </w:pPr>
      <w:bookmarkStart w:id="2" w:name="_Toc25325285"/>
      <w:r>
        <w:t>PRILOGA: SKLEP EVROPSKEGA PARLAMENTA IN SVETA</w:t>
      </w:r>
      <w:bookmarkEnd w:id="2"/>
    </w:p>
    <w:p w:rsidR="004D2440" w:rsidRPr="002E627C" w:rsidRDefault="0068615F" w:rsidP="00DF46ED">
      <w:pPr>
        <w:pStyle w:val="NormalBold24a"/>
      </w:pPr>
      <w:r>
        <w:t xml:space="preserve"> o upora</w:t>
      </w:r>
      <w:r w:rsidR="006B7BF9">
        <w:t xml:space="preserve">bi instrumenta prilagodljivosti </w:t>
      </w:r>
      <w:r>
        <w:t>za financiranje takojšnjih proračunskih ukrepov za obvladovanje trenutnih izzivov migracij, pritokov beguncev in varnostnih groženj</w:t>
      </w:r>
    </w:p>
    <w:p w:rsidR="004C234C" w:rsidRPr="004C234C" w:rsidRDefault="004C234C" w:rsidP="004C234C">
      <w:pPr>
        <w:pStyle w:val="Institutionquiagit"/>
      </w:pPr>
      <w:r>
        <w:t>EVROPSKI PARLAMENT IN SVET EVROPSKE UNIJE STA –</w:t>
      </w:r>
    </w:p>
    <w:p w:rsidR="004C234C" w:rsidRDefault="004C234C" w:rsidP="004C234C">
      <w:pPr>
        <w:spacing w:before="120" w:after="120"/>
      </w:pPr>
      <w:r>
        <w:t>ob upoštevanju Pogodbe o delovanju Evropske unije,</w:t>
      </w:r>
    </w:p>
    <w:p w:rsidR="004C234C" w:rsidRDefault="004C234C" w:rsidP="004C234C">
      <w:pPr>
        <w:spacing w:before="120" w:after="120"/>
      </w:pPr>
      <w:r>
        <w:t>ob upoštevanju Medinstitucionalnega sporazuma z dne 2. decembra 2013 med Evropskim parlamentom, Svetom in Komisijo o proračunski disciplini, sodelovanju v proračunskih zadevah in dobrem finančnem poslovodenju</w:t>
      </w:r>
      <w:r>
        <w:rPr>
          <w:rStyle w:val="FootnoteReference"/>
        </w:rPr>
        <w:footnoteReference w:id="4"/>
      </w:r>
      <w:r>
        <w:t xml:space="preserve"> in zlasti točke 12 Sporazuma,</w:t>
      </w:r>
    </w:p>
    <w:p w:rsidR="004C234C" w:rsidRDefault="004C234C" w:rsidP="004C234C">
      <w:pPr>
        <w:spacing w:before="120" w:after="120"/>
      </w:pPr>
      <w:r>
        <w:t>ob upoštevanju predloga Evropske komisije,</w:t>
      </w:r>
    </w:p>
    <w:p w:rsidR="004C234C" w:rsidRDefault="006B7BF9" w:rsidP="004C234C">
      <w:r>
        <w:t>ob upoštevanju naslednjega: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spacing w:after="0"/>
        <w:ind w:left="851" w:hanging="851"/>
      </w:pPr>
      <w:r>
        <w:t>(1)</w:t>
      </w:r>
      <w:r>
        <w:tab/>
        <w:t>Instrument prilagodljivosti je namenjen financiranju jasno opredeljenih odhodkov, ki jih ni mogoče financirati v okviru zgornjih meja, ki so na razpolago za enega ali več drugih razdelkov.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(2)</w:t>
      </w:r>
      <w:r>
        <w:tab/>
        <w:t>Letna zgornja meja zneska, ki je na razpolago za instrument prilagodljivosti in znaša 600.000.000 EUR (v cenah iz leta 2011), kot je določeno v členu 11 Uredbe Sveta (EU, Euratom) št. 1311/2013</w:t>
      </w:r>
      <w:r w:rsidRPr="000953EB">
        <w:rPr>
          <w:rStyle w:val="FootnoteReference"/>
        </w:rPr>
        <w:footnoteReference w:id="5"/>
      </w:r>
      <w:r>
        <w:t>, se po potrebi poveča za zapadle zneske, ki so na voljo v skladu z drugim pododstavkom odst</w:t>
      </w:r>
      <w:r w:rsidR="006B7BF9">
        <w:t>avka 1 navedenega člena.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spacing w:before="0" w:after="0"/>
        <w:ind w:left="850" w:hanging="850"/>
      </w:pPr>
      <w:r>
        <w:t>(3)</w:t>
      </w:r>
      <w:r>
        <w:tab/>
        <w:t>Da bi lahko obvladali trenutne izzive migracij, pritokov beguncev in varnostnih groženj, je nujno treba uporabiti znatne dodatne zneske za financiranje takšnih ukrepov.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(4)</w:t>
      </w:r>
      <w:r>
        <w:tab/>
        <w:t>Po preučitvi vseh možnosti za prerazporeditev odobritev v okviru zgornje meje za odhodke v razdelku 3 (</w:t>
      </w:r>
      <w:r>
        <w:rPr>
          <w:i/>
        </w:rPr>
        <w:t>Varnost in državljanstvo</w:t>
      </w:r>
      <w:r>
        <w:t>) kaže, da je za financiranje ukrepov na področju migracij, beguncev in varnosti potrebno sredstva, ki so na voljo v splošnem proračunu Unije za proračunsko leto 2020, dopolniti s sredstvi instrumenta prilagodljivosti nad zgornjo mejo razdelka 3, in sicer v znesku 778.074.489 milijonov EUR.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(5)</w:t>
      </w:r>
      <w:r>
        <w:tab/>
        <w:t>V skladu s pričakovano razdelitvijo plačil bodo odobritve plačil, ki ustrezajo uporabi instrumenta prilagodljivosti, porazdeljene na več proračunskih let.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(6)</w:t>
      </w:r>
      <w:r>
        <w:tab/>
        <w:t>Da bi lahko začeli čim prej koristiti sredstva, bi se moral ta sklep uporabljati od začetka proračunskega leta 2020 –</w:t>
      </w:r>
    </w:p>
    <w:p w:rsidR="004C234C" w:rsidRDefault="004C234C" w:rsidP="004C234C">
      <w:pPr>
        <w:pStyle w:val="Formuledadoption"/>
      </w:pPr>
      <w:r>
        <w:t>SPREJELA NASLEDNJI SKLEP:</w:t>
      </w:r>
    </w:p>
    <w:p w:rsidR="0068615F" w:rsidRPr="000953EB" w:rsidRDefault="004C234C" w:rsidP="0068615F">
      <w:pPr>
        <w:pStyle w:val="Titrearticle"/>
      </w:pPr>
      <w:r>
        <w:t>Člen 1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(1)</w:t>
      </w:r>
      <w:r>
        <w:tab/>
        <w:t>V okviru splošnega proračuna Unije za proračunsko leto 2020 se instrument prilagodljivosti uporabi za zagotovitev 778.074.489 EUR v odobritvah za prevzem obveznosti v razdelku 3 (</w:t>
      </w:r>
      <w:r>
        <w:rPr>
          <w:i/>
        </w:rPr>
        <w:t>Varnost in državljanstvo</w:t>
      </w:r>
      <w:r>
        <w:t>).</w:t>
      </w:r>
    </w:p>
    <w:p w:rsidR="0068615F" w:rsidRPr="000953EB" w:rsidRDefault="0068615F" w:rsidP="0068615F">
      <w:pPr>
        <w:spacing w:before="120" w:after="120"/>
      </w:pPr>
      <w:r>
        <w:t>Znesek iz prvega pododstavka se uporabi za financiranje ukrepov, namenjenih obvladovanju trenutnih izzivov migracij, pritokov beguncev in varnostnih groženj.</w:t>
      </w:r>
    </w:p>
    <w:p w:rsidR="0068615F" w:rsidRPr="000953EB" w:rsidRDefault="0068615F" w:rsidP="0068615F">
      <w:pPr>
        <w:pStyle w:val="Point0number"/>
        <w:numPr>
          <w:ilvl w:val="0"/>
          <w:numId w:val="0"/>
        </w:numPr>
        <w:tabs>
          <w:tab w:val="left" w:pos="850"/>
        </w:tabs>
        <w:ind w:left="850" w:hanging="850"/>
      </w:pPr>
      <w:r>
        <w:t>(2)</w:t>
      </w:r>
      <w:r>
        <w:tab/>
        <w:t>Na podlagi pričakovane razdelitve plačil je porazdelitev odobritev plačil, ki ustreza uporabi instrumenta prilagodljivosti, ocenjena kot sledi:</w:t>
      </w:r>
    </w:p>
    <w:p w:rsidR="0068615F" w:rsidRPr="000953EB" w:rsidRDefault="0068615F" w:rsidP="0068615F">
      <w:pPr>
        <w:pStyle w:val="Point0letter"/>
        <w:numPr>
          <w:ilvl w:val="0"/>
          <w:numId w:val="0"/>
        </w:numPr>
        <w:tabs>
          <w:tab w:val="left" w:pos="426"/>
        </w:tabs>
        <w:ind w:left="426" w:hanging="424"/>
      </w:pPr>
      <w:r>
        <w:t>(a)</w:t>
      </w:r>
      <w:r>
        <w:tab/>
        <w:t>407.402.108 EUR v letu 2020,</w:t>
      </w:r>
    </w:p>
    <w:p w:rsidR="0068615F" w:rsidRPr="000953EB" w:rsidRDefault="0068615F" w:rsidP="0068615F">
      <w:pPr>
        <w:pStyle w:val="Point0letter"/>
        <w:numPr>
          <w:ilvl w:val="0"/>
          <w:numId w:val="0"/>
        </w:numPr>
        <w:tabs>
          <w:tab w:val="left" w:pos="426"/>
        </w:tabs>
        <w:ind w:left="426" w:hanging="424"/>
      </w:pPr>
      <w:r>
        <w:t>(b)</w:t>
      </w:r>
      <w:r>
        <w:tab/>
        <w:t>312.205.134 EUR v letu 2021,</w:t>
      </w:r>
    </w:p>
    <w:p w:rsidR="0068615F" w:rsidRPr="000953EB" w:rsidRDefault="0068615F" w:rsidP="0068615F">
      <w:pPr>
        <w:pStyle w:val="Point0letter"/>
        <w:numPr>
          <w:ilvl w:val="0"/>
          <w:numId w:val="0"/>
        </w:numPr>
        <w:tabs>
          <w:tab w:val="left" w:pos="426"/>
        </w:tabs>
        <w:ind w:left="426" w:hanging="424"/>
      </w:pPr>
      <w:r>
        <w:t>(c)</w:t>
      </w:r>
      <w:r>
        <w:tab/>
        <w:t>42.336.587 EUR v letu 2022,</w:t>
      </w:r>
    </w:p>
    <w:p w:rsidR="0068615F" w:rsidRPr="000953EB" w:rsidRDefault="0068615F" w:rsidP="0068615F">
      <w:pPr>
        <w:pStyle w:val="Point0letter"/>
        <w:numPr>
          <w:ilvl w:val="0"/>
          <w:numId w:val="0"/>
        </w:numPr>
        <w:tabs>
          <w:tab w:val="left" w:pos="426"/>
        </w:tabs>
        <w:ind w:left="426" w:hanging="424"/>
      </w:pPr>
      <w:r>
        <w:t>(d)</w:t>
      </w:r>
      <w:r>
        <w:tab/>
        <w:t>16.130.660 EUR v letu 2023.</w:t>
      </w:r>
    </w:p>
    <w:p w:rsidR="0068615F" w:rsidRPr="000953EB" w:rsidRDefault="0068615F" w:rsidP="0068615F">
      <w:r>
        <w:t>Zneski odobritev plačil, določeni za posamezna proračunska leta, se odobrijo v skladu z letnim proračunskim postopkom.</w:t>
      </w:r>
    </w:p>
    <w:p w:rsidR="0068615F" w:rsidRPr="000953EB" w:rsidRDefault="004C234C" w:rsidP="0068615F">
      <w:pPr>
        <w:pStyle w:val="Titrearticle"/>
      </w:pPr>
      <w:r>
        <w:t>Člen 2</w:t>
      </w:r>
    </w:p>
    <w:p w:rsidR="0068615F" w:rsidRPr="000953EB" w:rsidRDefault="004C234C" w:rsidP="0068615F">
      <w:pPr>
        <w:rPr>
          <w:i/>
        </w:rPr>
      </w:pPr>
      <w:r>
        <w:t xml:space="preserve">Ta sklep začne veljati na dan objave v </w:t>
      </w:r>
      <w:r>
        <w:rPr>
          <w:i/>
        </w:rPr>
        <w:t>Uradnem listu Evropske unije</w:t>
      </w:r>
      <w:r>
        <w:t>.</w:t>
      </w:r>
    </w:p>
    <w:p w:rsidR="0068615F" w:rsidRPr="000953EB" w:rsidRDefault="0068615F" w:rsidP="0068615F"/>
    <w:p w:rsidR="0068615F" w:rsidRPr="000953EB" w:rsidRDefault="004C234C" w:rsidP="0068615F">
      <w:r>
        <w:t>Uporablja se od 1. januarja 2020.</w:t>
      </w:r>
    </w:p>
    <w:p w:rsidR="0068615F" w:rsidRPr="000953EB" w:rsidRDefault="0068615F" w:rsidP="0068615F">
      <w:pPr>
        <w:rPr>
          <w:i/>
        </w:rPr>
      </w:pPr>
    </w:p>
    <w:p w:rsidR="004C234C" w:rsidRPr="004C234C" w:rsidRDefault="004C234C" w:rsidP="004C234C">
      <w:pPr>
        <w:pStyle w:val="Fait"/>
      </w:pPr>
      <w:r>
        <w:t>V Bruslju,</w:t>
      </w:r>
    </w:p>
    <w:p w:rsidR="004C234C" w:rsidRPr="004C234C" w:rsidRDefault="004C234C" w:rsidP="004C234C">
      <w:pPr>
        <w:pStyle w:val="Institutionquisigne"/>
      </w:pPr>
      <w:r>
        <w:t>Za Evropski parlament</w:t>
      </w:r>
      <w:r>
        <w:tab/>
        <w:t>Za Svet</w:t>
      </w:r>
    </w:p>
    <w:p w:rsidR="004C234C" w:rsidRDefault="004C234C" w:rsidP="004C234C">
      <w:pPr>
        <w:pStyle w:val="Personnequisigne"/>
      </w:pPr>
      <w:r>
        <w:t>Predsednik</w:t>
      </w:r>
      <w:r>
        <w:tab/>
        <w:t>Predsednik</w:t>
      </w:r>
    </w:p>
    <w:p w:rsidR="0068615F" w:rsidRPr="000953EB" w:rsidRDefault="0068615F" w:rsidP="0068615F">
      <w:pPr>
        <w:pStyle w:val="NormalBold24a"/>
        <w:rPr>
          <w:b w:val="0"/>
        </w:rPr>
      </w:pPr>
    </w:p>
    <w:p w:rsidR="004D2440" w:rsidRPr="002E627C" w:rsidRDefault="004D2440">
      <w:pPr>
        <w:pStyle w:val="NormalHanging12a"/>
      </w:pPr>
    </w:p>
    <w:p w:rsidR="0058028A" w:rsidRPr="002E627C" w:rsidRDefault="0058028A" w:rsidP="0058028A"/>
    <w:sectPr w:rsidR="0058028A" w:rsidRPr="002E627C" w:rsidSect="00FC56AB"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7C" w:rsidRPr="002E627C" w:rsidRDefault="002E627C">
      <w:r w:rsidRPr="002E627C">
        <w:separator/>
      </w:r>
    </w:p>
  </w:endnote>
  <w:endnote w:type="continuationSeparator" w:id="0">
    <w:p w:rsidR="002E627C" w:rsidRPr="002E627C" w:rsidRDefault="002E627C">
      <w:r w:rsidRPr="002E62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5E" w:rsidRPr="002E627C" w:rsidRDefault="00BB725E" w:rsidP="00611B44">
    <w:pPr>
      <w:pStyle w:val="EPFooter"/>
    </w:pPr>
    <w:r w:rsidRPr="002E627C">
      <w:t>PE</w:t>
    </w:r>
    <w:r w:rsidRPr="002E627C">
      <w:rPr>
        <w:rStyle w:val="HideTWBExt"/>
        <w:noProof w:val="0"/>
      </w:rPr>
      <w:t>&lt;NoPE&gt;</w:t>
    </w:r>
    <w:r w:rsidR="0068615F" w:rsidRPr="0068615F">
      <w:t>643.242</w:t>
    </w:r>
    <w:r w:rsidRPr="002E627C">
      <w:rPr>
        <w:rStyle w:val="HideTWBExt"/>
        <w:noProof w:val="0"/>
      </w:rPr>
      <w:t>&lt;/NoPE&gt;&lt;Version&gt;</w:t>
    </w:r>
    <w:r w:rsidR="002E627C" w:rsidRPr="002E627C">
      <w:t>v</w:t>
    </w:r>
    <w:r w:rsidR="0068615F" w:rsidRPr="0068615F">
      <w:t>01-00</w:t>
    </w:r>
    <w:r w:rsidRPr="002E627C">
      <w:rPr>
        <w:rStyle w:val="HideTWBExt"/>
        <w:noProof w:val="0"/>
      </w:rPr>
      <w:t>&lt;/Version&gt;</w:t>
    </w:r>
    <w:r w:rsidRPr="002E627C">
      <w:tab/>
    </w:r>
    <w:r w:rsidR="00FC56AB" w:rsidRPr="002E627C">
      <w:fldChar w:fldCharType="begin"/>
    </w:r>
    <w:r w:rsidR="00FC56AB" w:rsidRPr="002E627C">
      <w:instrText xml:space="preserve"> PAGE </w:instrText>
    </w:r>
    <w:r w:rsidR="00FC56AB" w:rsidRPr="002E627C">
      <w:fldChar w:fldCharType="separate"/>
    </w:r>
    <w:r w:rsidR="006838CC">
      <w:rPr>
        <w:noProof/>
      </w:rPr>
      <w:t>2</w:t>
    </w:r>
    <w:r w:rsidR="00FC56AB" w:rsidRPr="002E627C">
      <w:fldChar w:fldCharType="end"/>
    </w:r>
    <w:r w:rsidR="00FC56AB" w:rsidRPr="002E627C">
      <w:t>/</w:t>
    </w:r>
    <w:r w:rsidR="00FC56AB" w:rsidRPr="002E627C">
      <w:rPr>
        <w:rStyle w:val="PageNumber"/>
      </w:rPr>
      <w:fldChar w:fldCharType="begin"/>
    </w:r>
    <w:r w:rsidR="00FC56AB" w:rsidRPr="002E627C">
      <w:rPr>
        <w:rStyle w:val="PageNumber"/>
      </w:rPr>
      <w:instrText xml:space="preserve"> NUMPAGES </w:instrText>
    </w:r>
    <w:r w:rsidR="00FC56AB" w:rsidRPr="002E627C">
      <w:rPr>
        <w:rStyle w:val="PageNumber"/>
      </w:rPr>
      <w:fldChar w:fldCharType="separate"/>
    </w:r>
    <w:r w:rsidR="006838CC">
      <w:rPr>
        <w:rStyle w:val="PageNumber"/>
        <w:noProof/>
      </w:rPr>
      <w:t>6</w:t>
    </w:r>
    <w:r w:rsidR="00FC56AB" w:rsidRPr="002E627C">
      <w:rPr>
        <w:rStyle w:val="PageNumber"/>
      </w:rPr>
      <w:fldChar w:fldCharType="end"/>
    </w:r>
    <w:r w:rsidRPr="002E627C">
      <w:tab/>
    </w:r>
    <w:r w:rsidRPr="002E627C">
      <w:rPr>
        <w:rStyle w:val="HideTWBExt"/>
        <w:noProof w:val="0"/>
      </w:rPr>
      <w:t>&lt;PathFdR&gt;</w:t>
    </w:r>
    <w:r w:rsidR="0068615F" w:rsidRPr="0068615F">
      <w:t>PR\1192861SL.docx</w:t>
    </w:r>
    <w:r w:rsidRPr="002E627C">
      <w:rPr>
        <w:rStyle w:val="HideTWBExt"/>
        <w:noProof w:val="0"/>
      </w:rPr>
      <w:t>&lt;/PathFdR&gt;</w:t>
    </w:r>
  </w:p>
  <w:p w:rsidR="00BB725E" w:rsidRPr="002E627C" w:rsidRDefault="006B7BF9">
    <w:pPr>
      <w:pStyle w:val="EPFooter2"/>
    </w:pPr>
    <w:fldSimple w:instr=" DOCPROPERTY &quot;&lt;Extension&gt;&quot; ">
      <w:r w:rsidR="006838CC">
        <w:t>SL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5E" w:rsidRPr="002E627C" w:rsidRDefault="00BB725E" w:rsidP="00611B44">
    <w:pPr>
      <w:pStyle w:val="EPFooter"/>
    </w:pPr>
    <w:r w:rsidRPr="002E627C">
      <w:rPr>
        <w:rStyle w:val="HideTWBExt"/>
        <w:noProof w:val="0"/>
      </w:rPr>
      <w:t>&lt;PathFdR&gt;</w:t>
    </w:r>
    <w:r w:rsidR="0068615F" w:rsidRPr="0068615F">
      <w:t>PR\1192861SL.docx</w:t>
    </w:r>
    <w:r w:rsidRPr="002E627C">
      <w:rPr>
        <w:rStyle w:val="HideTWBExt"/>
        <w:noProof w:val="0"/>
      </w:rPr>
      <w:t>&lt;/PathFdR&gt;</w:t>
    </w:r>
    <w:r w:rsidRPr="002E627C">
      <w:tab/>
    </w:r>
    <w:r w:rsidR="00FC56AB" w:rsidRPr="002E627C">
      <w:fldChar w:fldCharType="begin"/>
    </w:r>
    <w:r w:rsidR="00FC56AB" w:rsidRPr="002E627C">
      <w:instrText xml:space="preserve"> PAGE </w:instrText>
    </w:r>
    <w:r w:rsidR="00FC56AB" w:rsidRPr="002E627C">
      <w:fldChar w:fldCharType="separate"/>
    </w:r>
    <w:r w:rsidR="006838CC">
      <w:rPr>
        <w:noProof/>
      </w:rPr>
      <w:t>3</w:t>
    </w:r>
    <w:r w:rsidR="00FC56AB" w:rsidRPr="002E627C">
      <w:fldChar w:fldCharType="end"/>
    </w:r>
    <w:r w:rsidR="00FC56AB" w:rsidRPr="002E627C">
      <w:t>/</w:t>
    </w:r>
    <w:r w:rsidR="00FC56AB" w:rsidRPr="002E627C">
      <w:rPr>
        <w:rStyle w:val="PageNumber"/>
      </w:rPr>
      <w:fldChar w:fldCharType="begin"/>
    </w:r>
    <w:r w:rsidR="00FC56AB" w:rsidRPr="002E627C">
      <w:rPr>
        <w:rStyle w:val="PageNumber"/>
      </w:rPr>
      <w:instrText xml:space="preserve"> NUMPAGES </w:instrText>
    </w:r>
    <w:r w:rsidR="00FC56AB" w:rsidRPr="002E627C">
      <w:rPr>
        <w:rStyle w:val="PageNumber"/>
      </w:rPr>
      <w:fldChar w:fldCharType="separate"/>
    </w:r>
    <w:r w:rsidR="006838CC">
      <w:rPr>
        <w:rStyle w:val="PageNumber"/>
        <w:noProof/>
      </w:rPr>
      <w:t>6</w:t>
    </w:r>
    <w:r w:rsidR="00FC56AB" w:rsidRPr="002E627C">
      <w:rPr>
        <w:rStyle w:val="PageNumber"/>
      </w:rPr>
      <w:fldChar w:fldCharType="end"/>
    </w:r>
    <w:r w:rsidRPr="002E627C">
      <w:tab/>
      <w:t>PE</w:t>
    </w:r>
    <w:r w:rsidRPr="002E627C">
      <w:rPr>
        <w:rStyle w:val="HideTWBExt"/>
        <w:noProof w:val="0"/>
      </w:rPr>
      <w:t>&lt;NoPE&gt;</w:t>
    </w:r>
    <w:r w:rsidR="0068615F" w:rsidRPr="0068615F">
      <w:t>643.242</w:t>
    </w:r>
    <w:r w:rsidRPr="002E627C">
      <w:rPr>
        <w:rStyle w:val="HideTWBExt"/>
        <w:noProof w:val="0"/>
      </w:rPr>
      <w:t>&lt;/NoPE&gt;&lt;Version&gt;</w:t>
    </w:r>
    <w:r w:rsidR="002E627C" w:rsidRPr="002E627C">
      <w:t>v</w:t>
    </w:r>
    <w:r w:rsidR="0068615F" w:rsidRPr="0068615F">
      <w:t>01-00</w:t>
    </w:r>
    <w:r w:rsidRPr="002E627C">
      <w:rPr>
        <w:rStyle w:val="HideTWBExt"/>
        <w:noProof w:val="0"/>
      </w:rPr>
      <w:t>&lt;/Version&gt;</w:t>
    </w:r>
  </w:p>
  <w:p w:rsidR="00BB725E" w:rsidRPr="002E627C" w:rsidRDefault="00FC56AB">
    <w:pPr>
      <w:pStyle w:val="EPFooter2"/>
    </w:pPr>
    <w:r w:rsidRPr="002E627C">
      <w:tab/>
    </w:r>
    <w:r w:rsidR="00BB725E" w:rsidRPr="002E627C">
      <w:tab/>
    </w:r>
    <w:fldSimple w:instr=" DOCPROPERTY &quot;&lt;Extension&gt;&quot; ">
      <w:r w:rsidR="006838CC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5E" w:rsidRPr="002E627C" w:rsidRDefault="00BB725E" w:rsidP="00611B44">
    <w:pPr>
      <w:pStyle w:val="EPFooter"/>
    </w:pPr>
    <w:r w:rsidRPr="002E627C">
      <w:rPr>
        <w:rStyle w:val="HideTWBExt"/>
        <w:noProof w:val="0"/>
      </w:rPr>
      <w:t>&lt;PathFdR&gt;</w:t>
    </w:r>
    <w:r w:rsidR="0068615F" w:rsidRPr="0068615F">
      <w:t>PR\1192861SL.docx</w:t>
    </w:r>
    <w:r w:rsidRPr="002E627C">
      <w:rPr>
        <w:rStyle w:val="HideTWBExt"/>
        <w:noProof w:val="0"/>
      </w:rPr>
      <w:t>&lt;/PathFdR&gt;</w:t>
    </w:r>
    <w:r w:rsidRPr="002E627C">
      <w:tab/>
    </w:r>
    <w:r w:rsidRPr="002E627C">
      <w:tab/>
      <w:t>PE</w:t>
    </w:r>
    <w:r w:rsidRPr="002E627C">
      <w:rPr>
        <w:rStyle w:val="HideTWBExt"/>
        <w:noProof w:val="0"/>
      </w:rPr>
      <w:t>&lt;NoPE&gt;</w:t>
    </w:r>
    <w:r w:rsidR="0068615F" w:rsidRPr="0068615F">
      <w:t>643.242</w:t>
    </w:r>
    <w:r w:rsidRPr="002E627C">
      <w:rPr>
        <w:rStyle w:val="HideTWBExt"/>
        <w:noProof w:val="0"/>
      </w:rPr>
      <w:t>&lt;/NoPE&gt;&lt;Version&gt;</w:t>
    </w:r>
    <w:r w:rsidR="002E627C" w:rsidRPr="002E627C">
      <w:t>v</w:t>
    </w:r>
    <w:r w:rsidR="0068615F" w:rsidRPr="0068615F">
      <w:t>01-00</w:t>
    </w:r>
    <w:r w:rsidRPr="002E627C">
      <w:rPr>
        <w:rStyle w:val="HideTWBExt"/>
        <w:noProof w:val="0"/>
      </w:rPr>
      <w:t>&lt;/Version&gt;</w:t>
    </w:r>
  </w:p>
  <w:p w:rsidR="00BB725E" w:rsidRPr="002E627C" w:rsidRDefault="006B7BF9" w:rsidP="00533501">
    <w:pPr>
      <w:pStyle w:val="EPFooter2"/>
      <w:tabs>
        <w:tab w:val="clear" w:pos="4535"/>
        <w:tab w:val="center" w:pos="4536"/>
      </w:tabs>
    </w:pPr>
    <w:fldSimple w:instr=" DOCPROPERTY &quot;&lt;Extension&gt;&quot; ">
      <w:r w:rsidR="006838CC">
        <w:t>SL</w:t>
      </w:r>
    </w:fldSimple>
    <w:r w:rsidR="00533501" w:rsidRPr="002E627C">
      <w:tab/>
    </w:r>
    <w:r w:rsidR="0068615F">
      <w:rPr>
        <w:b w:val="0"/>
        <w:i/>
        <w:color w:val="C0C0C0"/>
        <w:sz w:val="22"/>
        <w:szCs w:val="22"/>
      </w:rPr>
      <w:t>Združena v raznolikosti</w:t>
    </w:r>
    <w:r w:rsidR="00533501" w:rsidRPr="002E627C">
      <w:tab/>
    </w:r>
    <w:fldSimple w:instr=" DOCPROPERTY &quot;&lt;Extension&gt;&quot; ">
      <w:r w:rsidR="006838CC">
        <w:t>SL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7C" w:rsidRPr="002E627C" w:rsidRDefault="002E627C">
      <w:r w:rsidRPr="002E627C">
        <w:separator/>
      </w:r>
    </w:p>
  </w:footnote>
  <w:footnote w:type="continuationSeparator" w:id="0">
    <w:p w:rsidR="002E627C" w:rsidRPr="002E627C" w:rsidRDefault="002E627C">
      <w:r w:rsidRPr="002E627C">
        <w:continuationSeparator/>
      </w:r>
    </w:p>
  </w:footnote>
  <w:footnote w:id="1">
    <w:p w:rsidR="0068615F" w:rsidRDefault="0068615F">
      <w:pPr>
        <w:pStyle w:val="FootnoteText"/>
      </w:pPr>
      <w:r>
        <w:rPr>
          <w:rStyle w:val="FootnoteReference"/>
        </w:rPr>
        <w:footnoteRef/>
      </w:r>
      <w:r>
        <w:t xml:space="preserve"> UL L 347, 20.12.2013, str. 884.</w:t>
      </w:r>
    </w:p>
  </w:footnote>
  <w:footnote w:id="2">
    <w:p w:rsidR="0068615F" w:rsidRDefault="0068615F">
      <w:pPr>
        <w:pStyle w:val="FootnoteText"/>
      </w:pPr>
      <w:r>
        <w:rPr>
          <w:rStyle w:val="FootnoteReference"/>
        </w:rPr>
        <w:footnoteRef/>
      </w:r>
      <w:r>
        <w:t xml:space="preserve"> UL C 373, 20.12.2013, str. 1.</w:t>
      </w:r>
    </w:p>
  </w:footnote>
  <w:footnote w:id="3">
    <w:p w:rsidR="0068615F" w:rsidRPr="00E313A6" w:rsidRDefault="0068615F" w:rsidP="0068615F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Sprejeta besedila, P9_TA-PROV(2019)0038.</w:t>
      </w:r>
    </w:p>
  </w:footnote>
  <w:footnote w:id="4">
    <w:p w:rsidR="004C234C" w:rsidRDefault="004C234C" w:rsidP="004C234C">
      <w:pPr>
        <w:pStyle w:val="FootnoteText"/>
      </w:pPr>
      <w:r>
        <w:rPr>
          <w:rStyle w:val="FootnoteReference"/>
        </w:rPr>
        <w:footnoteRef/>
      </w:r>
      <w:r>
        <w:tab/>
        <w:t>UL C 373, 20.12.2013, str. 1.</w:t>
      </w:r>
    </w:p>
  </w:footnote>
  <w:footnote w:id="5">
    <w:p w:rsidR="0068615F" w:rsidRDefault="0068615F" w:rsidP="0068615F">
      <w:pPr>
        <w:pStyle w:val="FootnoteText"/>
      </w:pPr>
      <w:r>
        <w:rPr>
          <w:rStyle w:val="FootnoteReference"/>
        </w:rPr>
        <w:footnoteRef/>
      </w:r>
      <w:r>
        <w:tab/>
        <w:t>Uredba Sveta (EU, Euratom) št. 1311/2013 z dne 2. decembra 2013 o večletnem finančnem okviru za obdobje 2014–2020 (UL L 347, 20.12.2013, str. 884).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5F" w:rsidRDefault="00686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5F" w:rsidRDefault="00686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5F" w:rsidRDefault="00686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NU" w:val=" 2"/>
    <w:docVar w:name="LastEditedSection" w:val=" 1"/>
    <w:docVar w:name="PARAMNU" w:val=" 1"/>
    <w:docVar w:name="strDocTypeID" w:val="PR_BUD_Funds"/>
    <w:docVar w:name="strSubDir" w:val="1192"/>
    <w:docVar w:name="TITLEMNU" w:val=" 2"/>
    <w:docVar w:name="TXTFLEX" w:val="to finance immediate budgetary measures to address the on-going challenges of migration, refugee inflows and security threats"/>
    <w:docVar w:name="TXTLANGUE" w:val="SL"/>
    <w:docVar w:name="TXTLANGUEMIN" w:val="sl"/>
    <w:docVar w:name="TXTNRBUD" w:val="2019/2026"/>
    <w:docVar w:name="TXTNRC" w:val="0007/2019"/>
    <w:docVar w:name="TXTNRCOM" w:val="(2019)0251"/>
    <w:docVar w:name="TXTNRPE" w:val="643.242"/>
    <w:docVar w:name="TXTPEorAP" w:val="PE"/>
    <w:docVar w:name="TXTROUTE" w:val="PR\1192861SL.docx"/>
    <w:docVar w:name="TXTVERSION" w:val="01-00"/>
  </w:docVars>
  <w:rsids>
    <w:rsidRoot w:val="002E627C"/>
    <w:rsid w:val="000555E6"/>
    <w:rsid w:val="00155B2F"/>
    <w:rsid w:val="00167F25"/>
    <w:rsid w:val="001E2369"/>
    <w:rsid w:val="00215C42"/>
    <w:rsid w:val="0022041B"/>
    <w:rsid w:val="002C2DB2"/>
    <w:rsid w:val="002E627C"/>
    <w:rsid w:val="00300158"/>
    <w:rsid w:val="00396BD0"/>
    <w:rsid w:val="003B4F3D"/>
    <w:rsid w:val="003B5885"/>
    <w:rsid w:val="003D5173"/>
    <w:rsid w:val="003F207F"/>
    <w:rsid w:val="00470DFE"/>
    <w:rsid w:val="004C234C"/>
    <w:rsid w:val="004D2440"/>
    <w:rsid w:val="0050453C"/>
    <w:rsid w:val="0052720D"/>
    <w:rsid w:val="00533501"/>
    <w:rsid w:val="0058028A"/>
    <w:rsid w:val="00581E60"/>
    <w:rsid w:val="005B0658"/>
    <w:rsid w:val="005F27D5"/>
    <w:rsid w:val="00601E96"/>
    <w:rsid w:val="00611B44"/>
    <w:rsid w:val="00616E75"/>
    <w:rsid w:val="006838CC"/>
    <w:rsid w:val="0068615F"/>
    <w:rsid w:val="006B7BF9"/>
    <w:rsid w:val="006E4E08"/>
    <w:rsid w:val="00702183"/>
    <w:rsid w:val="00703318"/>
    <w:rsid w:val="007260CD"/>
    <w:rsid w:val="00731ECF"/>
    <w:rsid w:val="00761A6D"/>
    <w:rsid w:val="007F63FC"/>
    <w:rsid w:val="00843D7C"/>
    <w:rsid w:val="00861675"/>
    <w:rsid w:val="008A3711"/>
    <w:rsid w:val="008F1614"/>
    <w:rsid w:val="008F25B2"/>
    <w:rsid w:val="00917358"/>
    <w:rsid w:val="00921B78"/>
    <w:rsid w:val="00945699"/>
    <w:rsid w:val="0097776D"/>
    <w:rsid w:val="009C01D2"/>
    <w:rsid w:val="00A205D2"/>
    <w:rsid w:val="00A27E62"/>
    <w:rsid w:val="00AE2ABE"/>
    <w:rsid w:val="00AF4089"/>
    <w:rsid w:val="00AF6B2F"/>
    <w:rsid w:val="00B12873"/>
    <w:rsid w:val="00B5725D"/>
    <w:rsid w:val="00B67944"/>
    <w:rsid w:val="00BB725E"/>
    <w:rsid w:val="00C327B5"/>
    <w:rsid w:val="00C54775"/>
    <w:rsid w:val="00C753BD"/>
    <w:rsid w:val="00CA4836"/>
    <w:rsid w:val="00D17520"/>
    <w:rsid w:val="00D461B7"/>
    <w:rsid w:val="00D63FD3"/>
    <w:rsid w:val="00D82527"/>
    <w:rsid w:val="00DE1BE3"/>
    <w:rsid w:val="00DF46ED"/>
    <w:rsid w:val="00E20F2E"/>
    <w:rsid w:val="00E70719"/>
    <w:rsid w:val="00E71B80"/>
    <w:rsid w:val="00E9757B"/>
    <w:rsid w:val="00EA7BAF"/>
    <w:rsid w:val="00EF5487"/>
    <w:rsid w:val="00F130D9"/>
    <w:rsid w:val="00F17C55"/>
    <w:rsid w:val="00F77515"/>
    <w:rsid w:val="00FB2E5E"/>
    <w:rsid w:val="00FC056F"/>
    <w:rsid w:val="00FC56AB"/>
    <w:rsid w:val="00FC7626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B5C1-7A50-4C0A-93EC-1C0B144D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semiHidden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0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uiPriority w:val="39"/>
    <w:rsid w:val="00AE2ABE"/>
    <w:pPr>
      <w:spacing w:after="240"/>
    </w:pPr>
  </w:style>
  <w:style w:type="paragraph" w:styleId="TOCHeading">
    <w:name w:val="TOC Heading"/>
    <w:basedOn w:val="Normal"/>
    <w:next w:val="TOCPage"/>
    <w:qFormat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"/>
    <w:next w:val="TOC1"/>
    <w:pPr>
      <w:keepNext/>
      <w:spacing w:after="240"/>
      <w:jc w:val="right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">
    <w:name w:val="PageHeading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EPName">
    <w:name w:val="EPName"/>
    <w:basedOn w:val="Normal"/>
    <w:rsid w:val="00300158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611B44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Reference">
    <w:name w:val="CoverReference"/>
    <w:basedOn w:val="Normal"/>
    <w:rsid w:val="00396BD0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B5725D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paragraph" w:styleId="Header">
    <w:name w:val="header"/>
    <w:basedOn w:val="Normal"/>
    <w:link w:val="HeaderChar"/>
    <w:semiHidden/>
    <w:rsid w:val="008F25B2"/>
    <w:pPr>
      <w:tabs>
        <w:tab w:val="center" w:pos="4513"/>
        <w:tab w:val="right" w:pos="9026"/>
      </w:tabs>
    </w:pPr>
  </w:style>
  <w:style w:type="paragraph" w:customStyle="1" w:styleId="NormalBold24a">
    <w:name w:val="NormalBold24a"/>
    <w:basedOn w:val="Normal"/>
    <w:rsid w:val="00DF46ED"/>
    <w:pPr>
      <w:spacing w:after="480"/>
    </w:pPr>
    <w:rPr>
      <w:b/>
      <w:bCs/>
    </w:rPr>
  </w:style>
  <w:style w:type="table" w:styleId="TableGrid">
    <w:name w:val="Table Grid"/>
    <w:basedOn w:val="TableNormal"/>
    <w:rsid w:val="005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533501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533501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533501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300158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300158"/>
    <w:pPr>
      <w:jc w:val="right"/>
    </w:pPr>
  </w:style>
  <w:style w:type="paragraph" w:customStyle="1" w:styleId="EPFooter">
    <w:name w:val="EPFooter"/>
    <w:basedOn w:val="Normal"/>
    <w:rsid w:val="00611B44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styleId="PageNumber">
    <w:name w:val="page number"/>
    <w:basedOn w:val="DefaultParagraphFont"/>
    <w:semiHidden/>
    <w:rsid w:val="00FC56AB"/>
  </w:style>
  <w:style w:type="character" w:customStyle="1" w:styleId="HeaderChar">
    <w:name w:val="Header Char"/>
    <w:basedOn w:val="DefaultParagraphFont"/>
    <w:link w:val="Header"/>
    <w:semiHidden/>
    <w:rsid w:val="008F25B2"/>
    <w:rPr>
      <w:sz w:val="24"/>
    </w:rPr>
  </w:style>
  <w:style w:type="paragraph" w:customStyle="1" w:styleId="EPComma">
    <w:name w:val="EPComma"/>
    <w:basedOn w:val="Normal"/>
    <w:rsid w:val="006E4E08"/>
    <w:pPr>
      <w:spacing w:before="480" w:after="240"/>
    </w:pPr>
  </w:style>
  <w:style w:type="paragraph" w:styleId="FootnoteText">
    <w:name w:val="footnote text"/>
    <w:basedOn w:val="Normal"/>
    <w:link w:val="FootnoteTextChar"/>
    <w:uiPriority w:val="99"/>
    <w:rsid w:val="006861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615F"/>
    <w:rPr>
      <w:lang w:val="sl-SI"/>
    </w:rPr>
  </w:style>
  <w:style w:type="character" w:styleId="FootnoteReference">
    <w:name w:val="footnote reference"/>
    <w:basedOn w:val="DefaultParagraphFont"/>
    <w:uiPriority w:val="99"/>
    <w:rsid w:val="0068615F"/>
    <w:rPr>
      <w:vertAlign w:val="superscript"/>
    </w:rPr>
  </w:style>
  <w:style w:type="character" w:customStyle="1" w:styleId="epname0">
    <w:name w:val="ep_name"/>
    <w:basedOn w:val="DefaultParagraphFont"/>
    <w:rsid w:val="0068615F"/>
  </w:style>
  <w:style w:type="paragraph" w:customStyle="1" w:styleId="Point0number">
    <w:name w:val="Point 0 (number)"/>
    <w:basedOn w:val="Normal"/>
    <w:rsid w:val="0068615F"/>
    <w:pPr>
      <w:widowControl/>
      <w:numPr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68615F"/>
    <w:pPr>
      <w:widowControl/>
      <w:numPr>
        <w:ilvl w:val="2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68615F"/>
    <w:pPr>
      <w:widowControl/>
      <w:numPr>
        <w:ilvl w:val="4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68615F"/>
    <w:pPr>
      <w:widowControl/>
      <w:numPr>
        <w:ilvl w:val="6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68615F"/>
    <w:pPr>
      <w:widowControl/>
      <w:numPr>
        <w:ilvl w:val="1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68615F"/>
    <w:pPr>
      <w:widowControl/>
      <w:numPr>
        <w:ilvl w:val="3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68615F"/>
    <w:pPr>
      <w:widowControl/>
      <w:numPr>
        <w:ilvl w:val="5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68615F"/>
    <w:pPr>
      <w:widowControl/>
      <w:numPr>
        <w:ilvl w:val="7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68615F"/>
    <w:pPr>
      <w:widowControl/>
      <w:numPr>
        <w:ilvl w:val="8"/>
        <w:numId w:val="41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68615F"/>
    <w:pPr>
      <w:keepNext/>
      <w:widowControl/>
      <w:tabs>
        <w:tab w:val="left" w:pos="4252"/>
      </w:tabs>
      <w:spacing w:before="720"/>
      <w:jc w:val="both"/>
    </w:pPr>
    <w:rPr>
      <w:rFonts w:eastAsiaTheme="minorHAnsi"/>
      <w:i/>
      <w:szCs w:val="22"/>
      <w:lang w:eastAsia="en-US"/>
    </w:rPr>
  </w:style>
  <w:style w:type="paragraph" w:customStyle="1" w:styleId="Fait">
    <w:name w:val="Fait à"/>
    <w:basedOn w:val="Normal"/>
    <w:next w:val="Institutionquisigne"/>
    <w:rsid w:val="0068615F"/>
    <w:pPr>
      <w:keepNext/>
      <w:widowControl/>
      <w:spacing w:before="120"/>
      <w:jc w:val="both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68615F"/>
    <w:pPr>
      <w:keepNext/>
      <w:widowControl/>
      <w:spacing w:before="360" w:after="120"/>
      <w:jc w:val="center"/>
    </w:pPr>
    <w:rPr>
      <w:rFonts w:eastAsiaTheme="minorHAnsi"/>
      <w:i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68615F"/>
    <w:pPr>
      <w:keepNext/>
      <w:widowControl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68615F"/>
    <w:pPr>
      <w:keepNext/>
      <w:widowControl/>
      <w:spacing w:before="600" w:after="120"/>
      <w:jc w:val="both"/>
    </w:pPr>
    <w:rPr>
      <w:rFonts w:eastAsiaTheme="minorHAnsi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68615F"/>
    <w:pPr>
      <w:widowControl/>
      <w:tabs>
        <w:tab w:val="left" w:pos="4252"/>
      </w:tabs>
    </w:pPr>
    <w:rPr>
      <w:rFonts w:eastAsiaTheme="minorHAnsi"/>
      <w:i/>
      <w:szCs w:val="22"/>
      <w:lang w:eastAsia="en-US"/>
    </w:rPr>
  </w:style>
  <w:style w:type="paragraph" w:styleId="Footer">
    <w:name w:val="footer"/>
    <w:basedOn w:val="Normal"/>
    <w:link w:val="FooterChar"/>
    <w:semiHidden/>
    <w:rsid w:val="004C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C234C"/>
    <w:rPr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PR_BUD_Funds</vt:lpstr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PR_BUD_Funds</dc:title>
  <dc:subject/>
  <dc:creator>FIC KUHARIC Romanca</dc:creator>
  <cp:keywords/>
  <dc:description/>
  <cp:lastModifiedBy>GROSELJ Tadej</cp:lastModifiedBy>
  <cp:revision>2</cp:revision>
  <cp:lastPrinted>2004-12-08T15:27:00Z</cp:lastPrinted>
  <dcterms:created xsi:type="dcterms:W3CDTF">2019-11-22T13:27:00Z</dcterms:created>
  <dcterms:modified xsi:type="dcterms:W3CDTF">2019-11-22T13:27:00Z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1192861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\\eiciLUXpr1\pdocep$\DocEP\DOCS\General\PR\PR_BUD\BUD\PR_BUD_Funds.dotx(15/10/2019 06:17:19)</vt:lpwstr>
  </property>
  <property fmtid="{D5CDD505-2E9C-101B-9397-08002B2CF9AE}" pid="7" name="&lt;ModelTra&gt;">
    <vt:lpwstr>\\eiciLUXpr1\pdocep$\DocEP\TRANSFIL\SL\PR_BUD_Funds.SL(18/09/2019 13:43:01)</vt:lpwstr>
  </property>
  <property fmtid="{D5CDD505-2E9C-101B-9397-08002B2CF9AE}" pid="8" name="&lt;Model&gt;">
    <vt:lpwstr>PR_BUD_Funds</vt:lpwstr>
  </property>
  <property fmtid="{D5CDD505-2E9C-101B-9397-08002B2CF9AE}" pid="9" name="FooterPath">
    <vt:lpwstr>PR\1192861SL.docx</vt:lpwstr>
  </property>
  <property fmtid="{D5CDD505-2E9C-101B-9397-08002B2CF9AE}" pid="10" name="PE number">
    <vt:lpwstr>643.242</vt:lpwstr>
  </property>
  <property fmtid="{D5CDD505-2E9C-101B-9397-08002B2CF9AE}" pid="11" name="Bookout">
    <vt:lpwstr>OK - 2019/11/22 14:27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