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90" w:rsidRPr="003105C8" w:rsidRDefault="0045468E" w:rsidP="003105C8">
      <w:pPr>
        <w:widowControl w:val="0"/>
        <w:rPr>
          <w:noProof/>
        </w:rPr>
      </w:pPr>
      <w:r w:rsidRPr="003105C8">
        <w:rPr>
          <w:noProof/>
        </w:rPr>
        <w:t>EN</w:t>
      </w:r>
      <w:r w:rsidRPr="003105C8">
        <w:rPr>
          <w:noProof/>
        </w:rPr>
        <w:cr/>
        <w:t>E-007241/2017</w:t>
      </w:r>
      <w:r w:rsidRPr="003105C8">
        <w:rPr>
          <w:noProof/>
        </w:rPr>
        <w:cr/>
        <w:t>Answer given by Mr Moscovici</w:t>
      </w:r>
      <w:r w:rsidRPr="003105C8">
        <w:rPr>
          <w:noProof/>
        </w:rPr>
        <w:cr/>
        <w:t>on behalf of the Commission</w:t>
      </w:r>
      <w:r w:rsidRPr="003105C8">
        <w:rPr>
          <w:noProof/>
        </w:rPr>
        <w:cr/>
        <w:t xml:space="preserve">(8.2.2018)  </w:t>
      </w:r>
      <w:r w:rsidRPr="003105C8">
        <w:rPr>
          <w:noProof/>
        </w:rPr>
        <w:cr/>
      </w:r>
      <w:r w:rsidRPr="003105C8">
        <w:rPr>
          <w:noProof/>
        </w:rPr>
        <w:cr/>
      </w:r>
    </w:p>
    <w:p w:rsidR="00D02BF8" w:rsidRPr="003105C8" w:rsidRDefault="009D18C4" w:rsidP="003105C8">
      <w:pPr>
        <w:widowControl w:val="0"/>
        <w:rPr>
          <w:noProof/>
        </w:rPr>
      </w:pPr>
      <w:r w:rsidRPr="003105C8">
        <w:rPr>
          <w:noProof/>
        </w:rPr>
        <w:t xml:space="preserve">The Court of Justice of the European Union </w:t>
      </w:r>
      <w:r w:rsidR="0036119D" w:rsidRPr="003105C8">
        <w:rPr>
          <w:noProof/>
        </w:rPr>
        <w:t>judgement</w:t>
      </w:r>
      <w:r w:rsidR="00616CC3" w:rsidRPr="003105C8">
        <w:rPr>
          <w:noProof/>
        </w:rPr>
        <w:t xml:space="preserve"> of 21 December 2016</w:t>
      </w:r>
      <w:r w:rsidR="003105C8">
        <w:rPr>
          <w:rStyle w:val="FootnoteReference"/>
          <w:noProof/>
        </w:rPr>
        <w:footnoteReference w:id="1"/>
      </w:r>
      <w:r w:rsidR="0036119D" w:rsidRPr="003105C8">
        <w:rPr>
          <w:noProof/>
        </w:rPr>
        <w:t xml:space="preserve"> </w:t>
      </w:r>
      <w:r w:rsidRPr="003105C8">
        <w:rPr>
          <w:noProof/>
        </w:rPr>
        <w:t xml:space="preserve">does not imply that the EU cannot trade with Western Sahara. </w:t>
      </w:r>
      <w:r w:rsidR="00D04CB4" w:rsidRPr="003105C8">
        <w:rPr>
          <w:noProof/>
        </w:rPr>
        <w:t>As a consequence of</w:t>
      </w:r>
      <w:r w:rsidR="0036119D" w:rsidRPr="003105C8">
        <w:rPr>
          <w:noProof/>
        </w:rPr>
        <w:t xml:space="preserve"> the present wording of the EU-Morocco Association Agreement and its protocols</w:t>
      </w:r>
      <w:r w:rsidR="00D04CB4" w:rsidRPr="003105C8">
        <w:rPr>
          <w:noProof/>
        </w:rPr>
        <w:t xml:space="preserve"> (which are not applicable to the territory of Western Sahara)</w:t>
      </w:r>
      <w:r w:rsidR="0036119D" w:rsidRPr="003105C8">
        <w:rPr>
          <w:noProof/>
        </w:rPr>
        <w:t>, i</w:t>
      </w:r>
      <w:r w:rsidRPr="003105C8">
        <w:rPr>
          <w:noProof/>
        </w:rPr>
        <w:t xml:space="preserve">mports to the EU </w:t>
      </w:r>
      <w:r w:rsidR="00D04CB4" w:rsidRPr="003105C8">
        <w:rPr>
          <w:noProof/>
        </w:rPr>
        <w:t xml:space="preserve">of goods originating </w:t>
      </w:r>
      <w:r w:rsidRPr="003105C8">
        <w:rPr>
          <w:noProof/>
        </w:rPr>
        <w:t xml:space="preserve">from </w:t>
      </w:r>
      <w:r w:rsidR="00D04CB4" w:rsidRPr="003105C8">
        <w:rPr>
          <w:noProof/>
        </w:rPr>
        <w:t xml:space="preserve">the </w:t>
      </w:r>
      <w:r w:rsidRPr="003105C8">
        <w:rPr>
          <w:noProof/>
        </w:rPr>
        <w:t>Western Sahara are subject to general (i.e. non-preferential) import rules applicable</w:t>
      </w:r>
      <w:r w:rsidRPr="003105C8">
        <w:rPr>
          <w:noProof/>
          <w:lang w:eastAsia="zh-CN"/>
        </w:rPr>
        <w:t xml:space="preserve"> to imports from other non-preferential countries or territories, and there are no trade restrictions or </w:t>
      </w:r>
      <w:r w:rsidR="00616CC3" w:rsidRPr="003105C8">
        <w:rPr>
          <w:noProof/>
          <w:lang w:eastAsia="zh-CN"/>
        </w:rPr>
        <w:t xml:space="preserve">a </w:t>
      </w:r>
      <w:r w:rsidRPr="003105C8">
        <w:rPr>
          <w:noProof/>
          <w:lang w:eastAsia="zh-CN"/>
        </w:rPr>
        <w:t>ban on such imports.</w:t>
      </w:r>
    </w:p>
    <w:p w:rsidR="00D02BF8" w:rsidRPr="003105C8" w:rsidRDefault="00D02BF8" w:rsidP="003105C8">
      <w:pPr>
        <w:widowControl w:val="0"/>
        <w:rPr>
          <w:noProof/>
        </w:rPr>
      </w:pPr>
    </w:p>
    <w:p w:rsidR="00D02BF8" w:rsidRPr="003105C8" w:rsidRDefault="00D02BF8" w:rsidP="003105C8">
      <w:pPr>
        <w:widowControl w:val="0"/>
        <w:rPr>
          <w:noProof/>
        </w:rPr>
      </w:pPr>
      <w:r w:rsidRPr="003105C8">
        <w:rPr>
          <w:noProof/>
        </w:rPr>
        <w:t>As the Commission pointed out in its answer</w:t>
      </w:r>
      <w:r w:rsidR="00F95A7E" w:rsidRPr="003105C8">
        <w:rPr>
          <w:noProof/>
        </w:rPr>
        <w:t>s</w:t>
      </w:r>
      <w:r w:rsidRPr="003105C8">
        <w:rPr>
          <w:noProof/>
        </w:rPr>
        <w:t xml:space="preserve"> to written questions E-</w:t>
      </w:r>
      <w:r w:rsidR="00F95A7E" w:rsidRPr="003105C8">
        <w:rPr>
          <w:noProof/>
        </w:rPr>
        <w:t>00</w:t>
      </w:r>
      <w:r w:rsidRPr="003105C8">
        <w:rPr>
          <w:noProof/>
        </w:rPr>
        <w:t>1869/</w:t>
      </w:r>
      <w:r w:rsidR="00F95A7E" w:rsidRPr="003105C8">
        <w:rPr>
          <w:noProof/>
        </w:rPr>
        <w:t>20</w:t>
      </w:r>
      <w:r w:rsidRPr="003105C8">
        <w:rPr>
          <w:noProof/>
        </w:rPr>
        <w:t>17 and E-</w:t>
      </w:r>
      <w:r w:rsidR="00F95A7E" w:rsidRPr="003105C8">
        <w:rPr>
          <w:noProof/>
        </w:rPr>
        <w:t>00</w:t>
      </w:r>
      <w:r w:rsidRPr="003105C8">
        <w:rPr>
          <w:noProof/>
        </w:rPr>
        <w:t>2035/</w:t>
      </w:r>
      <w:r w:rsidR="00F95A7E" w:rsidRPr="003105C8">
        <w:rPr>
          <w:noProof/>
        </w:rPr>
        <w:t>20</w:t>
      </w:r>
      <w:r w:rsidRPr="003105C8">
        <w:rPr>
          <w:noProof/>
        </w:rPr>
        <w:t xml:space="preserve">17, it has provided guidelines to the customs authorities of the Member States on the implications of the ruling of the Court of Justice </w:t>
      </w:r>
      <w:r w:rsidR="003B635D" w:rsidRPr="003105C8">
        <w:rPr>
          <w:noProof/>
        </w:rPr>
        <w:t>of the European Union</w:t>
      </w:r>
      <w:r w:rsidRPr="003105C8">
        <w:rPr>
          <w:noProof/>
        </w:rPr>
        <w:t>. These guidelines include that, in case of reasonable questions about the origin of goods, customs authorities should make inquiries in accordance with the arrangements for administrative cooperation laid down in Title VI of Protocol 4 to the EU-Morocco Association Agreement.</w:t>
      </w:r>
    </w:p>
    <w:p w:rsidR="008A7F3D" w:rsidRPr="003105C8" w:rsidRDefault="008A7F3D" w:rsidP="003105C8">
      <w:pPr>
        <w:widowControl w:val="0"/>
        <w:rPr>
          <w:noProof/>
        </w:rPr>
      </w:pPr>
    </w:p>
    <w:p w:rsidR="00DB7783" w:rsidRPr="003105C8" w:rsidRDefault="008A7F3D" w:rsidP="003105C8">
      <w:pPr>
        <w:widowControl w:val="0"/>
        <w:rPr>
          <w:noProof/>
        </w:rPr>
      </w:pPr>
      <w:r w:rsidRPr="003105C8">
        <w:rPr>
          <w:noProof/>
        </w:rPr>
        <w:t xml:space="preserve">It is important to point out that in </w:t>
      </w:r>
      <w:r w:rsidR="00DE59A3" w:rsidRPr="003105C8">
        <w:rPr>
          <w:noProof/>
        </w:rPr>
        <w:t xml:space="preserve">the </w:t>
      </w:r>
      <w:r w:rsidRPr="003105C8">
        <w:rPr>
          <w:noProof/>
        </w:rPr>
        <w:t xml:space="preserve">EU </w:t>
      </w:r>
      <w:r w:rsidR="00F6354F" w:rsidRPr="003105C8">
        <w:rPr>
          <w:noProof/>
        </w:rPr>
        <w:t>legislation</w:t>
      </w:r>
      <w:r w:rsidRPr="003105C8">
        <w:rPr>
          <w:noProof/>
        </w:rPr>
        <w:t xml:space="preserve"> origin labelling of products is, as a rule, voluntary. At </w:t>
      </w:r>
      <w:r w:rsidR="00441A90" w:rsidRPr="003105C8">
        <w:rPr>
          <w:noProof/>
        </w:rPr>
        <w:t xml:space="preserve">the same time, EU regulations, </w:t>
      </w:r>
      <w:r w:rsidRPr="003105C8">
        <w:rPr>
          <w:noProof/>
        </w:rPr>
        <w:t xml:space="preserve">such as </w:t>
      </w:r>
      <w:r w:rsidR="003B635D" w:rsidRPr="003105C8">
        <w:rPr>
          <w:noProof/>
        </w:rPr>
        <w:t>R</w:t>
      </w:r>
      <w:r w:rsidR="00441A90" w:rsidRPr="003105C8">
        <w:rPr>
          <w:noProof/>
        </w:rPr>
        <w:t>egulation (EU) No 1169/2011 of the European Parliament and of the Council</w:t>
      </w:r>
      <w:r w:rsidRPr="003105C8">
        <w:rPr>
          <w:noProof/>
        </w:rPr>
        <w:t xml:space="preserve"> on the provision of food information to consumers, require that information provided to consumers is clear, factual, and not misleading. </w:t>
      </w:r>
      <w:r w:rsidR="00800FAE" w:rsidRPr="003105C8">
        <w:rPr>
          <w:noProof/>
        </w:rPr>
        <w:t xml:space="preserve">In the case of fresh fruit and vegetables subject to marketing standards, </w:t>
      </w:r>
      <w:r w:rsidR="00203728" w:rsidRPr="003105C8">
        <w:rPr>
          <w:noProof/>
        </w:rPr>
        <w:t xml:space="preserve">Commission </w:t>
      </w:r>
      <w:r w:rsidR="001B674D" w:rsidRPr="003105C8">
        <w:rPr>
          <w:noProof/>
        </w:rPr>
        <w:t>I</w:t>
      </w:r>
      <w:r w:rsidR="00203728" w:rsidRPr="003105C8">
        <w:rPr>
          <w:noProof/>
        </w:rPr>
        <w:t xml:space="preserve">mplementing </w:t>
      </w:r>
      <w:r w:rsidR="001B674D" w:rsidRPr="003105C8">
        <w:rPr>
          <w:noProof/>
        </w:rPr>
        <w:t>R</w:t>
      </w:r>
      <w:r w:rsidR="00203728" w:rsidRPr="003105C8">
        <w:rPr>
          <w:noProof/>
        </w:rPr>
        <w:t xml:space="preserve">egulation (EU) No 543/2011 </w:t>
      </w:r>
      <w:r w:rsidR="00800FAE" w:rsidRPr="003105C8">
        <w:rPr>
          <w:noProof/>
        </w:rPr>
        <w:t>foresee</w:t>
      </w:r>
      <w:r w:rsidR="00203728" w:rsidRPr="003105C8">
        <w:rPr>
          <w:noProof/>
        </w:rPr>
        <w:t>s</w:t>
      </w:r>
      <w:r w:rsidR="00800FAE" w:rsidRPr="003105C8">
        <w:rPr>
          <w:noProof/>
        </w:rPr>
        <w:t xml:space="preserve"> the indication of the country of origin. </w:t>
      </w:r>
      <w:r w:rsidR="00203728" w:rsidRPr="003105C8">
        <w:rPr>
          <w:noProof/>
        </w:rPr>
        <w:t xml:space="preserve">Regulation (EU) No 1379/2013 of the European Parliament and of the Council on the common organisation of the markets in fishery </w:t>
      </w:r>
      <w:r w:rsidR="00D71ED9" w:rsidRPr="003105C8">
        <w:rPr>
          <w:noProof/>
        </w:rPr>
        <w:t xml:space="preserve">and aquaculture </w:t>
      </w:r>
      <w:r w:rsidR="00203728" w:rsidRPr="003105C8">
        <w:rPr>
          <w:noProof/>
        </w:rPr>
        <w:t xml:space="preserve">products requires the indication of the catch or production area. </w:t>
      </w:r>
      <w:r w:rsidRPr="003105C8">
        <w:rPr>
          <w:noProof/>
        </w:rPr>
        <w:t>Member States are in charge of enforcing these requirements and thus shall take action in case products include incorrect or misleading origin labelling.</w:t>
      </w:r>
    </w:p>
    <w:p w:rsidR="0036119D" w:rsidRPr="003105C8" w:rsidRDefault="0036119D" w:rsidP="003105C8">
      <w:pPr>
        <w:widowControl w:val="0"/>
        <w:rPr>
          <w:noProof/>
        </w:rPr>
      </w:pPr>
    </w:p>
    <w:p w:rsidR="0036119D" w:rsidRPr="003105C8" w:rsidRDefault="0036119D" w:rsidP="003105C8">
      <w:pPr>
        <w:widowControl w:val="0"/>
        <w:rPr>
          <w:noProof/>
        </w:rPr>
      </w:pPr>
      <w:r w:rsidRPr="003105C8">
        <w:rPr>
          <w:noProof/>
        </w:rPr>
        <w:t>Finally</w:t>
      </w:r>
      <w:r w:rsidR="00F95A7E" w:rsidRPr="003105C8">
        <w:rPr>
          <w:noProof/>
        </w:rPr>
        <w:t>,</w:t>
      </w:r>
      <w:r w:rsidRPr="003105C8">
        <w:rPr>
          <w:noProof/>
        </w:rPr>
        <w:t xml:space="preserve"> it should be pointed out that the Court's ruling on the validity of the </w:t>
      </w:r>
      <w:r w:rsidR="00FA6B6D" w:rsidRPr="003105C8">
        <w:rPr>
          <w:noProof/>
        </w:rPr>
        <w:t xml:space="preserve">Council's decisions on the conclusion of the </w:t>
      </w:r>
      <w:r w:rsidRPr="003105C8">
        <w:rPr>
          <w:noProof/>
        </w:rPr>
        <w:t>fisheries agreement and its protocol</w:t>
      </w:r>
      <w:bookmarkStart w:id="0" w:name="_GoBack"/>
      <w:bookmarkEnd w:id="0"/>
      <w:r w:rsidR="003105C8">
        <w:rPr>
          <w:rStyle w:val="FootnoteReference"/>
          <w:noProof/>
        </w:rPr>
        <w:footnoteReference w:id="2"/>
      </w:r>
      <w:r w:rsidRPr="003105C8">
        <w:rPr>
          <w:noProof/>
        </w:rPr>
        <w:t xml:space="preserve">, which may provide further guidance, is expected for 27 February 2018.   </w:t>
      </w:r>
    </w:p>
    <w:p w:rsidR="00F95A7E" w:rsidRPr="003105C8" w:rsidRDefault="00F95A7E" w:rsidP="003105C8">
      <w:pPr>
        <w:widowControl w:val="0"/>
        <w:rPr>
          <w:noProof/>
        </w:rPr>
      </w:pPr>
    </w:p>
    <w:sectPr w:rsidR="00F95A7E" w:rsidRPr="003105C8" w:rsidSect="003105C8">
      <w:headerReference w:type="even" r:id="rId6"/>
      <w:headerReference w:type="default" r:id="rId7"/>
      <w:footerReference w:type="even" r:id="rId8"/>
      <w:footerReference w:type="default" r:id="rId9"/>
      <w:headerReference w:type="first" r:id="rId10"/>
      <w:footerReference w:type="first" r:id="rId11"/>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7C" w:rsidRDefault="00F12E7C" w:rsidP="00AD2209">
      <w:r>
        <w:separator/>
      </w:r>
    </w:p>
  </w:endnote>
  <w:endnote w:type="continuationSeparator" w:id="0">
    <w:p w:rsidR="00F12E7C" w:rsidRDefault="00F12E7C" w:rsidP="00A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3105C8" w:rsidRDefault="00AD2209" w:rsidP="00310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7C" w:rsidRDefault="00F12E7C" w:rsidP="00AD2209">
      <w:r>
        <w:separator/>
      </w:r>
    </w:p>
  </w:footnote>
  <w:footnote w:type="continuationSeparator" w:id="0">
    <w:p w:rsidR="00F12E7C" w:rsidRDefault="00F12E7C" w:rsidP="00AD2209">
      <w:r>
        <w:continuationSeparator/>
      </w:r>
    </w:p>
  </w:footnote>
  <w:footnote w:id="1">
    <w:p w:rsidR="003105C8" w:rsidRDefault="003105C8" w:rsidP="003105C8">
      <w:pPr>
        <w:pStyle w:val="FootnoteText"/>
        <w:tabs>
          <w:tab w:val="left" w:pos="283"/>
        </w:tabs>
        <w:ind w:left="283" w:hanging="283"/>
      </w:pPr>
      <w:r>
        <w:rPr>
          <w:rStyle w:val="FootnoteReference"/>
        </w:rPr>
        <w:footnoteRef/>
      </w:r>
      <w:r>
        <w:t xml:space="preserve"> </w:t>
      </w:r>
      <w:r>
        <w:tab/>
        <w:t>Case C-104/16P, Council/Polisario, ECLI:EU:C:2016:973</w:t>
      </w:r>
    </w:p>
  </w:footnote>
  <w:footnote w:id="2">
    <w:p w:rsidR="003105C8" w:rsidRDefault="003105C8" w:rsidP="003105C8">
      <w:pPr>
        <w:pStyle w:val="FootnoteText"/>
        <w:tabs>
          <w:tab w:val="left" w:pos="283"/>
        </w:tabs>
        <w:ind w:left="283" w:hanging="283"/>
      </w:pPr>
      <w:r>
        <w:rPr>
          <w:rStyle w:val="FootnoteReference"/>
        </w:rPr>
        <w:footnoteRef/>
      </w:r>
      <w:r>
        <w:t xml:space="preserve"> </w:t>
      </w:r>
      <w:r>
        <w:tab/>
        <w:t>Case C-266/16, Western Sahara Campaign, OJ C 260, 18.07.2016, p.31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3105C8" w:rsidRDefault="00AD2209" w:rsidP="00310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1111A"/>
    <w:rsid w:val="000207D6"/>
    <w:rsid w:val="000C24F8"/>
    <w:rsid w:val="000C790E"/>
    <w:rsid w:val="001A2324"/>
    <w:rsid w:val="001B674D"/>
    <w:rsid w:val="001C7F82"/>
    <w:rsid w:val="00203728"/>
    <w:rsid w:val="002770FB"/>
    <w:rsid w:val="00277C98"/>
    <w:rsid w:val="002B0803"/>
    <w:rsid w:val="002C0704"/>
    <w:rsid w:val="002E0435"/>
    <w:rsid w:val="003105C8"/>
    <w:rsid w:val="00332473"/>
    <w:rsid w:val="0036119D"/>
    <w:rsid w:val="003668AB"/>
    <w:rsid w:val="00367C9F"/>
    <w:rsid w:val="003A07EF"/>
    <w:rsid w:val="003A35A0"/>
    <w:rsid w:val="003B635D"/>
    <w:rsid w:val="00441A90"/>
    <w:rsid w:val="00452740"/>
    <w:rsid w:val="0045468E"/>
    <w:rsid w:val="00457AFE"/>
    <w:rsid w:val="00473286"/>
    <w:rsid w:val="0047523D"/>
    <w:rsid w:val="005812E8"/>
    <w:rsid w:val="00591A33"/>
    <w:rsid w:val="005A2E98"/>
    <w:rsid w:val="00616CC3"/>
    <w:rsid w:val="006729BB"/>
    <w:rsid w:val="00675D78"/>
    <w:rsid w:val="006A301C"/>
    <w:rsid w:val="006B519F"/>
    <w:rsid w:val="006D7EF8"/>
    <w:rsid w:val="006F02A4"/>
    <w:rsid w:val="00776C71"/>
    <w:rsid w:val="007A57BF"/>
    <w:rsid w:val="007A78FD"/>
    <w:rsid w:val="007C7769"/>
    <w:rsid w:val="00800FAE"/>
    <w:rsid w:val="00821026"/>
    <w:rsid w:val="0082116D"/>
    <w:rsid w:val="008573E3"/>
    <w:rsid w:val="008A7F3D"/>
    <w:rsid w:val="008E011E"/>
    <w:rsid w:val="009774C2"/>
    <w:rsid w:val="009866BC"/>
    <w:rsid w:val="00995B0D"/>
    <w:rsid w:val="00996474"/>
    <w:rsid w:val="009D18C4"/>
    <w:rsid w:val="00A0563B"/>
    <w:rsid w:val="00A310E3"/>
    <w:rsid w:val="00A844B1"/>
    <w:rsid w:val="00AD2209"/>
    <w:rsid w:val="00B2328F"/>
    <w:rsid w:val="00B26A11"/>
    <w:rsid w:val="00C5566E"/>
    <w:rsid w:val="00C71D0F"/>
    <w:rsid w:val="00CF600D"/>
    <w:rsid w:val="00D02BF8"/>
    <w:rsid w:val="00D04CB4"/>
    <w:rsid w:val="00D71ED9"/>
    <w:rsid w:val="00DB7783"/>
    <w:rsid w:val="00DE59A3"/>
    <w:rsid w:val="00DF3FE1"/>
    <w:rsid w:val="00E82AD1"/>
    <w:rsid w:val="00ED6175"/>
    <w:rsid w:val="00F12E7C"/>
    <w:rsid w:val="00F6354F"/>
    <w:rsid w:val="00F95A7E"/>
    <w:rsid w:val="00FA1DC0"/>
    <w:rsid w:val="00FA6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loonTextChar"/>
    <w:uiPriority w:val="99"/>
    <w:semiHidden/>
    <w:unhideWhenUsed/>
    <w:rsid w:val="003668AB"/>
    <w:rPr>
      <w:rFonts w:ascii="Tahoma" w:hAnsi="Tahoma" w:cs="Tahoma"/>
      <w:sz w:val="16"/>
      <w:szCs w:val="16"/>
    </w:rPr>
  </w:style>
  <w:style w:type="character" w:customStyle="1" w:styleId="BalloonTextChar">
    <w:name w:val="Balloon Text Char"/>
    <w:link w:val="BalloonText"/>
    <w:uiPriority w:val="99"/>
    <w:semiHidden/>
    <w:rsid w:val="003668AB"/>
    <w:rPr>
      <w:rFonts w:ascii="Tahoma" w:hAnsi="Tahoma" w:cs="Tahoma"/>
      <w:sz w:val="16"/>
      <w:szCs w:val="16"/>
    </w:rPr>
  </w:style>
  <w:style w:type="character" w:styleId="CommentReference">
    <w:name w:val="annotation reference"/>
    <w:uiPriority w:val="99"/>
    <w:semiHidden/>
    <w:unhideWhenUsed/>
    <w:rsid w:val="00D71ED9"/>
    <w:rPr>
      <w:sz w:val="16"/>
      <w:szCs w:val="16"/>
    </w:rPr>
  </w:style>
  <w:style w:type="paragraph" w:styleId="CommentText">
    <w:name w:val="annotation text"/>
    <w:basedOn w:val="Normal"/>
    <w:link w:val="CommentTextChar"/>
    <w:uiPriority w:val="99"/>
    <w:semiHidden/>
    <w:unhideWhenUsed/>
    <w:rsid w:val="00D71ED9"/>
    <w:rPr>
      <w:szCs w:val="20"/>
    </w:rPr>
  </w:style>
  <w:style w:type="character" w:customStyle="1" w:styleId="CommentTextChar">
    <w:name w:val="Comment Text Char"/>
    <w:basedOn w:val="DefaultParagraphFont"/>
    <w:link w:val="CommentText"/>
    <w:uiPriority w:val="99"/>
    <w:semiHidden/>
    <w:rsid w:val="00D71ED9"/>
  </w:style>
  <w:style w:type="paragraph" w:styleId="CommentSubject">
    <w:name w:val="annotation subject"/>
    <w:basedOn w:val="CommentText"/>
    <w:next w:val="CommentText"/>
    <w:link w:val="CommentSubjectChar"/>
    <w:uiPriority w:val="99"/>
    <w:semiHidden/>
    <w:unhideWhenUsed/>
    <w:rsid w:val="00D71ED9"/>
    <w:rPr>
      <w:b/>
      <w:bCs/>
    </w:rPr>
  </w:style>
  <w:style w:type="character" w:customStyle="1" w:styleId="CommentSubjectChar">
    <w:name w:val="Comment Subject Char"/>
    <w:link w:val="CommentSubject"/>
    <w:uiPriority w:val="99"/>
    <w:semiHidden/>
    <w:rsid w:val="00D71ED9"/>
    <w:rPr>
      <w:b/>
      <w:bCs/>
    </w:rPr>
  </w:style>
  <w:style w:type="paragraph" w:styleId="Revision">
    <w:name w:val="Revision"/>
    <w:hidden/>
    <w:uiPriority w:val="99"/>
    <w:semiHidden/>
    <w:rsid w:val="00D71ED9"/>
    <w:rPr>
      <w:sz w:val="24"/>
      <w:szCs w:val="24"/>
    </w:rPr>
  </w:style>
  <w:style w:type="paragraph" w:styleId="FootnoteText">
    <w:name w:val="footnote text"/>
    <w:basedOn w:val="Normal"/>
    <w:link w:val="FootnoteTextChar"/>
    <w:uiPriority w:val="99"/>
    <w:semiHidden/>
    <w:unhideWhenUsed/>
    <w:rsid w:val="0036119D"/>
    <w:rPr>
      <w:sz w:val="18"/>
      <w:szCs w:val="20"/>
    </w:rPr>
  </w:style>
  <w:style w:type="character" w:customStyle="1" w:styleId="FootnoteTextChar">
    <w:name w:val="Footnote Text Char"/>
    <w:basedOn w:val="DefaultParagraphFont"/>
    <w:link w:val="FootnoteText"/>
    <w:uiPriority w:val="99"/>
    <w:semiHidden/>
    <w:rsid w:val="0036119D"/>
    <w:rPr>
      <w:rFonts w:ascii="Arial" w:hAnsi="Arial" w:cs="Arial"/>
      <w:sz w:val="18"/>
    </w:rPr>
  </w:style>
  <w:style w:type="character" w:styleId="FootnoteReference">
    <w:name w:val="footnote reference"/>
    <w:uiPriority w:val="99"/>
    <w:semiHidden/>
    <w:unhideWhenUsed/>
    <w:rsid w:val="0036119D"/>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2018-02-08T13:08:00Z</dcterms:created>
  <dcterms:modified xsi:type="dcterms:W3CDTF">2018-02-08T13:08:00Z</dcterms:modified>
</cp:coreProperties>
</file>