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CC" w:rsidRPr="00861630" w:rsidRDefault="0045468E" w:rsidP="00861630">
      <w:pPr>
        <w:widowControl w:val="0"/>
        <w:rPr>
          <w:noProof/>
        </w:rPr>
      </w:pPr>
      <w:r w:rsidRPr="00861630">
        <w:rPr>
          <w:noProof/>
        </w:rPr>
        <w:t>EN</w:t>
      </w:r>
      <w:r w:rsidRPr="00861630">
        <w:rPr>
          <w:noProof/>
        </w:rPr>
        <w:cr/>
      </w:r>
      <w:r w:rsidR="00903E4B" w:rsidRPr="00861630">
        <w:rPr>
          <w:noProof/>
        </w:rPr>
        <w:t>E</w:t>
      </w:r>
      <w:r w:rsidRPr="00861630">
        <w:rPr>
          <w:noProof/>
        </w:rPr>
        <w:t>-00</w:t>
      </w:r>
      <w:r w:rsidR="00FF727A" w:rsidRPr="00861630">
        <w:rPr>
          <w:noProof/>
        </w:rPr>
        <w:t>1054</w:t>
      </w:r>
      <w:r w:rsidRPr="00861630">
        <w:rPr>
          <w:noProof/>
        </w:rPr>
        <w:t>/2018</w:t>
      </w:r>
      <w:r w:rsidRPr="00861630">
        <w:rPr>
          <w:noProof/>
        </w:rPr>
        <w:cr/>
        <w:t>Answer given by Mr Andriukaitis</w:t>
      </w:r>
      <w:r w:rsidRPr="00861630">
        <w:rPr>
          <w:noProof/>
        </w:rPr>
        <w:cr/>
        <w:t>on behalf of the Commission</w:t>
      </w:r>
      <w:r w:rsidRPr="00861630">
        <w:rPr>
          <w:noProof/>
        </w:rPr>
        <w:cr/>
      </w:r>
      <w:r w:rsidR="004B59CC" w:rsidRPr="00861630">
        <w:rPr>
          <w:noProof/>
        </w:rPr>
        <w:t xml:space="preserve">(17.4.2018) </w:t>
      </w:r>
    </w:p>
    <w:p w:rsidR="00FF727A" w:rsidRPr="00861630" w:rsidRDefault="0045468E" w:rsidP="00861630">
      <w:pPr>
        <w:widowControl w:val="0"/>
        <w:rPr>
          <w:noProof/>
        </w:rPr>
      </w:pPr>
      <w:r w:rsidRPr="00861630">
        <w:rPr>
          <w:noProof/>
        </w:rPr>
        <w:cr/>
      </w:r>
    </w:p>
    <w:p w:rsidR="00E02A82" w:rsidRPr="00861630" w:rsidRDefault="005E18B6" w:rsidP="00861630">
      <w:pPr>
        <w:widowControl w:val="0"/>
        <w:rPr>
          <w:noProof/>
        </w:rPr>
      </w:pPr>
      <w:r w:rsidRPr="00861630">
        <w:rPr>
          <w:noProof/>
        </w:rPr>
        <w:t>Southern Italian regions have slightly worse averages than</w:t>
      </w:r>
      <w:r w:rsidR="00BB0EB1" w:rsidRPr="00861630">
        <w:rPr>
          <w:noProof/>
        </w:rPr>
        <w:t xml:space="preserve"> those of Italians</w:t>
      </w:r>
      <w:r w:rsidRPr="00861630">
        <w:rPr>
          <w:noProof/>
        </w:rPr>
        <w:t xml:space="preserve"> overall in terms of mortality</w:t>
      </w:r>
      <w:r w:rsidR="00861630">
        <w:rPr>
          <w:rStyle w:val="FootnoteReference"/>
          <w:noProof/>
        </w:rPr>
        <w:footnoteReference w:id="1"/>
      </w:r>
      <w:r w:rsidRPr="00861630">
        <w:rPr>
          <w:noProof/>
        </w:rPr>
        <w:t xml:space="preserve"> and life expectancy</w:t>
      </w:r>
      <w:r w:rsidR="00861630">
        <w:rPr>
          <w:rStyle w:val="FootnoteReference"/>
          <w:noProof/>
        </w:rPr>
        <w:footnoteReference w:id="2"/>
      </w:r>
      <w:r w:rsidRPr="00861630">
        <w:rPr>
          <w:noProof/>
        </w:rPr>
        <w:t xml:space="preserve">, but better than </w:t>
      </w:r>
      <w:r w:rsidR="00BB0EB1" w:rsidRPr="00861630">
        <w:rPr>
          <w:noProof/>
        </w:rPr>
        <w:t>the</w:t>
      </w:r>
      <w:r w:rsidRPr="00861630">
        <w:rPr>
          <w:noProof/>
        </w:rPr>
        <w:t xml:space="preserve"> EU </w:t>
      </w:r>
      <w:r w:rsidR="00BB0EB1" w:rsidRPr="00861630">
        <w:rPr>
          <w:noProof/>
        </w:rPr>
        <w:t>overall</w:t>
      </w:r>
      <w:r w:rsidRPr="00861630">
        <w:rPr>
          <w:noProof/>
        </w:rPr>
        <w:t xml:space="preserve">. </w:t>
      </w:r>
      <w:r w:rsidR="000C14AB" w:rsidRPr="00861630">
        <w:rPr>
          <w:noProof/>
        </w:rPr>
        <w:t>.</w:t>
      </w:r>
    </w:p>
    <w:p w:rsidR="005443D0" w:rsidRPr="00861630" w:rsidRDefault="005443D0" w:rsidP="00861630">
      <w:pPr>
        <w:widowControl w:val="0"/>
        <w:rPr>
          <w:noProof/>
        </w:rPr>
      </w:pPr>
    </w:p>
    <w:p w:rsidR="006A4787" w:rsidRPr="00861630" w:rsidRDefault="006A4787" w:rsidP="00861630">
      <w:pPr>
        <w:widowControl w:val="0"/>
        <w:rPr>
          <w:noProof/>
        </w:rPr>
      </w:pPr>
      <w:r w:rsidRPr="00861630">
        <w:rPr>
          <w:noProof/>
        </w:rPr>
        <w:t>Shortage</w:t>
      </w:r>
      <w:r w:rsidR="00747BB2" w:rsidRPr="00861630">
        <w:rPr>
          <w:noProof/>
        </w:rPr>
        <w:t>s</w:t>
      </w:r>
      <w:r w:rsidRPr="00861630">
        <w:rPr>
          <w:noProof/>
        </w:rPr>
        <w:t xml:space="preserve"> of medicines </w:t>
      </w:r>
      <w:r w:rsidR="00747BB2" w:rsidRPr="00861630">
        <w:rPr>
          <w:noProof/>
        </w:rPr>
        <w:t xml:space="preserve">are </w:t>
      </w:r>
      <w:r w:rsidRPr="00861630">
        <w:rPr>
          <w:noProof/>
        </w:rPr>
        <w:t>a significant problem that affect many patients</w:t>
      </w:r>
      <w:r w:rsidR="008726F6" w:rsidRPr="00861630">
        <w:rPr>
          <w:noProof/>
        </w:rPr>
        <w:t>.</w:t>
      </w:r>
      <w:r w:rsidRPr="00861630">
        <w:rPr>
          <w:noProof/>
        </w:rPr>
        <w:t xml:space="preserve"> The main drivers of shortages are generally manufacturing problems or </w:t>
      </w:r>
      <w:r w:rsidR="00747BB2" w:rsidRPr="00861630">
        <w:rPr>
          <w:noProof/>
        </w:rPr>
        <w:t xml:space="preserve">the </w:t>
      </w:r>
      <w:r w:rsidRPr="00861630">
        <w:rPr>
          <w:noProof/>
        </w:rPr>
        <w:t>price of medicines, which is under the competence of the Member States.</w:t>
      </w:r>
      <w:r w:rsidR="00843FEA" w:rsidRPr="00861630">
        <w:rPr>
          <w:noProof/>
        </w:rPr>
        <w:t xml:space="preserve"> </w:t>
      </w:r>
      <w:r w:rsidRPr="00861630">
        <w:rPr>
          <w:noProof/>
        </w:rPr>
        <w:t>Nevertheless, EU legislation obliges marketing authorisation holders and wholesalers to ensure appropriate and continued supply of the medicines</w:t>
      </w:r>
      <w:r w:rsidR="00747BB2" w:rsidRPr="00861630">
        <w:rPr>
          <w:noProof/>
        </w:rPr>
        <w:t xml:space="preserve"> concerned</w:t>
      </w:r>
      <w:r w:rsidR="005443D0" w:rsidRPr="00861630">
        <w:rPr>
          <w:noProof/>
        </w:rPr>
        <w:t>.</w:t>
      </w:r>
    </w:p>
    <w:p w:rsidR="005443D0" w:rsidRPr="00861630" w:rsidRDefault="005443D0" w:rsidP="00861630">
      <w:pPr>
        <w:widowControl w:val="0"/>
        <w:rPr>
          <w:noProof/>
        </w:rPr>
      </w:pPr>
    </w:p>
    <w:p w:rsidR="002A6AE8" w:rsidRPr="00861630" w:rsidRDefault="002A6AE8" w:rsidP="00861630">
      <w:pPr>
        <w:widowControl w:val="0"/>
        <w:rPr>
          <w:noProof/>
        </w:rPr>
      </w:pPr>
      <w:r w:rsidRPr="00861630">
        <w:rPr>
          <w:noProof/>
        </w:rPr>
        <w:t xml:space="preserve">The Commission has been working over </w:t>
      </w:r>
      <w:r w:rsidR="00747BB2" w:rsidRPr="00861630">
        <w:rPr>
          <w:noProof/>
        </w:rPr>
        <w:t>recent</w:t>
      </w:r>
      <w:r w:rsidRPr="00861630">
        <w:rPr>
          <w:noProof/>
        </w:rPr>
        <w:t xml:space="preserve"> years with the Member States, regional authorities and other stakeholders to tap the potential of innovative solutions, such as digital technologies and data analytics</w:t>
      </w:r>
      <w:r w:rsidR="008726F6" w:rsidRPr="00861630">
        <w:rPr>
          <w:noProof/>
        </w:rPr>
        <w:t>.</w:t>
      </w:r>
      <w:r w:rsidR="001F12A9" w:rsidRPr="00861630">
        <w:rPr>
          <w:noProof/>
        </w:rPr>
        <w:t xml:space="preserve"> </w:t>
      </w:r>
      <w:r w:rsidR="00FC4933" w:rsidRPr="00861630">
        <w:rPr>
          <w:noProof/>
        </w:rPr>
        <w:t xml:space="preserve">Digital health solutions have already shown many benefits </w:t>
      </w:r>
      <w:r w:rsidR="00747BB2" w:rsidRPr="00861630">
        <w:rPr>
          <w:noProof/>
        </w:rPr>
        <w:t>and have m</w:t>
      </w:r>
      <w:r w:rsidR="00FC4933" w:rsidRPr="00861630">
        <w:rPr>
          <w:noProof/>
        </w:rPr>
        <w:t>uch more to offer in Europe, both to healthcare systems and to people. This will depend to a very large extent on a better use of data</w:t>
      </w:r>
      <w:r w:rsidR="00747BB2" w:rsidRPr="00861630">
        <w:rPr>
          <w:noProof/>
        </w:rPr>
        <w:t xml:space="preserve"> and on </w:t>
      </w:r>
      <w:r w:rsidR="00FC4933" w:rsidRPr="00861630">
        <w:rPr>
          <w:noProof/>
        </w:rPr>
        <w:t xml:space="preserve">empowered citizens who trust digital solutions. </w:t>
      </w:r>
      <w:r w:rsidRPr="00861630">
        <w:rPr>
          <w:noProof/>
        </w:rPr>
        <w:t xml:space="preserve">EU funding supports research and innovation in digital health and care solutions, notably through the </w:t>
      </w:r>
      <w:r w:rsidR="005443D0" w:rsidRPr="00861630">
        <w:rPr>
          <w:noProof/>
          <w:lang w:val="en"/>
        </w:rPr>
        <w:t>EU Research and Innovation</w:t>
      </w:r>
      <w:r w:rsidR="00747BB2" w:rsidRPr="00861630">
        <w:rPr>
          <w:noProof/>
          <w:lang w:val="en"/>
        </w:rPr>
        <w:t xml:space="preserve"> </w:t>
      </w:r>
      <w:r w:rsidRPr="00861630">
        <w:rPr>
          <w:noProof/>
        </w:rPr>
        <w:t>programme</w:t>
      </w:r>
      <w:r w:rsidR="00861630">
        <w:rPr>
          <w:rStyle w:val="FootnoteReference"/>
          <w:noProof/>
        </w:rPr>
        <w:footnoteReference w:id="3"/>
      </w:r>
      <w:r w:rsidRPr="00861630">
        <w:rPr>
          <w:noProof/>
        </w:rPr>
        <w:t>. It also supports the building of infrastructure for cross-border exchange of patient summaries and electronic prescriptions, with funds from the Connecting Europe Facility programme.</w:t>
      </w:r>
    </w:p>
    <w:p w:rsidR="002A6AE8" w:rsidRPr="00861630" w:rsidRDefault="002A6AE8" w:rsidP="00861630">
      <w:pPr>
        <w:widowControl w:val="0"/>
        <w:rPr>
          <w:noProof/>
        </w:rPr>
      </w:pPr>
    </w:p>
    <w:p w:rsidR="003A7957" w:rsidRPr="00861630" w:rsidRDefault="002A6AE8" w:rsidP="00861630">
      <w:pPr>
        <w:widowControl w:val="0"/>
        <w:rPr>
          <w:noProof/>
        </w:rPr>
      </w:pPr>
      <w:r w:rsidRPr="00861630">
        <w:rPr>
          <w:noProof/>
        </w:rPr>
        <w:t>The Directive on Patients' Rights in Cross-Border Healthcare</w:t>
      </w:r>
      <w:r w:rsidR="00861630">
        <w:rPr>
          <w:rStyle w:val="FootnoteReference"/>
          <w:noProof/>
        </w:rPr>
        <w:footnoteReference w:id="4"/>
      </w:r>
      <w:r w:rsidRPr="00861630">
        <w:rPr>
          <w:noProof/>
        </w:rPr>
        <w:t xml:space="preserve"> established the eHealth Network to advance the interoperability of eHealth solutions. </w:t>
      </w:r>
      <w:r w:rsidR="00FC4933" w:rsidRPr="00861630">
        <w:rPr>
          <w:noProof/>
        </w:rPr>
        <w:t>In May 2017, the Commission adopted the Mid-Term Review of the Digital Single Market strategy</w:t>
      </w:r>
      <w:bookmarkStart w:id="0" w:name="_GoBack"/>
      <w:bookmarkEnd w:id="0"/>
      <w:r w:rsidR="00861630">
        <w:rPr>
          <w:rStyle w:val="FootnoteReference"/>
          <w:noProof/>
        </w:rPr>
        <w:footnoteReference w:id="5"/>
      </w:r>
      <w:r w:rsidR="005443D0" w:rsidRPr="00861630">
        <w:rPr>
          <w:noProof/>
        </w:rPr>
        <w:t>.</w:t>
      </w:r>
      <w:r w:rsidR="00FC4933" w:rsidRPr="00861630">
        <w:rPr>
          <w:noProof/>
        </w:rPr>
        <w:t xml:space="preserve"> Digital health and care transformation was included and identified three priority areas for policy actions</w:t>
      </w:r>
      <w:r w:rsidR="005443D0" w:rsidRPr="00861630">
        <w:rPr>
          <w:noProof/>
        </w:rPr>
        <w:t>.</w:t>
      </w:r>
    </w:p>
    <w:sectPr w:rsidR="003A7957" w:rsidRPr="00861630" w:rsidSect="00861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2F" w:rsidRDefault="00117B2F" w:rsidP="00AD2209">
      <w:r>
        <w:separator/>
      </w:r>
    </w:p>
  </w:endnote>
  <w:endnote w:type="continuationSeparator" w:id="0">
    <w:p w:rsidR="00117B2F" w:rsidRDefault="00117B2F" w:rsidP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C" w:rsidRDefault="004B5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C" w:rsidRPr="00861630" w:rsidRDefault="004B59CC" w:rsidP="008616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C" w:rsidRDefault="004B5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2F" w:rsidRDefault="00117B2F" w:rsidP="00AD2209">
      <w:r>
        <w:separator/>
      </w:r>
    </w:p>
  </w:footnote>
  <w:footnote w:type="continuationSeparator" w:id="0">
    <w:p w:rsidR="00117B2F" w:rsidRDefault="00117B2F" w:rsidP="00AD2209">
      <w:r>
        <w:continuationSeparator/>
      </w:r>
    </w:p>
  </w:footnote>
  <w:footnote w:id="1">
    <w:p w:rsidR="00861630" w:rsidRPr="00861630" w:rsidRDefault="00861630" w:rsidP="00861630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http://ec.europa.eu/eurostat/data/database?node_code=demo_mor</w:t>
      </w:r>
    </w:p>
  </w:footnote>
  <w:footnote w:id="2">
    <w:p w:rsidR="00861630" w:rsidRPr="00861630" w:rsidRDefault="00861630" w:rsidP="00861630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http://ec.europa.eu/eurostat/data/database?node_code=hlth_cdeath</w:t>
      </w:r>
    </w:p>
  </w:footnote>
  <w:footnote w:id="3">
    <w:p w:rsidR="00861630" w:rsidRPr="00861630" w:rsidRDefault="00861630" w:rsidP="00861630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https://ec.europa.eu/programmes/horizon2020/en/what-horizon-2020</w:t>
      </w:r>
    </w:p>
  </w:footnote>
  <w:footnote w:id="4">
    <w:p w:rsidR="00861630" w:rsidRPr="00861630" w:rsidRDefault="00861630" w:rsidP="00861630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Directive 2011/24/EU of the European Parliament and of the Council of 9 March 2011 on the application of patients’ rights in cross-border healthcare, OJ L 88, 4.4.2011, p. 45–65</w:t>
      </w:r>
    </w:p>
  </w:footnote>
  <w:footnote w:id="5">
    <w:p w:rsidR="00861630" w:rsidRPr="00861630" w:rsidRDefault="00861630" w:rsidP="00861630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https://ec.europa.eu/digital-single-market/en/content/mid-term-review-digital-single-market-dsm-good-moment-take-stock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C" w:rsidRDefault="004B5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C" w:rsidRPr="00861630" w:rsidRDefault="004B59CC" w:rsidP="008616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C" w:rsidRDefault="004B5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175"/>
    <w:rsid w:val="000141ED"/>
    <w:rsid w:val="000207D6"/>
    <w:rsid w:val="00031CE6"/>
    <w:rsid w:val="00057A15"/>
    <w:rsid w:val="000C14AB"/>
    <w:rsid w:val="000E2C36"/>
    <w:rsid w:val="0011256A"/>
    <w:rsid w:val="00117B2F"/>
    <w:rsid w:val="00134ED3"/>
    <w:rsid w:val="001524B0"/>
    <w:rsid w:val="001A507F"/>
    <w:rsid w:val="001D40DD"/>
    <w:rsid w:val="001F12A9"/>
    <w:rsid w:val="001F260B"/>
    <w:rsid w:val="0023182E"/>
    <w:rsid w:val="00277C98"/>
    <w:rsid w:val="002A6AE8"/>
    <w:rsid w:val="002E2C24"/>
    <w:rsid w:val="002E6B52"/>
    <w:rsid w:val="002F781F"/>
    <w:rsid w:val="00367C9F"/>
    <w:rsid w:val="00383362"/>
    <w:rsid w:val="003A7957"/>
    <w:rsid w:val="00444D2C"/>
    <w:rsid w:val="00445E91"/>
    <w:rsid w:val="00453BE7"/>
    <w:rsid w:val="0045468E"/>
    <w:rsid w:val="00457AFE"/>
    <w:rsid w:val="0047523D"/>
    <w:rsid w:val="00497514"/>
    <w:rsid w:val="004B59CC"/>
    <w:rsid w:val="005443D0"/>
    <w:rsid w:val="005666D3"/>
    <w:rsid w:val="005812E8"/>
    <w:rsid w:val="00590BE0"/>
    <w:rsid w:val="005A2E98"/>
    <w:rsid w:val="005C0378"/>
    <w:rsid w:val="005E18B6"/>
    <w:rsid w:val="005E22EE"/>
    <w:rsid w:val="005E4082"/>
    <w:rsid w:val="006A301C"/>
    <w:rsid w:val="006A4787"/>
    <w:rsid w:val="006C3809"/>
    <w:rsid w:val="006F02A4"/>
    <w:rsid w:val="00707855"/>
    <w:rsid w:val="00747BB2"/>
    <w:rsid w:val="00765237"/>
    <w:rsid w:val="00776C71"/>
    <w:rsid w:val="0079743B"/>
    <w:rsid w:val="007A78FD"/>
    <w:rsid w:val="00814065"/>
    <w:rsid w:val="00821026"/>
    <w:rsid w:val="00843FEA"/>
    <w:rsid w:val="008573E3"/>
    <w:rsid w:val="00861630"/>
    <w:rsid w:val="00863A05"/>
    <w:rsid w:val="008726F6"/>
    <w:rsid w:val="00883C21"/>
    <w:rsid w:val="00885304"/>
    <w:rsid w:val="008B5F14"/>
    <w:rsid w:val="008D5073"/>
    <w:rsid w:val="008E2068"/>
    <w:rsid w:val="00903E4B"/>
    <w:rsid w:val="00997F63"/>
    <w:rsid w:val="00A424A1"/>
    <w:rsid w:val="00A76224"/>
    <w:rsid w:val="00A80AB0"/>
    <w:rsid w:val="00A97206"/>
    <w:rsid w:val="00AD2209"/>
    <w:rsid w:val="00B002DD"/>
    <w:rsid w:val="00B06255"/>
    <w:rsid w:val="00B2328F"/>
    <w:rsid w:val="00B34807"/>
    <w:rsid w:val="00B8518B"/>
    <w:rsid w:val="00BB0EB1"/>
    <w:rsid w:val="00BC4BE2"/>
    <w:rsid w:val="00C06E61"/>
    <w:rsid w:val="00C52288"/>
    <w:rsid w:val="00C66683"/>
    <w:rsid w:val="00C71D0F"/>
    <w:rsid w:val="00CD4947"/>
    <w:rsid w:val="00CE4B01"/>
    <w:rsid w:val="00D12D5A"/>
    <w:rsid w:val="00D83B42"/>
    <w:rsid w:val="00DA7FE7"/>
    <w:rsid w:val="00DC4EFE"/>
    <w:rsid w:val="00DF3FE1"/>
    <w:rsid w:val="00DF42F5"/>
    <w:rsid w:val="00E02A82"/>
    <w:rsid w:val="00E17EC6"/>
    <w:rsid w:val="00E82AD1"/>
    <w:rsid w:val="00EB4979"/>
    <w:rsid w:val="00ED0B30"/>
    <w:rsid w:val="00ED6175"/>
    <w:rsid w:val="00F61B1B"/>
    <w:rsid w:val="00FC4933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sid w:val="0086163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31CE6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31CE6"/>
    <w:rPr>
      <w:rFonts w:ascii="Arial" w:hAnsi="Arial" w:cs="Arial"/>
      <w:sz w:val="18"/>
    </w:rPr>
  </w:style>
  <w:style w:type="character" w:styleId="Hyperlink">
    <w:name w:val="Hyperlink"/>
    <w:uiPriority w:val="99"/>
    <w:unhideWhenUsed/>
    <w:rsid w:val="00031CE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1CE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Links>
    <vt:vector size="24" baseType="variant">
      <vt:variant>
        <vt:i4>7471149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https://ec.europa.eu/digital-single-market/en/content/mid-term-review-digital-single-market-dsm-good-moment-take-stock</vt:lpwstr>
      </vt:variant>
      <vt:variant>
        <vt:lpwstr/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https://ec.europa.eu/programmes/horizon2020/en/what-horizon-2020</vt:lpwstr>
      </vt:variant>
      <vt:variant>
        <vt:lpwstr/>
      </vt:variant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http://ec.europa.eu/eurostat/data/database?node_code=hlth_cdeath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http://ec.europa.eu/eurostat/data/database?node_code=demo_mor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2018-04-18T05:27:00Z</dcterms:created>
  <dcterms:modified xsi:type="dcterms:W3CDTF">2018-04-18T05:27:00Z</dcterms:modified>
</cp:coreProperties>
</file>