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5F" w:rsidRPr="00451381" w:rsidRDefault="0045468E" w:rsidP="00451381">
      <w:pPr>
        <w:widowControl w:val="0"/>
        <w:rPr>
          <w:noProof/>
        </w:rPr>
      </w:pPr>
      <w:r w:rsidRPr="00451381">
        <w:rPr>
          <w:noProof/>
        </w:rPr>
        <w:t>EN</w:t>
      </w:r>
      <w:r w:rsidRPr="00451381">
        <w:rPr>
          <w:noProof/>
        </w:rPr>
        <w:cr/>
        <w:t>E-003514/2018</w:t>
      </w:r>
      <w:r w:rsidRPr="00451381">
        <w:rPr>
          <w:noProof/>
        </w:rPr>
        <w:cr/>
        <w:t>Answer given by Vice-President Mogherini</w:t>
      </w:r>
      <w:r w:rsidRPr="00451381">
        <w:rPr>
          <w:noProof/>
        </w:rPr>
        <w:cr/>
        <w:t>on behalf of the European Commission</w:t>
      </w:r>
      <w:r w:rsidRPr="00451381">
        <w:rPr>
          <w:noProof/>
        </w:rPr>
        <w:cr/>
        <w:t>(11.10.2018)</w:t>
      </w:r>
      <w:r w:rsidRPr="00451381">
        <w:rPr>
          <w:noProof/>
        </w:rPr>
        <w:cr/>
      </w:r>
      <w:r w:rsidRPr="00451381">
        <w:rPr>
          <w:noProof/>
        </w:rPr>
        <w:cr/>
      </w:r>
    </w:p>
    <w:p w:rsidR="00080A2C" w:rsidRPr="00451381" w:rsidRDefault="00080A2C" w:rsidP="00451381">
      <w:pPr>
        <w:widowControl w:val="0"/>
        <w:rPr>
          <w:noProof/>
        </w:rPr>
      </w:pPr>
      <w:r w:rsidRPr="00451381">
        <w:rPr>
          <w:noProof/>
        </w:rPr>
        <w:t xml:space="preserve">The European Union is fully committed to the continued full </w:t>
      </w:r>
      <w:r w:rsidR="00683C03" w:rsidRPr="00451381">
        <w:rPr>
          <w:noProof/>
        </w:rPr>
        <w:t xml:space="preserve">and effective </w:t>
      </w:r>
      <w:r w:rsidRPr="00451381">
        <w:rPr>
          <w:noProof/>
        </w:rPr>
        <w:t xml:space="preserve">implementation of </w:t>
      </w:r>
      <w:r w:rsidR="00683C03" w:rsidRPr="00451381">
        <w:rPr>
          <w:noProof/>
        </w:rPr>
        <w:t xml:space="preserve">Joint Comprehensive Plan of Action (JCPOA) also known as </w:t>
      </w:r>
      <w:r w:rsidRPr="00451381">
        <w:rPr>
          <w:noProof/>
        </w:rPr>
        <w:t>the Iran nuclear deal</w:t>
      </w:r>
      <w:r w:rsidR="00683C03" w:rsidRPr="00451381">
        <w:rPr>
          <w:noProof/>
        </w:rPr>
        <w:t xml:space="preserve">, </w:t>
      </w:r>
      <w:r w:rsidRPr="00451381">
        <w:rPr>
          <w:noProof/>
        </w:rPr>
        <w:t>as long as Iran respects its obligations.</w:t>
      </w:r>
    </w:p>
    <w:p w:rsidR="008D5CEF" w:rsidRPr="00451381" w:rsidRDefault="008D5CEF" w:rsidP="00451381">
      <w:pPr>
        <w:widowControl w:val="0"/>
        <w:rPr>
          <w:noProof/>
        </w:rPr>
      </w:pPr>
    </w:p>
    <w:p w:rsidR="00080A2C" w:rsidRPr="00451381" w:rsidRDefault="00080A2C" w:rsidP="00451381">
      <w:pPr>
        <w:widowControl w:val="0"/>
        <w:rPr>
          <w:noProof/>
        </w:rPr>
      </w:pPr>
      <w:r w:rsidRPr="00451381">
        <w:rPr>
          <w:noProof/>
        </w:rPr>
        <w:t>The EU is also committed to mitigating the potential negative impact of U</w:t>
      </w:r>
      <w:r w:rsidR="001E692B" w:rsidRPr="00451381">
        <w:rPr>
          <w:noProof/>
        </w:rPr>
        <w:t xml:space="preserve">nited </w:t>
      </w:r>
      <w:r w:rsidRPr="00451381">
        <w:rPr>
          <w:noProof/>
        </w:rPr>
        <w:t>S</w:t>
      </w:r>
      <w:r w:rsidR="001E692B" w:rsidRPr="00451381">
        <w:rPr>
          <w:noProof/>
        </w:rPr>
        <w:t>tates (US)</w:t>
      </w:r>
      <w:r w:rsidRPr="00451381">
        <w:rPr>
          <w:noProof/>
        </w:rPr>
        <w:t xml:space="preserve"> sanctions on </w:t>
      </w:r>
      <w:r w:rsidR="00BC09E2" w:rsidRPr="00451381">
        <w:rPr>
          <w:noProof/>
        </w:rPr>
        <w:t>the</w:t>
      </w:r>
      <w:r w:rsidRPr="00451381">
        <w:rPr>
          <w:noProof/>
        </w:rPr>
        <w:t xml:space="preserve"> European companies</w:t>
      </w:r>
      <w:r w:rsidR="00722AF9" w:rsidRPr="00451381">
        <w:rPr>
          <w:noProof/>
        </w:rPr>
        <w:t>,</w:t>
      </w:r>
      <w:r w:rsidRPr="00451381">
        <w:rPr>
          <w:noProof/>
        </w:rPr>
        <w:t xml:space="preserve"> which have invested in Iran in good faith since the deal was signed</w:t>
      </w:r>
      <w:r w:rsidR="00683C03" w:rsidRPr="00451381">
        <w:rPr>
          <w:noProof/>
        </w:rPr>
        <w:t xml:space="preserve">. It is </w:t>
      </w:r>
      <w:r w:rsidRPr="00451381">
        <w:rPr>
          <w:noProof/>
        </w:rPr>
        <w:t>taking steps to</w:t>
      </w:r>
      <w:r w:rsidR="00683C03" w:rsidRPr="00451381">
        <w:rPr>
          <w:noProof/>
        </w:rPr>
        <w:t xml:space="preserve"> continue the normalisation of trade relations </w:t>
      </w:r>
      <w:r w:rsidRPr="00451381">
        <w:rPr>
          <w:noProof/>
        </w:rPr>
        <w:t>between the EU and Iran</w:t>
      </w:r>
      <w:r w:rsidR="00722AF9" w:rsidRPr="00451381">
        <w:rPr>
          <w:noProof/>
        </w:rPr>
        <w:t>,</w:t>
      </w:r>
      <w:r w:rsidRPr="00451381">
        <w:rPr>
          <w:noProof/>
        </w:rPr>
        <w:t xml:space="preserve"> </w:t>
      </w:r>
      <w:r w:rsidR="00683C03" w:rsidRPr="00451381">
        <w:rPr>
          <w:noProof/>
        </w:rPr>
        <w:t>which commenced when the EU lifted nuclear-related sanctions on JCPOA Implementation Day (</w:t>
      </w:r>
      <w:r w:rsidR="001E692B" w:rsidRPr="00451381">
        <w:rPr>
          <w:noProof/>
        </w:rPr>
        <w:t>16 January 2016</w:t>
      </w:r>
      <w:r w:rsidR="00683C03" w:rsidRPr="00451381">
        <w:rPr>
          <w:noProof/>
        </w:rPr>
        <w:t>).</w:t>
      </w:r>
    </w:p>
    <w:p w:rsidR="008D5CEF" w:rsidRPr="00451381" w:rsidRDefault="008D5CEF" w:rsidP="00451381">
      <w:pPr>
        <w:widowControl w:val="0"/>
        <w:rPr>
          <w:noProof/>
        </w:rPr>
      </w:pPr>
    </w:p>
    <w:p w:rsidR="00080A2C" w:rsidRPr="00451381" w:rsidRDefault="00080A2C" w:rsidP="00451381">
      <w:pPr>
        <w:widowControl w:val="0"/>
        <w:rPr>
          <w:noProof/>
        </w:rPr>
      </w:pPr>
      <w:r w:rsidRPr="00451381">
        <w:rPr>
          <w:noProof/>
        </w:rPr>
        <w:t>The update of the Blocking Statute</w:t>
      </w:r>
      <w:r w:rsidR="00451381">
        <w:rPr>
          <w:rStyle w:val="FootnoteReference"/>
          <w:noProof/>
        </w:rPr>
        <w:footnoteReference w:id="2"/>
      </w:r>
      <w:r w:rsidRPr="00451381">
        <w:rPr>
          <w:noProof/>
        </w:rPr>
        <w:t xml:space="preserve"> and </w:t>
      </w:r>
      <w:r w:rsidR="00BC09E2" w:rsidRPr="00451381">
        <w:rPr>
          <w:noProof/>
        </w:rPr>
        <w:t>the extension</w:t>
      </w:r>
      <w:r w:rsidRPr="00451381">
        <w:rPr>
          <w:noProof/>
        </w:rPr>
        <w:t xml:space="preserve"> of the European Investment Bank</w:t>
      </w:r>
      <w:r w:rsidR="00683C03" w:rsidRPr="00451381">
        <w:rPr>
          <w:noProof/>
        </w:rPr>
        <w:t>'s</w:t>
      </w:r>
      <w:r w:rsidRPr="00451381">
        <w:rPr>
          <w:noProof/>
        </w:rPr>
        <w:t xml:space="preserve"> (EIB) </w:t>
      </w:r>
      <w:r w:rsidR="00683C03" w:rsidRPr="00451381">
        <w:rPr>
          <w:noProof/>
        </w:rPr>
        <w:t>External Lending Mandate</w:t>
      </w:r>
      <w:r w:rsidR="00825494" w:rsidRPr="00451381">
        <w:rPr>
          <w:noProof/>
        </w:rPr>
        <w:t xml:space="preserve"> to cover Iran</w:t>
      </w:r>
      <w:r w:rsidR="00451381">
        <w:rPr>
          <w:rStyle w:val="FootnoteReference"/>
          <w:noProof/>
        </w:rPr>
        <w:footnoteReference w:id="3"/>
      </w:r>
      <w:r w:rsidRPr="00451381">
        <w:rPr>
          <w:noProof/>
        </w:rPr>
        <w:t xml:space="preserve">, together with measures taken at Member State level, are essential to counter the </w:t>
      </w:r>
      <w:r w:rsidR="00683C03" w:rsidRPr="00451381">
        <w:rPr>
          <w:noProof/>
        </w:rPr>
        <w:t xml:space="preserve">unlawful </w:t>
      </w:r>
      <w:r w:rsidRPr="00451381">
        <w:rPr>
          <w:noProof/>
        </w:rPr>
        <w:t xml:space="preserve">effects of US sanctions on EU operators in Iran. </w:t>
      </w:r>
    </w:p>
    <w:p w:rsidR="008D5CEF" w:rsidRPr="00451381" w:rsidRDefault="008D5CEF" w:rsidP="00451381">
      <w:pPr>
        <w:widowControl w:val="0"/>
        <w:rPr>
          <w:noProof/>
        </w:rPr>
      </w:pPr>
    </w:p>
    <w:p w:rsidR="00080A2C" w:rsidRPr="00451381" w:rsidRDefault="00683C03" w:rsidP="00451381">
      <w:pPr>
        <w:widowControl w:val="0"/>
        <w:rPr>
          <w:noProof/>
        </w:rPr>
      </w:pPr>
      <w:r w:rsidRPr="00451381">
        <w:rPr>
          <w:noProof/>
        </w:rPr>
        <w:t xml:space="preserve">The Blocking Statute's update entered into force on 7 August 2018 </w:t>
      </w:r>
      <w:r w:rsidR="00080A2C" w:rsidRPr="00451381">
        <w:rPr>
          <w:noProof/>
        </w:rPr>
        <w:t>to include the list of US sanctions on Iran falling under its scope</w:t>
      </w:r>
      <w:r w:rsidRPr="00451381">
        <w:rPr>
          <w:noProof/>
        </w:rPr>
        <w:t xml:space="preserve"> (Commission Delegated Regulation (EU) 2018/1100</w:t>
      </w:r>
      <w:r w:rsidR="00451381">
        <w:rPr>
          <w:rStyle w:val="FootnoteReference"/>
          <w:noProof/>
        </w:rPr>
        <w:footnoteReference w:id="4"/>
      </w:r>
      <w:r w:rsidRPr="00451381">
        <w:rPr>
          <w:noProof/>
        </w:rPr>
        <w:t>).</w:t>
      </w:r>
      <w:r w:rsidR="00080A2C" w:rsidRPr="00451381">
        <w:rPr>
          <w:noProof/>
        </w:rPr>
        <w:t xml:space="preserve"> The Blocking Statute allows </w:t>
      </w:r>
      <w:r w:rsidR="000341CA" w:rsidRPr="00451381">
        <w:rPr>
          <w:noProof/>
        </w:rPr>
        <w:t>EU operators</w:t>
      </w:r>
      <w:r w:rsidR="00080A2C" w:rsidRPr="00451381">
        <w:rPr>
          <w:noProof/>
        </w:rPr>
        <w:t xml:space="preserve"> to seek compensation for losses they have suffered deriving from the application of US sanctions. The scope of the damages is broad enough to make sure the </w:t>
      </w:r>
      <w:r w:rsidR="000351B6" w:rsidRPr="00451381">
        <w:rPr>
          <w:noProof/>
        </w:rPr>
        <w:t>R</w:t>
      </w:r>
      <w:r w:rsidR="00080A2C" w:rsidRPr="00451381">
        <w:rPr>
          <w:noProof/>
        </w:rPr>
        <w:t>egulation effectively protects</w:t>
      </w:r>
      <w:r w:rsidR="00825494" w:rsidRPr="00451381">
        <w:rPr>
          <w:noProof/>
        </w:rPr>
        <w:t xml:space="preserve"> </w:t>
      </w:r>
      <w:r w:rsidR="00EA1122" w:rsidRPr="00451381">
        <w:rPr>
          <w:noProof/>
        </w:rPr>
        <w:t xml:space="preserve">EU operators </w:t>
      </w:r>
      <w:r w:rsidR="00825494" w:rsidRPr="00451381">
        <w:rPr>
          <w:noProof/>
        </w:rPr>
        <w:t>(question 4 and 9 of the Commission Guidance note</w:t>
      </w:r>
      <w:r w:rsidR="000B5024" w:rsidRPr="00451381">
        <w:rPr>
          <w:noProof/>
        </w:rPr>
        <w:t xml:space="preserve"> 'Questions and Answers: adoption of update of the Blocking Statute</w:t>
      </w:r>
      <w:bookmarkStart w:id="0" w:name="_GoBack"/>
      <w:bookmarkEnd w:id="0"/>
      <w:r w:rsidR="00451381">
        <w:rPr>
          <w:rStyle w:val="FootnoteReference"/>
          <w:noProof/>
        </w:rPr>
        <w:footnoteReference w:id="5"/>
      </w:r>
      <w:r w:rsidR="000B5024" w:rsidRPr="00451381">
        <w:rPr>
          <w:noProof/>
        </w:rPr>
        <w:t>'</w:t>
      </w:r>
      <w:r w:rsidR="00825494" w:rsidRPr="00451381">
        <w:rPr>
          <w:noProof/>
        </w:rPr>
        <w:t>)</w:t>
      </w:r>
      <w:r w:rsidR="000351B6" w:rsidRPr="00451381">
        <w:rPr>
          <w:noProof/>
        </w:rPr>
        <w:t xml:space="preserve">. </w:t>
      </w:r>
      <w:r w:rsidR="000341CA" w:rsidRPr="00451381">
        <w:rPr>
          <w:noProof/>
        </w:rPr>
        <w:t>As the EU does not recognise the applicability of the listed extra</w:t>
      </w:r>
      <w:r w:rsidR="00A82553" w:rsidRPr="00451381">
        <w:rPr>
          <w:noProof/>
        </w:rPr>
        <w:t>-</w:t>
      </w:r>
      <w:r w:rsidR="000341CA" w:rsidRPr="00451381">
        <w:rPr>
          <w:noProof/>
        </w:rPr>
        <w:t xml:space="preserve">territorial legislation, the Blocking Statute requires EU operators not to comply with </w:t>
      </w:r>
      <w:r w:rsidR="000351B6" w:rsidRPr="00451381">
        <w:rPr>
          <w:noProof/>
        </w:rPr>
        <w:t>it</w:t>
      </w:r>
      <w:r w:rsidR="000341CA" w:rsidRPr="00451381">
        <w:rPr>
          <w:noProof/>
        </w:rPr>
        <w:t>. However,</w:t>
      </w:r>
      <w:r w:rsidR="00080A2C" w:rsidRPr="00451381">
        <w:rPr>
          <w:noProof/>
        </w:rPr>
        <w:t xml:space="preserve"> </w:t>
      </w:r>
      <w:r w:rsidR="000341CA" w:rsidRPr="00451381">
        <w:rPr>
          <w:noProof/>
        </w:rPr>
        <w:t>i</w:t>
      </w:r>
      <w:r w:rsidR="00080A2C" w:rsidRPr="00451381">
        <w:rPr>
          <w:noProof/>
        </w:rPr>
        <w:t>n specific and duly motivated circumstances, EU operators can also be authorised by the Commission to comply with the listed extra</w:t>
      </w:r>
      <w:r w:rsidR="00A82553" w:rsidRPr="00451381">
        <w:rPr>
          <w:noProof/>
        </w:rPr>
        <w:t>-</w:t>
      </w:r>
      <w:r w:rsidR="00080A2C" w:rsidRPr="00451381">
        <w:rPr>
          <w:noProof/>
        </w:rPr>
        <w:t>territorial legislation, if not doing so would seriously damage their interests or the interests of the EU</w:t>
      </w:r>
      <w:r w:rsidR="00261EA3" w:rsidRPr="00451381">
        <w:rPr>
          <w:noProof/>
        </w:rPr>
        <w:t xml:space="preserve"> </w:t>
      </w:r>
      <w:r w:rsidR="00825494" w:rsidRPr="00451381">
        <w:rPr>
          <w:noProof/>
        </w:rPr>
        <w:t xml:space="preserve">(question 10 of the </w:t>
      </w:r>
      <w:r w:rsidR="000B5024" w:rsidRPr="00451381">
        <w:rPr>
          <w:noProof/>
        </w:rPr>
        <w:t xml:space="preserve">above-mentioned </w:t>
      </w:r>
      <w:r w:rsidR="00825494" w:rsidRPr="00451381">
        <w:rPr>
          <w:noProof/>
        </w:rPr>
        <w:t>Commission Guidance note)</w:t>
      </w:r>
      <w:r w:rsidR="00080A2C" w:rsidRPr="00451381">
        <w:rPr>
          <w:noProof/>
        </w:rPr>
        <w:t xml:space="preserve">. </w:t>
      </w:r>
    </w:p>
    <w:p w:rsidR="008D5CEF" w:rsidRPr="00451381" w:rsidRDefault="008D5CEF" w:rsidP="00451381">
      <w:pPr>
        <w:widowControl w:val="0"/>
        <w:rPr>
          <w:noProof/>
        </w:rPr>
      </w:pPr>
    </w:p>
    <w:p w:rsidR="0045468E" w:rsidRPr="00451381" w:rsidRDefault="00080A2C" w:rsidP="00451381">
      <w:pPr>
        <w:widowControl w:val="0"/>
        <w:rPr>
          <w:noProof/>
        </w:rPr>
      </w:pPr>
      <w:r w:rsidRPr="00451381">
        <w:rPr>
          <w:noProof/>
        </w:rPr>
        <w:t xml:space="preserve">In addition, the Commission and the European Central Bank strive to further strengthen the role of the euro in global trade exchanges in order to enhance </w:t>
      </w:r>
      <w:r w:rsidR="00CC64E8" w:rsidRPr="00451381">
        <w:rPr>
          <w:noProof/>
        </w:rPr>
        <w:t xml:space="preserve">the </w:t>
      </w:r>
      <w:r w:rsidRPr="00451381">
        <w:rPr>
          <w:noProof/>
        </w:rPr>
        <w:t>European economic sovereignty.</w:t>
      </w:r>
    </w:p>
    <w:p w:rsidR="00683C03" w:rsidRPr="00451381" w:rsidRDefault="00683C03" w:rsidP="00451381">
      <w:pPr>
        <w:widowControl w:val="0"/>
        <w:rPr>
          <w:noProof/>
          <w:lang w:val="en"/>
        </w:rPr>
      </w:pPr>
    </w:p>
    <w:sectPr w:rsidR="00683C03" w:rsidRPr="00451381" w:rsidSect="00451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C8" w:rsidRDefault="00A95BC8" w:rsidP="00AD2209">
      <w:r>
        <w:separator/>
      </w:r>
    </w:p>
  </w:endnote>
  <w:endnote w:type="continuationSeparator" w:id="0">
    <w:p w:rsidR="00A95BC8" w:rsidRDefault="00A95BC8" w:rsidP="00AD2209">
      <w:r>
        <w:continuationSeparator/>
      </w:r>
    </w:p>
  </w:endnote>
  <w:endnote w:type="continuationNotice" w:id="1">
    <w:p w:rsidR="00A95BC8" w:rsidRDefault="00A95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C" w:rsidRDefault="00FF1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C" w:rsidRPr="00451381" w:rsidRDefault="00FF1E5C" w:rsidP="0045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C" w:rsidRDefault="00FF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C8" w:rsidRDefault="00A95BC8" w:rsidP="00AD2209">
      <w:r>
        <w:separator/>
      </w:r>
    </w:p>
  </w:footnote>
  <w:footnote w:type="continuationSeparator" w:id="0">
    <w:p w:rsidR="00A95BC8" w:rsidRDefault="00A95BC8" w:rsidP="00AD2209">
      <w:r>
        <w:continuationSeparator/>
      </w:r>
    </w:p>
  </w:footnote>
  <w:footnote w:type="continuationNotice" w:id="1">
    <w:p w:rsidR="00A95BC8" w:rsidRDefault="00A95BC8"/>
  </w:footnote>
  <w:footnote w:id="2">
    <w:p w:rsidR="00451381" w:rsidRPr="00451381" w:rsidRDefault="00451381" w:rsidP="00451381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OJ L 309, 29.11.1996, p. 1, as amended.</w:t>
      </w:r>
    </w:p>
  </w:footnote>
  <w:footnote w:id="3">
    <w:p w:rsidR="00451381" w:rsidRPr="00451381" w:rsidRDefault="00451381" w:rsidP="00451381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OJ L 135 8.5.2014, p. 1, as amended.</w:t>
      </w:r>
    </w:p>
  </w:footnote>
  <w:footnote w:id="4">
    <w:p w:rsidR="00451381" w:rsidRPr="00451381" w:rsidRDefault="00451381" w:rsidP="00451381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OJ L 199I, 7.8.2018, p. 1.</w:t>
      </w:r>
    </w:p>
  </w:footnote>
  <w:footnote w:id="5">
    <w:p w:rsidR="00451381" w:rsidRPr="00451381" w:rsidRDefault="00451381" w:rsidP="00451381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2018/C 277 I/03.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C" w:rsidRDefault="00FF1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C" w:rsidRPr="00451381" w:rsidRDefault="00FF1E5C" w:rsidP="00451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C" w:rsidRDefault="00FF1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175"/>
    <w:rsid w:val="000207D6"/>
    <w:rsid w:val="00022B5F"/>
    <w:rsid w:val="000341CA"/>
    <w:rsid w:val="000351B6"/>
    <w:rsid w:val="00056351"/>
    <w:rsid w:val="000653E8"/>
    <w:rsid w:val="00066296"/>
    <w:rsid w:val="00080A2C"/>
    <w:rsid w:val="000839B4"/>
    <w:rsid w:val="000B5024"/>
    <w:rsid w:val="00136442"/>
    <w:rsid w:val="0018237B"/>
    <w:rsid w:val="001C3342"/>
    <w:rsid w:val="001E692B"/>
    <w:rsid w:val="001F3170"/>
    <w:rsid w:val="002222A2"/>
    <w:rsid w:val="002504B7"/>
    <w:rsid w:val="00261EA3"/>
    <w:rsid w:val="00277C98"/>
    <w:rsid w:val="0029154D"/>
    <w:rsid w:val="002937CD"/>
    <w:rsid w:val="002D62F0"/>
    <w:rsid w:val="002E500C"/>
    <w:rsid w:val="00351EE0"/>
    <w:rsid w:val="00367C9F"/>
    <w:rsid w:val="003731A8"/>
    <w:rsid w:val="003B3060"/>
    <w:rsid w:val="003E0178"/>
    <w:rsid w:val="00444088"/>
    <w:rsid w:val="00451381"/>
    <w:rsid w:val="0045468E"/>
    <w:rsid w:val="00457AFE"/>
    <w:rsid w:val="0047523D"/>
    <w:rsid w:val="004C298F"/>
    <w:rsid w:val="00521B62"/>
    <w:rsid w:val="005316EE"/>
    <w:rsid w:val="00566E7B"/>
    <w:rsid w:val="005812E8"/>
    <w:rsid w:val="005A2E98"/>
    <w:rsid w:val="005B310E"/>
    <w:rsid w:val="005C3ECC"/>
    <w:rsid w:val="005E427F"/>
    <w:rsid w:val="00651C20"/>
    <w:rsid w:val="00683C03"/>
    <w:rsid w:val="006A301C"/>
    <w:rsid w:val="006B6CB6"/>
    <w:rsid w:val="006F02A4"/>
    <w:rsid w:val="006F664C"/>
    <w:rsid w:val="00722AF9"/>
    <w:rsid w:val="00775C9C"/>
    <w:rsid w:val="00776C71"/>
    <w:rsid w:val="00782BF1"/>
    <w:rsid w:val="007A78FD"/>
    <w:rsid w:val="007F1B2E"/>
    <w:rsid w:val="00821026"/>
    <w:rsid w:val="00825494"/>
    <w:rsid w:val="008573E3"/>
    <w:rsid w:val="008D5CEF"/>
    <w:rsid w:val="00A82553"/>
    <w:rsid w:val="00A95BC8"/>
    <w:rsid w:val="00AB41F5"/>
    <w:rsid w:val="00AC1585"/>
    <w:rsid w:val="00AD2209"/>
    <w:rsid w:val="00B1711E"/>
    <w:rsid w:val="00B2328F"/>
    <w:rsid w:val="00B42A8F"/>
    <w:rsid w:val="00B43C66"/>
    <w:rsid w:val="00B63E22"/>
    <w:rsid w:val="00BC09E2"/>
    <w:rsid w:val="00BC4321"/>
    <w:rsid w:val="00C71D0F"/>
    <w:rsid w:val="00CB4FDB"/>
    <w:rsid w:val="00CC6029"/>
    <w:rsid w:val="00CC64E8"/>
    <w:rsid w:val="00D72E94"/>
    <w:rsid w:val="00D768E8"/>
    <w:rsid w:val="00D84C10"/>
    <w:rsid w:val="00DC3F64"/>
    <w:rsid w:val="00DF3FE1"/>
    <w:rsid w:val="00E01F8E"/>
    <w:rsid w:val="00E17DF2"/>
    <w:rsid w:val="00E82AD1"/>
    <w:rsid w:val="00EA1122"/>
    <w:rsid w:val="00EB0560"/>
    <w:rsid w:val="00EB2703"/>
    <w:rsid w:val="00EB4D70"/>
    <w:rsid w:val="00ED6175"/>
    <w:rsid w:val="00EE7DF0"/>
    <w:rsid w:val="00F26F5E"/>
    <w:rsid w:val="00F363D1"/>
    <w:rsid w:val="00F4212E"/>
    <w:rsid w:val="00F87BF3"/>
    <w:rsid w:val="00FD73A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styleId="CommentReference">
    <w:name w:val="annotation reference"/>
    <w:uiPriority w:val="99"/>
    <w:semiHidden/>
    <w:unhideWhenUsed/>
    <w:rsid w:val="006B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C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C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C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C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296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296"/>
    <w:rPr>
      <w:rFonts w:ascii="Arial" w:hAnsi="Arial" w:cs="Arial"/>
      <w:sz w:val="18"/>
    </w:rPr>
  </w:style>
  <w:style w:type="character" w:styleId="FootnoteReference">
    <w:name w:val="footnote reference"/>
    <w:uiPriority w:val="99"/>
    <w:semiHidden/>
    <w:unhideWhenUsed/>
    <w:rsid w:val="0006629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85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100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448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64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0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00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1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71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8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2018-10-11T11:27:00Z</dcterms:created>
  <dcterms:modified xsi:type="dcterms:W3CDTF">2018-10-11T11:27:00Z</dcterms:modified>
</cp:coreProperties>
</file>