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D3" w:rsidRPr="00BA6BF7" w:rsidRDefault="0045468E" w:rsidP="00BA6BF7">
      <w:pPr>
        <w:widowControl w:val="0"/>
        <w:rPr>
          <w:noProof/>
        </w:rPr>
      </w:pPr>
      <w:r w:rsidRPr="00BA6BF7">
        <w:rPr>
          <w:noProof/>
        </w:rPr>
        <w:t>EN</w:t>
      </w:r>
      <w:r w:rsidRPr="00BA6BF7">
        <w:rPr>
          <w:noProof/>
        </w:rPr>
        <w:cr/>
        <w:t>E-004676/2018</w:t>
      </w:r>
      <w:r w:rsidRPr="00BA6BF7">
        <w:rPr>
          <w:noProof/>
        </w:rPr>
        <w:cr/>
        <w:t>Answer given by Mr Andriukaitis</w:t>
      </w:r>
      <w:r w:rsidRPr="00BA6BF7">
        <w:rPr>
          <w:noProof/>
        </w:rPr>
        <w:cr/>
        <w:t>on behalf of the European Commission</w:t>
      </w:r>
      <w:r w:rsidRPr="00BA6BF7">
        <w:rPr>
          <w:noProof/>
        </w:rPr>
        <w:cr/>
      </w:r>
      <w:r w:rsidR="00355BD3" w:rsidRPr="00BA6BF7">
        <w:rPr>
          <w:noProof/>
        </w:rPr>
        <w:t>(15.11.2018)</w:t>
      </w:r>
    </w:p>
    <w:p w:rsidR="0045685A" w:rsidRPr="00BA6BF7" w:rsidRDefault="0045468E" w:rsidP="00BA6BF7">
      <w:pPr>
        <w:widowControl w:val="0"/>
        <w:rPr>
          <w:noProof/>
        </w:rPr>
      </w:pPr>
      <w:r w:rsidRPr="00BA6BF7">
        <w:rPr>
          <w:noProof/>
        </w:rPr>
        <w:cr/>
      </w:r>
    </w:p>
    <w:p w:rsidR="003B7DC6" w:rsidRPr="00BA6BF7" w:rsidRDefault="003B7DC6" w:rsidP="00BA6BF7">
      <w:pPr>
        <w:widowControl w:val="0"/>
        <w:rPr>
          <w:noProof/>
        </w:rPr>
      </w:pPr>
      <w:r w:rsidRPr="00BA6BF7">
        <w:rPr>
          <w:noProof/>
        </w:rPr>
        <w:t>As pointed out in its replies to written question</w:t>
      </w:r>
      <w:r w:rsidR="0082092D" w:rsidRPr="00BA6BF7">
        <w:rPr>
          <w:noProof/>
        </w:rPr>
        <w:t>s</w:t>
      </w:r>
      <w:r w:rsidRPr="00BA6BF7">
        <w:rPr>
          <w:noProof/>
        </w:rPr>
        <w:t xml:space="preserve"> E-004203/2018 and </w:t>
      </w:r>
      <w:r w:rsidR="005F51BA" w:rsidRPr="00BA6BF7">
        <w:rPr>
          <w:noProof/>
        </w:rPr>
        <w:t>E-004477</w:t>
      </w:r>
      <w:r w:rsidR="0082092D" w:rsidRPr="00BA6BF7">
        <w:rPr>
          <w:noProof/>
        </w:rPr>
        <w:t>/2018</w:t>
      </w:r>
      <w:r w:rsidRPr="00BA6BF7">
        <w:rPr>
          <w:noProof/>
        </w:rPr>
        <w:t>, the Commission is aware of West Nile fever (WNF) in the EU and monitors the situation in collaboration with the European Centre for Disease Prevention and Control (ECDC)</w:t>
      </w:r>
      <w:r w:rsidR="0037395E" w:rsidRPr="00BA6BF7">
        <w:rPr>
          <w:noProof/>
        </w:rPr>
        <w:t>. It</w:t>
      </w:r>
      <w:r w:rsidRPr="00BA6BF7">
        <w:rPr>
          <w:noProof/>
        </w:rPr>
        <w:t xml:space="preserve"> also </w:t>
      </w:r>
      <w:r w:rsidR="0037395E" w:rsidRPr="00BA6BF7">
        <w:rPr>
          <w:noProof/>
        </w:rPr>
        <w:t xml:space="preserve">hosts an alert platform that allows national authorities </w:t>
      </w:r>
      <w:r w:rsidRPr="00BA6BF7">
        <w:rPr>
          <w:noProof/>
        </w:rPr>
        <w:t xml:space="preserve">to inform blood safety authorities </w:t>
      </w:r>
      <w:r w:rsidR="0037395E" w:rsidRPr="00BA6BF7">
        <w:rPr>
          <w:noProof/>
        </w:rPr>
        <w:t xml:space="preserve">in other Member States </w:t>
      </w:r>
      <w:r w:rsidRPr="00BA6BF7">
        <w:rPr>
          <w:noProof/>
        </w:rPr>
        <w:t xml:space="preserve">of ongoing </w:t>
      </w:r>
      <w:r w:rsidR="0082092D" w:rsidRPr="00BA6BF7">
        <w:rPr>
          <w:noProof/>
          <w:lang w:val="en"/>
        </w:rPr>
        <w:t xml:space="preserve">WNF </w:t>
      </w:r>
      <w:r w:rsidRPr="00BA6BF7">
        <w:rPr>
          <w:noProof/>
        </w:rPr>
        <w:t xml:space="preserve">transmission. </w:t>
      </w:r>
      <w:r w:rsidR="00A647CE" w:rsidRPr="00BA6BF7">
        <w:rPr>
          <w:noProof/>
        </w:rPr>
        <w:t>As</w:t>
      </w:r>
      <w:r w:rsidRPr="00BA6BF7">
        <w:rPr>
          <w:noProof/>
        </w:rPr>
        <w:t xml:space="preserve"> to WNF in animals, the Commission collects data through the EU Animal Disease Notification System.</w:t>
      </w:r>
    </w:p>
    <w:p w:rsidR="005F51BA" w:rsidRPr="00BA6BF7" w:rsidRDefault="005F51BA" w:rsidP="00BA6BF7">
      <w:pPr>
        <w:widowControl w:val="0"/>
        <w:rPr>
          <w:noProof/>
        </w:rPr>
      </w:pPr>
    </w:p>
    <w:p w:rsidR="005F51BA" w:rsidRPr="00BA6BF7" w:rsidRDefault="00A647CE" w:rsidP="00BA6BF7">
      <w:pPr>
        <w:widowControl w:val="0"/>
        <w:rPr>
          <w:noProof/>
        </w:rPr>
      </w:pPr>
      <w:r w:rsidRPr="00BA6BF7">
        <w:rPr>
          <w:noProof/>
        </w:rPr>
        <w:t>T</w:t>
      </w:r>
      <w:r w:rsidR="005F51BA" w:rsidRPr="00BA6BF7">
        <w:rPr>
          <w:noProof/>
        </w:rPr>
        <w:t xml:space="preserve">he organisation and delivery of health services and medical care are responsibilities of the Member States. However, the Commission </w:t>
      </w:r>
      <w:r w:rsidR="00596552" w:rsidRPr="00BA6BF7">
        <w:rPr>
          <w:noProof/>
        </w:rPr>
        <w:t xml:space="preserve">can, through different instruments, </w:t>
      </w:r>
      <w:r w:rsidR="005F51BA" w:rsidRPr="00BA6BF7">
        <w:rPr>
          <w:noProof/>
        </w:rPr>
        <w:t xml:space="preserve">support Member States </w:t>
      </w:r>
      <w:r w:rsidR="00596552" w:rsidRPr="00BA6BF7">
        <w:rPr>
          <w:noProof/>
        </w:rPr>
        <w:t>in responding to health threats</w:t>
      </w:r>
      <w:r w:rsidR="00F82ACE" w:rsidRPr="00BA6BF7">
        <w:rPr>
          <w:noProof/>
        </w:rPr>
        <w:t>.</w:t>
      </w:r>
      <w:r w:rsidR="005F51BA" w:rsidRPr="00BA6BF7">
        <w:rPr>
          <w:noProof/>
        </w:rPr>
        <w:t xml:space="preserve"> Decision 1082/2013/EU</w:t>
      </w:r>
      <w:r w:rsidR="00BA6BF7">
        <w:rPr>
          <w:rStyle w:val="FootnoteReference"/>
          <w:noProof/>
        </w:rPr>
        <w:footnoteReference w:id="1"/>
      </w:r>
      <w:r w:rsidR="005F51BA" w:rsidRPr="00BA6BF7">
        <w:rPr>
          <w:noProof/>
        </w:rPr>
        <w:t xml:space="preserve"> provides the framework to strengthen the coordination of response to health emergencies across the EU. </w:t>
      </w:r>
      <w:r w:rsidR="00F82ACE" w:rsidRPr="00BA6BF7">
        <w:rPr>
          <w:noProof/>
        </w:rPr>
        <w:t xml:space="preserve">The </w:t>
      </w:r>
      <w:r w:rsidR="00250532" w:rsidRPr="00BA6BF7">
        <w:rPr>
          <w:noProof/>
        </w:rPr>
        <w:t>Commission</w:t>
      </w:r>
      <w:r w:rsidR="0037395E" w:rsidRPr="00BA6BF7">
        <w:rPr>
          <w:noProof/>
        </w:rPr>
        <w:t xml:space="preserve"> </w:t>
      </w:r>
      <w:r w:rsidR="00F82ACE" w:rsidRPr="00BA6BF7">
        <w:rPr>
          <w:noProof/>
        </w:rPr>
        <w:t>D</w:t>
      </w:r>
      <w:r w:rsidR="0037395E" w:rsidRPr="00BA6BF7">
        <w:rPr>
          <w:noProof/>
        </w:rPr>
        <w:t>irective 2014/110</w:t>
      </w:r>
      <w:r w:rsidR="00BA6BF7">
        <w:rPr>
          <w:rStyle w:val="FootnoteReference"/>
          <w:noProof/>
        </w:rPr>
        <w:footnoteReference w:id="2"/>
      </w:r>
      <w:r w:rsidR="0037395E" w:rsidRPr="00BA6BF7">
        <w:rPr>
          <w:noProof/>
        </w:rPr>
        <w:t xml:space="preserve"> lays down pos</w:t>
      </w:r>
      <w:r w:rsidR="00F82ACE" w:rsidRPr="00BA6BF7">
        <w:rPr>
          <w:noProof/>
        </w:rPr>
        <w:t>sible safety measures to minimis</w:t>
      </w:r>
      <w:r w:rsidR="0037395E" w:rsidRPr="00BA6BF7">
        <w:rPr>
          <w:noProof/>
        </w:rPr>
        <w:t>e the risk of transmitting WNF through blood transfusion. ECDC and several EU blood services have also developed a preparedness plan for local blood services and authorities to help ensure no WNF infection is transmitted through blood transfusion.</w:t>
      </w:r>
    </w:p>
    <w:p w:rsidR="005F51BA" w:rsidRPr="00BA6BF7" w:rsidRDefault="005F51BA" w:rsidP="00BA6BF7">
      <w:pPr>
        <w:widowControl w:val="0"/>
        <w:rPr>
          <w:noProof/>
        </w:rPr>
      </w:pPr>
    </w:p>
    <w:p w:rsidR="003B7DC6" w:rsidRPr="00BA6BF7" w:rsidRDefault="00574BD0" w:rsidP="00BA6BF7">
      <w:pPr>
        <w:widowControl w:val="0"/>
        <w:rPr>
          <w:noProof/>
        </w:rPr>
      </w:pPr>
      <w:r w:rsidRPr="00BA6BF7">
        <w:rPr>
          <w:noProof/>
        </w:rPr>
        <w:t xml:space="preserve">The </w:t>
      </w:r>
      <w:r w:rsidR="003B7DC6" w:rsidRPr="00BA6BF7">
        <w:rPr>
          <w:noProof/>
          <w:lang w:val="en"/>
        </w:rPr>
        <w:t>ECDC carries out regular risk assessments</w:t>
      </w:r>
      <w:r w:rsidR="00BA6BF7">
        <w:rPr>
          <w:rStyle w:val="FootnoteReference"/>
          <w:noProof/>
          <w:lang w:val="en"/>
        </w:rPr>
        <w:footnoteReference w:id="3"/>
      </w:r>
      <w:r w:rsidR="003B7DC6" w:rsidRPr="00BA6BF7">
        <w:rPr>
          <w:noProof/>
          <w:lang w:val="en"/>
        </w:rPr>
        <w:t xml:space="preserve"> and published a Rapid Risk Assessment, </w:t>
      </w:r>
      <w:r w:rsidR="003B7DC6" w:rsidRPr="00BA6BF7">
        <w:rPr>
          <w:noProof/>
          <w:szCs w:val="23"/>
        </w:rPr>
        <w:t>discussed by the Health Security Committee,</w:t>
      </w:r>
      <w:r w:rsidR="003B7DC6" w:rsidRPr="00BA6BF7" w:rsidDel="00FF04D6">
        <w:rPr>
          <w:noProof/>
          <w:lang w:val="en"/>
        </w:rPr>
        <w:t xml:space="preserve"> </w:t>
      </w:r>
      <w:r w:rsidR="003B7DC6" w:rsidRPr="00BA6BF7">
        <w:rPr>
          <w:noProof/>
          <w:lang w:val="en"/>
        </w:rPr>
        <w:t xml:space="preserve">on the increase of a large number of </w:t>
      </w:r>
      <w:r w:rsidR="0082092D" w:rsidRPr="00BA6BF7">
        <w:rPr>
          <w:noProof/>
          <w:lang w:val="en"/>
        </w:rPr>
        <w:t xml:space="preserve">WNF </w:t>
      </w:r>
      <w:r w:rsidR="003B7DC6" w:rsidRPr="00BA6BF7">
        <w:rPr>
          <w:noProof/>
          <w:lang w:val="en"/>
        </w:rPr>
        <w:t>infections in the EU/E</w:t>
      </w:r>
      <w:r w:rsidR="0082092D" w:rsidRPr="00BA6BF7">
        <w:rPr>
          <w:noProof/>
          <w:lang w:val="en"/>
        </w:rPr>
        <w:t xml:space="preserve">uropean </w:t>
      </w:r>
      <w:r w:rsidR="003B7DC6" w:rsidRPr="00BA6BF7">
        <w:rPr>
          <w:noProof/>
          <w:lang w:val="en"/>
        </w:rPr>
        <w:t>E</w:t>
      </w:r>
      <w:r w:rsidR="0082092D" w:rsidRPr="00BA6BF7">
        <w:rPr>
          <w:noProof/>
          <w:lang w:val="en"/>
        </w:rPr>
        <w:t xml:space="preserve">conomic </w:t>
      </w:r>
      <w:r w:rsidR="003B7DC6" w:rsidRPr="00BA6BF7">
        <w:rPr>
          <w:noProof/>
          <w:lang w:val="en"/>
        </w:rPr>
        <w:t>A</w:t>
      </w:r>
      <w:r w:rsidR="0082092D" w:rsidRPr="00BA6BF7">
        <w:rPr>
          <w:noProof/>
          <w:lang w:val="en"/>
        </w:rPr>
        <w:t>rea</w:t>
      </w:r>
      <w:r w:rsidR="003B7DC6" w:rsidRPr="00BA6BF7">
        <w:rPr>
          <w:noProof/>
          <w:lang w:val="en"/>
        </w:rPr>
        <w:t xml:space="preserve"> and neighboring countries</w:t>
      </w:r>
      <w:bookmarkStart w:id="0" w:name="_GoBack"/>
      <w:bookmarkEnd w:id="0"/>
      <w:r w:rsidR="00BA6BF7">
        <w:rPr>
          <w:rStyle w:val="FootnoteReference"/>
          <w:noProof/>
          <w:lang w:val="en"/>
        </w:rPr>
        <w:footnoteReference w:id="4"/>
      </w:r>
      <w:r w:rsidR="003B7DC6" w:rsidRPr="00BA6BF7">
        <w:rPr>
          <w:noProof/>
          <w:lang w:val="en"/>
        </w:rPr>
        <w:t xml:space="preserve">, stating that further epidemiological and microbiological investigations should be conducted to better understand the outbreak, </w:t>
      </w:r>
      <w:r w:rsidR="00A647CE" w:rsidRPr="00BA6BF7">
        <w:rPr>
          <w:noProof/>
          <w:lang w:val="en"/>
        </w:rPr>
        <w:t xml:space="preserve">and </w:t>
      </w:r>
      <w:r w:rsidRPr="00BA6BF7">
        <w:rPr>
          <w:noProof/>
          <w:lang w:val="en"/>
        </w:rPr>
        <w:t xml:space="preserve">to </w:t>
      </w:r>
      <w:r w:rsidR="003B7DC6" w:rsidRPr="00BA6BF7">
        <w:rPr>
          <w:noProof/>
          <w:lang w:val="en"/>
        </w:rPr>
        <w:t>includ</w:t>
      </w:r>
      <w:r w:rsidRPr="00BA6BF7">
        <w:rPr>
          <w:noProof/>
          <w:lang w:val="en"/>
        </w:rPr>
        <w:t>e</w:t>
      </w:r>
      <w:r w:rsidR="003B7DC6" w:rsidRPr="00BA6BF7">
        <w:rPr>
          <w:noProof/>
          <w:lang w:val="en"/>
        </w:rPr>
        <w:t xml:space="preserve"> options for response by Member States.</w:t>
      </w:r>
    </w:p>
    <w:sectPr w:rsidR="003B7DC6" w:rsidRPr="00BA6BF7" w:rsidSect="00BA6B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2007" w:left="1440" w:header="567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83" w:rsidRDefault="001F1083" w:rsidP="00AD2209">
      <w:r>
        <w:separator/>
      </w:r>
    </w:p>
  </w:endnote>
  <w:endnote w:type="continuationSeparator" w:id="0">
    <w:p w:rsidR="001F1083" w:rsidRDefault="001F1083" w:rsidP="00AD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D3" w:rsidRDefault="00355B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5A" w:rsidRPr="00BA6BF7" w:rsidRDefault="0045685A" w:rsidP="00BA6B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D3" w:rsidRDefault="00355B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83" w:rsidRDefault="001F1083" w:rsidP="00AD2209">
      <w:r>
        <w:separator/>
      </w:r>
    </w:p>
  </w:footnote>
  <w:footnote w:type="continuationSeparator" w:id="0">
    <w:p w:rsidR="001F1083" w:rsidRDefault="001F1083" w:rsidP="00AD2209">
      <w:r>
        <w:continuationSeparator/>
      </w:r>
    </w:p>
  </w:footnote>
  <w:footnote w:id="1">
    <w:p w:rsidR="00BA6BF7" w:rsidRDefault="00BA6BF7" w:rsidP="00BA6BF7">
      <w:pPr>
        <w:pStyle w:val="FootnoteText"/>
        <w:tabs>
          <w:tab w:val="left" w:pos="283"/>
        </w:tabs>
        <w:ind w:left="283" w:hanging="283"/>
      </w:pPr>
      <w:r>
        <w:rPr>
          <w:rStyle w:val="FootnoteReference"/>
        </w:rPr>
        <w:footnoteRef/>
      </w:r>
      <w:r>
        <w:t xml:space="preserve"> </w:t>
      </w:r>
      <w:r>
        <w:tab/>
        <w:t>Decision No 1082/2013/EU of the European Parliament and of the Council of 22 October 2013</w:t>
      </w:r>
    </w:p>
    <w:p w:rsidR="00BA6BF7" w:rsidRPr="00BA6BF7" w:rsidRDefault="00BA6BF7" w:rsidP="00BA6BF7">
      <w:pPr>
        <w:pStyle w:val="FootnoteText"/>
        <w:tabs>
          <w:tab w:val="left" w:pos="283"/>
        </w:tabs>
        <w:ind w:left="283" w:hanging="283"/>
        <w:rPr>
          <w:lang w:val="fr-FR"/>
        </w:rPr>
      </w:pPr>
      <w:r>
        <w:t>http://ec.europa.eu/health/preparedness_response/docs/decision_serious_crossborder_threats_22102013_en.pdf</w:t>
      </w:r>
    </w:p>
  </w:footnote>
  <w:footnote w:id="2">
    <w:p w:rsidR="00BA6BF7" w:rsidRPr="00BA6BF7" w:rsidRDefault="00BA6BF7" w:rsidP="00BA6BF7">
      <w:pPr>
        <w:pStyle w:val="FootnoteText"/>
        <w:tabs>
          <w:tab w:val="left" w:pos="283"/>
        </w:tabs>
        <w:ind w:left="283" w:hanging="283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tab/>
        <w:t>https://eur-lex.europa.eu/legal-content/EN/TXT/?uri=OJ%3AJOL_2014_366_R_0011</w:t>
      </w:r>
    </w:p>
  </w:footnote>
  <w:footnote w:id="3">
    <w:p w:rsidR="00BA6BF7" w:rsidRPr="00BA6BF7" w:rsidRDefault="00BA6BF7" w:rsidP="00BA6BF7">
      <w:pPr>
        <w:pStyle w:val="FootnoteText"/>
        <w:tabs>
          <w:tab w:val="left" w:pos="283"/>
        </w:tabs>
        <w:ind w:left="283" w:hanging="283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tab/>
        <w:t>Weekly updates: 2018 West Nile fever transmission season https://ecdc.europa.eu/en/west-nile-fever/surveillance-and-disease-data/disease-data-ecdc</w:t>
      </w:r>
    </w:p>
  </w:footnote>
  <w:footnote w:id="4">
    <w:p w:rsidR="00BA6BF7" w:rsidRPr="00BA6BF7" w:rsidRDefault="00BA6BF7" w:rsidP="00BA6BF7">
      <w:pPr>
        <w:pStyle w:val="FootnoteText"/>
        <w:tabs>
          <w:tab w:val="left" w:pos="283"/>
        </w:tabs>
        <w:ind w:left="283" w:hanging="283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tab/>
        <w:t>https://ecdc.europa.eu/en/publications-data/rapid-risk-assessment-early-large-increase-west-nile-virus-infections-reported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D3" w:rsidRDefault="00355B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D3" w:rsidRPr="00BA6BF7" w:rsidRDefault="00355BD3" w:rsidP="00BA6B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D3" w:rsidRDefault="00355B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175"/>
    <w:rsid w:val="000207D6"/>
    <w:rsid w:val="00071997"/>
    <w:rsid w:val="000B3D04"/>
    <w:rsid w:val="001C50D6"/>
    <w:rsid w:val="001F1083"/>
    <w:rsid w:val="002468B1"/>
    <w:rsid w:val="00250532"/>
    <w:rsid w:val="00277C98"/>
    <w:rsid w:val="00327047"/>
    <w:rsid w:val="00355BD3"/>
    <w:rsid w:val="00367C9F"/>
    <w:rsid w:val="0037395E"/>
    <w:rsid w:val="00393711"/>
    <w:rsid w:val="003B7DC6"/>
    <w:rsid w:val="003C181C"/>
    <w:rsid w:val="0045468E"/>
    <w:rsid w:val="0045685A"/>
    <w:rsid w:val="00457AFE"/>
    <w:rsid w:val="0047523D"/>
    <w:rsid w:val="004F450C"/>
    <w:rsid w:val="00574BD0"/>
    <w:rsid w:val="005812E8"/>
    <w:rsid w:val="00596552"/>
    <w:rsid w:val="005A2E98"/>
    <w:rsid w:val="005F51BA"/>
    <w:rsid w:val="00663D3E"/>
    <w:rsid w:val="006A301C"/>
    <w:rsid w:val="006F02A4"/>
    <w:rsid w:val="00776C71"/>
    <w:rsid w:val="007A78FD"/>
    <w:rsid w:val="0082092D"/>
    <w:rsid w:val="00821026"/>
    <w:rsid w:val="0084041B"/>
    <w:rsid w:val="008573E3"/>
    <w:rsid w:val="008812A3"/>
    <w:rsid w:val="008901FD"/>
    <w:rsid w:val="008970C2"/>
    <w:rsid w:val="00A647CE"/>
    <w:rsid w:val="00AD2209"/>
    <w:rsid w:val="00B1673E"/>
    <w:rsid w:val="00B2328F"/>
    <w:rsid w:val="00B314AF"/>
    <w:rsid w:val="00BA6BF7"/>
    <w:rsid w:val="00C07A63"/>
    <w:rsid w:val="00C71D0F"/>
    <w:rsid w:val="00CB071A"/>
    <w:rsid w:val="00D500D7"/>
    <w:rsid w:val="00D52220"/>
    <w:rsid w:val="00DA28EE"/>
    <w:rsid w:val="00DF3FE1"/>
    <w:rsid w:val="00E17659"/>
    <w:rsid w:val="00E82AD1"/>
    <w:rsid w:val="00EC0635"/>
    <w:rsid w:val="00ED6175"/>
    <w:rsid w:val="00F8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3B7DC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B7DC6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7DC6"/>
    <w:rPr>
      <w:rFonts w:ascii="Arial" w:hAnsi="Arial" w:cs="Arial"/>
      <w:sz w:val="18"/>
    </w:rPr>
  </w:style>
  <w:style w:type="character" w:styleId="FootnoteReference">
    <w:name w:val="footnote reference"/>
    <w:uiPriority w:val="99"/>
    <w:unhideWhenUsed/>
    <w:rsid w:val="003B7DC6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character" w:styleId="FollowedHyperlink">
    <w:name w:val="FollowedHyperlink"/>
    <w:uiPriority w:val="99"/>
    <w:semiHidden/>
    <w:unhideWhenUsed/>
    <w:rsid w:val="005F51B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395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053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0532"/>
  </w:style>
  <w:style w:type="character" w:styleId="EndnoteReference">
    <w:name w:val="endnote reference"/>
    <w:uiPriority w:val="99"/>
    <w:semiHidden/>
    <w:unhideWhenUsed/>
    <w:rsid w:val="002505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1711</CharactersWithSpaces>
  <SharedDoc>false</SharedDoc>
  <HLinks>
    <vt:vector size="24" baseType="variant">
      <vt:variant>
        <vt:i4>4128867</vt:i4>
      </vt:variant>
      <vt:variant>
        <vt:i4>9</vt:i4>
      </vt:variant>
      <vt:variant>
        <vt:i4>0</vt:i4>
      </vt:variant>
      <vt:variant>
        <vt:i4>5</vt:i4>
      </vt:variant>
      <vt:variant>
        <vt:lpwstr>https://ecdc.europa.eu/en/publications-data/rapid-risk-assessment-early-large-increase-west-nile-virus-infections-reported</vt:lpwstr>
      </vt:variant>
      <vt:variant>
        <vt:lpwstr/>
      </vt:variant>
      <vt:variant>
        <vt:i4>65548</vt:i4>
      </vt:variant>
      <vt:variant>
        <vt:i4>6</vt:i4>
      </vt:variant>
      <vt:variant>
        <vt:i4>0</vt:i4>
      </vt:variant>
      <vt:variant>
        <vt:i4>5</vt:i4>
      </vt:variant>
      <vt:variant>
        <vt:lpwstr>https://ecdc.europa.eu/en/west-nile-fever/surveillance-and-disease-data/disease-data-ecdc</vt:lpwstr>
      </vt:variant>
      <vt:variant>
        <vt:lpwstr/>
      </vt:variant>
      <vt:variant>
        <vt:i4>6946924</vt:i4>
      </vt:variant>
      <vt:variant>
        <vt:i4>3</vt:i4>
      </vt:variant>
      <vt:variant>
        <vt:i4>0</vt:i4>
      </vt:variant>
      <vt:variant>
        <vt:i4>5</vt:i4>
      </vt:variant>
      <vt:variant>
        <vt:lpwstr>https://eur-lex.europa.eu/legal-content/EN/TXT/?uri=OJ%3AJOL_2014_366_R_0011</vt:lpwstr>
      </vt:variant>
      <vt:variant>
        <vt:lpwstr/>
      </vt:variant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http://ec.europa.eu/health/preparedness_response/docs/decision_serious_crossborder_threats_22102013_en.pdf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2018-11-15T10:07:00Z</dcterms:created>
  <dcterms:modified xsi:type="dcterms:W3CDTF">2018-11-15T10:07:00Z</dcterms:modified>
</cp:coreProperties>
</file>